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sz w:val="32"/>
          <w:szCs w:val="32"/>
          <w:lang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sz w:val="32"/>
          <w:szCs w:val="32"/>
          <w:lang w:val="en-US" w:eastAsia="zh-CN" w:bidi="ar"/>
        </w:rPr>
        <w:t>3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双网融合改造项目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技术方案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r>
        <w:br w:type="page"/>
      </w:r>
    </w:p>
    <w:p>
      <w:pPr>
        <w:ind w:left="482"/>
        <w:rPr>
          <w:b/>
          <w:bCs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一、项目介绍</w:t>
      </w:r>
    </w:p>
    <w:p>
      <w:pPr>
        <w:spacing w:line="56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我社拟采用软件定义传输（SDT）方案，实施双网融合改造项目。SDT技术采用多以太广域网链路合并技术（ML-ETH）,将多条物理专线逻辑捆绑形成专线资源池，通过二层虚拟通道对专线资源池进行端到端隧道封装，实现基于多业务专网的安全隔离，并通过智能弹性管道技术实现各业务专网网络带宽的弹性可伸缩，保障网络传输的高可靠和高安全性。现需要采购该双网融合改造项目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Times New Roman"/>
          <w:sz w:val="32"/>
          <w:szCs w:val="32"/>
        </w:rPr>
      </w:pPr>
      <w:bookmarkStart w:id="0" w:name="_Toc60758346"/>
      <w:r>
        <w:rPr>
          <w:rFonts w:hint="eastAsia" w:ascii="黑体" w:hAnsi="黑体" w:eastAsia="黑体" w:cs="Times New Roman"/>
          <w:sz w:val="32"/>
          <w:szCs w:val="32"/>
        </w:rPr>
        <w:t>二、技术要求</w:t>
      </w:r>
      <w:bookmarkEnd w:id="0"/>
      <w:r>
        <w:rPr>
          <w:rFonts w:hint="eastAsia" w:ascii="黑体" w:hAnsi="黑体" w:eastAsia="黑体" w:cs="Times New Roman"/>
          <w:sz w:val="32"/>
          <w:szCs w:val="32"/>
        </w:rPr>
        <w:t>或标准</w:t>
      </w:r>
    </w:p>
    <w:tbl>
      <w:tblPr>
        <w:tblStyle w:val="9"/>
        <w:tblW w:w="830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ar"/>
              </w:rPr>
              <w:t>产品规格</w:t>
            </w:r>
          </w:p>
        </w:tc>
        <w:tc>
          <w:tcPr>
            <w:tcW w:w="6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行社端设备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1、工作于二层（数据链路层）模式。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2、支持把租用的2条不同运营商的二层以太网专线作为云化“数据链路层”资源，实现用户构建自主可控的传输网。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3、支持用户自定义4套基于数据链路层安全隔离的业务专网（不能采用MPLS、VPN、EVPN或类似方式的隧道技术），各专网不能互通。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4、每个节点至少提供4条内部专线，确保每个业务分别有一个独立的二层通道，以构建4个IP专网的统一延伸。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5、支持把2条租用不同运营商的二层以太网专线捆绑和带宽叠加，任意一条线路中断只是带宽减少，实现线路备份。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6、支持对线路质量的实时监测。支持基于线路质量的运算和负载，动态调度业务专网同时在两条运营商的专线上实时负载。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7、支持各业务专网在云化“数据链路层”总带宽中进行动态和自适应弹性调度，支持单个会话可使用的带宽值超过单条运营商专线的带宽。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8、支持4条内部专线可灵活定义在云化“数据链路层”总带宽中的最小值比例和最大值比例，实现业务专网在二层QOS智能弹性调度和管理。二层专网QOS不依赖IP包头五元组或者协议实现，每个专网可由设备智能调配带宽从总带宽的0%至100％，以提高线路利用率和业务专网数据交互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9、双专线全局调度，专线捆绑叠加后，原双专线带宽总和的整体同时使用率≥95%。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10、具有一对多接入功能，单台核心设备支持同时接入的接入端设备数量≥50台。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11、支持从核心设备进行接入端设备的二层参数配置下发，接入端无需在本地配置二层参数，接入端设备即插即用。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12、支持VLAN自动学习、VLAN转换。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13、支持线路丢包统计、流量统计。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14、设备硬件规格：USB接口≥1个，配置口≥1个，相互隔离全千兆光电复用专线接口≥4个，全千兆光电复用汇聚接口≥2个。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15、支持两台核心设备集群部署，用于实现两台核心设备热备冗余和同时动态负载转发。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16、每台设备互联全千兆光电复用心跳接口≥2个。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17、单台设备可独立运行支撑业务正常运行。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18、支持console、telnet、ssh、snmp等多种管理方式。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19、每台设备配置独立的交流电源模块≥2个。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20、在中心设备端，支持用命令行关闭、开启指定节点指定运营商的二层专线的网络连通性。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接入端设备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1、工作于二层（数据链路层）模式。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2、支持把租用的2条不同运营商的二层以太网专线作为云化“数据链路层”资源，实现用户构建自主可控的传输网。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3、支持用户自定义4套基于数据链路层安全隔离的业务专网（不能采用MPLS、VPN、EVPN或类似方式的隧道技术），各专网不能互通。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4、每个节点至少提供4条内部专线，确保每个业务分别有一个独立的二层通道，以构建4个IP专网的统一延伸。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5、支持把2条租用不同运营商的二层以太网专线捆绑和带宽叠加，任意一条线路中断只是带宽减少，实现线路备份。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6、支持对线路质量的实时监测。支持基于线路质量的运算和负载，动态调度业务专网同时在两条运营商的专线上实时负载。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7、支持各业务专网在云化“数据链路层”总带宽中进行动态和自适应弹性调度，支持单个会话可使用的带宽值超过单条运营商专线的带宽。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8、支持4条内部专线可灵活定义在云化“数据链路层”总带宽中的最小值比例和最大值比例，实现业务专网在二层QOS智能弹性调度和管理。二层专网QOS不依赖IP包头五元组或者协议实现，每个专网可由设备智能调配带宽从总带宽的0%至100％，以提高线路利用率和业务专网数据交互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9、双专线全局调度，专线捆绑叠加后，原双专线带宽总和的整体同时使用率≥95%。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10、吞吐量≥1.5Gbps。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11、接入端设备二层参数配置可从中心端设备自动获取，无需在本地配置二层参数，即插即用。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12、支持线路丢包统计、流量统计。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13、设备硬件规格：USB接口≥1个，配置口≥1个，相互隔离全千兆专线电接口≥4个，全千兆汇聚电接口≥2个。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14、支持两台接入设备集群部署，用于实现两台接入设备热备冗余和同时动态负载转发。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15、每台设备互联全千兆心跳电接口≥2个。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16、单台设备可独立运行支撑业务正常运行。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17、支持console、telnet、ssh、snmp等多种管理方式。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18、每台设备配置交流电源模块≥1个。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19、支持三层路由功能。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20、每台设备支持虚拟路由器≥4个，每个虚拟路由器均具有独立的路由表，支持独立arp表。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21、每台设备支持扩展全千兆交换端口≥20个。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路由交换模块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1、每个模块支持虚拟路由器≥4个，每个虚拟路由器均具有独立的路由表，支持独立arp表。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2、全千兆交换端口≥20个。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3、支持802.1X。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4、支持Arp、icmp。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5、支持telnet、ssh、snmp。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6、支持bfd、静态路由、rip、ospf动态路由。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7、支持ACL。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8、支持ip地址绑定、MAC地址绑定等协议。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9、支持每个虚拟路由器对应交换卡的一个物理上联口。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10、VLAN ID支持1-4094。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网络监控显示设备</w:t>
            </w:r>
          </w:p>
        </w:tc>
        <w:tc>
          <w:tcPr>
            <w:tcW w:w="6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显示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大小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不低于65寸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清晰度不低于4K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。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三、售后服务要求或标准</w:t>
      </w:r>
    </w:p>
    <w:p>
      <w:pPr>
        <w:spacing w:line="56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1.定期巡检硬件设施和管理软件，检查产品是否存在缺陷和漏洞，并及时修复，并提交巡检报告。</w:t>
      </w:r>
    </w:p>
    <w:p>
      <w:pPr>
        <w:spacing w:line="56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2.产品质保服务期内，必须提供7*24小时电话或远程技术服务，5*8小时现场技术服务。</w:t>
      </w:r>
    </w:p>
    <w:p>
      <w:pPr>
        <w:spacing w:line="560" w:lineRule="exact"/>
        <w:ind w:firstLine="480" w:firstLineChars="200"/>
      </w:pPr>
      <w:r>
        <w:rPr>
          <w:rFonts w:hint="eastAsia" w:ascii="仿宋_GB2312" w:hAnsi="Calibri" w:eastAsia="仿宋_GB2312" w:cs="Times New Roman"/>
          <w:sz w:val="24"/>
          <w:szCs w:val="24"/>
        </w:rPr>
        <w:t>3.产品质保服务期不低于3年。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77A"/>
    <w:multiLevelType w:val="multilevel"/>
    <w:tmpl w:val="54C8377A"/>
    <w:lvl w:ilvl="0" w:tentative="0">
      <w:start w:val="1"/>
      <w:numFmt w:val="chineseCountingThousand"/>
      <w:pStyle w:val="3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pStyle w:val="4"/>
      <w:isLgl/>
      <w:suff w:val="space"/>
      <w:lvlText w:val="%1.%2"/>
      <w:lvlJc w:val="left"/>
      <w:pPr>
        <w:ind w:left="1206" w:hanging="576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92"/>
    <w:rsid w:val="001B542B"/>
    <w:rsid w:val="002F0B9B"/>
    <w:rsid w:val="00975753"/>
    <w:rsid w:val="00CF3792"/>
    <w:rsid w:val="017E40AA"/>
    <w:rsid w:val="01D35257"/>
    <w:rsid w:val="02AD58B6"/>
    <w:rsid w:val="02CE1877"/>
    <w:rsid w:val="032436E0"/>
    <w:rsid w:val="04D10B79"/>
    <w:rsid w:val="057834E2"/>
    <w:rsid w:val="08481617"/>
    <w:rsid w:val="0900328A"/>
    <w:rsid w:val="092C45C9"/>
    <w:rsid w:val="09EA162F"/>
    <w:rsid w:val="0AFC1F3D"/>
    <w:rsid w:val="0D9A27E5"/>
    <w:rsid w:val="0E313BE2"/>
    <w:rsid w:val="0E834DF9"/>
    <w:rsid w:val="111E1F8A"/>
    <w:rsid w:val="11DF6871"/>
    <w:rsid w:val="13F80988"/>
    <w:rsid w:val="152A7575"/>
    <w:rsid w:val="16785B5E"/>
    <w:rsid w:val="167965AA"/>
    <w:rsid w:val="19A5390B"/>
    <w:rsid w:val="1CA10506"/>
    <w:rsid w:val="1CF51296"/>
    <w:rsid w:val="1DAB6C73"/>
    <w:rsid w:val="1DD20021"/>
    <w:rsid w:val="1F9057AC"/>
    <w:rsid w:val="1FBB1B2B"/>
    <w:rsid w:val="25986AB4"/>
    <w:rsid w:val="27482BF8"/>
    <w:rsid w:val="2C663FFB"/>
    <w:rsid w:val="30B21119"/>
    <w:rsid w:val="30E22857"/>
    <w:rsid w:val="312F1A7B"/>
    <w:rsid w:val="350C4A1D"/>
    <w:rsid w:val="357B6C1C"/>
    <w:rsid w:val="365A0EF9"/>
    <w:rsid w:val="38231EE4"/>
    <w:rsid w:val="3B1E4EAB"/>
    <w:rsid w:val="3C327EAA"/>
    <w:rsid w:val="3FAB2132"/>
    <w:rsid w:val="45421338"/>
    <w:rsid w:val="47F703C9"/>
    <w:rsid w:val="486C4969"/>
    <w:rsid w:val="4F3D48D1"/>
    <w:rsid w:val="4FC31B93"/>
    <w:rsid w:val="4FD8772E"/>
    <w:rsid w:val="52260C11"/>
    <w:rsid w:val="546E76B9"/>
    <w:rsid w:val="562B3275"/>
    <w:rsid w:val="56BE4575"/>
    <w:rsid w:val="57716A6E"/>
    <w:rsid w:val="57FF23B2"/>
    <w:rsid w:val="58E7285F"/>
    <w:rsid w:val="5B7128E8"/>
    <w:rsid w:val="5B941CF1"/>
    <w:rsid w:val="5F51298D"/>
    <w:rsid w:val="615341A3"/>
    <w:rsid w:val="62520513"/>
    <w:rsid w:val="69CB48C1"/>
    <w:rsid w:val="6C267D23"/>
    <w:rsid w:val="7091154E"/>
    <w:rsid w:val="70A9359A"/>
    <w:rsid w:val="72732E7D"/>
    <w:rsid w:val="7401203F"/>
    <w:rsid w:val="7C4330EA"/>
    <w:rsid w:val="7D4806F8"/>
    <w:rsid w:val="7EA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numPr>
        <w:ilvl w:val="0"/>
        <w:numId w:val="1"/>
      </w:numPr>
      <w:spacing w:line="360" w:lineRule="auto"/>
      <w:ind w:left="0" w:firstLine="480" w:firstLineChars="200"/>
      <w:jc w:val="both"/>
      <w:outlineLvl w:val="0"/>
    </w:pPr>
    <w:rPr>
      <w:rFonts w:ascii="宋体" w:hAnsi="宋体" w:eastAsia="黑体" w:cs="Times New Roman"/>
      <w:bCs/>
      <w:kern w:val="44"/>
      <w:sz w:val="24"/>
      <w:szCs w:val="32"/>
      <w:lang w:val="en-US" w:eastAsia="zh-CN" w:bidi="ar-SA"/>
    </w:rPr>
  </w:style>
  <w:style w:type="paragraph" w:styleId="4">
    <w:name w:val="heading 2"/>
    <w:next w:val="1"/>
    <w:link w:val="11"/>
    <w:qFormat/>
    <w:uiPriority w:val="9"/>
    <w:pPr>
      <w:numPr>
        <w:ilvl w:val="1"/>
        <w:numId w:val="1"/>
      </w:numPr>
      <w:spacing w:line="360" w:lineRule="auto"/>
      <w:ind w:left="0" w:firstLine="200" w:firstLineChars="200"/>
      <w:outlineLvl w:val="1"/>
    </w:pPr>
    <w:rPr>
      <w:rFonts w:ascii="宋体" w:hAnsi="宋体" w:eastAsia="宋体" w:cs="Times New Roman"/>
      <w:bCs/>
      <w:kern w:val="2"/>
      <w:sz w:val="24"/>
      <w:szCs w:val="30"/>
      <w:lang w:val="en-US" w:eastAsia="zh-CN" w:bidi="ar-SA"/>
    </w:rPr>
  </w:style>
  <w:style w:type="paragraph" w:styleId="5">
    <w:name w:val="heading 3"/>
    <w:next w:val="1"/>
    <w:qFormat/>
    <w:uiPriority w:val="99"/>
    <w:pPr>
      <w:numPr>
        <w:ilvl w:val="2"/>
        <w:numId w:val="1"/>
      </w:numPr>
      <w:spacing w:line="360" w:lineRule="auto"/>
      <w:outlineLvl w:val="2"/>
    </w:pPr>
    <w:rPr>
      <w:rFonts w:ascii="宋体" w:hAnsi="宋体" w:eastAsia="宋体" w:cs="Times New Roman"/>
      <w:bCs/>
      <w:kern w:val="2"/>
      <w:sz w:val="24"/>
      <w:szCs w:val="28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6">
    <w:name w:val="table of authorities"/>
    <w:basedOn w:val="1"/>
    <w:next w:val="1"/>
    <w:qFormat/>
    <w:uiPriority w:val="0"/>
    <w:pPr>
      <w:spacing w:line="360" w:lineRule="auto"/>
      <w:ind w:left="420" w:leftChars="200"/>
    </w:pPr>
    <w:rPr>
      <w:rFonts w:ascii="Calibri" w:hAnsi="Calibri"/>
      <w:b/>
      <w:kern w:val="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1">
    <w:name w:val="标题 2 字符"/>
    <w:link w:val="4"/>
    <w:qFormat/>
    <w:uiPriority w:val="9"/>
    <w:rPr>
      <w:rFonts w:ascii="宋体" w:hAnsi="宋体" w:eastAsia="宋体" w:cs="Times New Roman"/>
      <w:bCs/>
      <w:kern w:val="2"/>
      <w:sz w:val="24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2176</Characters>
  <Lines>18</Lines>
  <Paragraphs>5</Paragraphs>
  <TotalTime>18</TotalTime>
  <ScaleCrop>false</ScaleCrop>
  <LinksUpToDate>false</LinksUpToDate>
  <CharactersWithSpaces>2552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2023-10-25T13:45:00Z</dcterms:created>
  <dc:creator>zoroone</dc:creator>
  <cp:lastModifiedBy>125947-樊叶青</cp:lastModifiedBy>
  <dcterms:modified xsi:type="dcterms:W3CDTF">2024-11-28T11:47:58Z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