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center"/>
        <w:rPr>
          <w:rFonts w:ascii="方正小标宋简体" w:hAnsi="sans-serif" w:eastAsia="方正小标宋简体" w:cs="sans-serif"/>
          <w:color w:val="333333"/>
          <w:sz w:val="44"/>
          <w:szCs w:val="44"/>
        </w:rPr>
      </w:pP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贵州清镇农村商业银行股份有限公司关于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季度关联交易情况事项的公告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根据《银行保险机构关联交易管理办法》（中国银行保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险监督管理委员会令〔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 </w:t>
      </w:r>
      <w:r>
        <w:rPr>
          <w:rFonts w:hint="eastAsia" w:ascii="仿宋_GB2312" w:hAnsi="仿宋" w:eastAsia="仿宋_GB2312"/>
          <w:sz w:val="32"/>
          <w:szCs w:val="32"/>
        </w:rPr>
        <w:t>号），现将贵州清镇农村商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业银行股份有限公司（以下简称“本行”）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季度关联交易情况公告如下：</w:t>
      </w:r>
    </w:p>
    <w:p>
      <w:pPr>
        <w:pStyle w:val="6"/>
        <w:widowControl/>
        <w:spacing w:before="0" w:beforeAutospacing="0" w:after="0" w:afterAutospacing="0" w:line="480" w:lineRule="atLeast"/>
        <w:ind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一、资本净额情况</w:t>
      </w:r>
    </w:p>
    <w:p>
      <w:pPr>
        <w:pStyle w:val="6"/>
        <w:widowControl/>
        <w:spacing w:before="0" w:beforeAutospacing="0" w:after="0" w:afterAutospacing="0" w:line="480" w:lineRule="atLeast"/>
        <w:ind w:left="640" w:hanging="640" w:hangingChars="20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日，本行资本净额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100350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62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二、关联交易情况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日，本行关联人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人，其中关联法人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人，关联自然人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pStyle w:val="6"/>
        <w:widowControl/>
        <w:spacing w:before="0" w:beforeAutospacing="0" w:after="0" w:afterAutospacing="0" w:line="480" w:lineRule="atLeas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（一）授信类关联交易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未发生关联交易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日，本行授信类关联交易共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笔，关联交易余额合计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（二）资产转移类关联交易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(三)服务类关联交易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(四)存款和其他类型关联交易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发生关联交易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万元，其中发生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发生重大关联交易业务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4798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4798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  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三、全部关联交易情况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月末，本行全部关联交易为授信业务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和存款业务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，本行对全部关联方的授信总额为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3588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万元，与资本净额占比为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%，未超出监管机构监管要求（对全部关联方的授信余额不得超过资本净额的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                          贵州清镇农村商业银行股份有限公司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 xml:space="preserve">                                  </w:t>
      </w:r>
      <w:r>
        <w:rPr>
          <w:rFonts w:hint="eastAsia" w:ascii="sans-serif" w:hAnsi="sans-serif" w:cs="sans-serif"/>
          <w:color w:val="333333"/>
          <w:sz w:val="19"/>
          <w:szCs w:val="19"/>
        </w:rPr>
        <w:t xml:space="preserve">             </w:t>
      </w:r>
      <w:r>
        <w:rPr>
          <w:rFonts w:ascii="sans-serif" w:hAnsi="sans-serif" w:eastAsia="sans-serif" w:cs="sans-serif"/>
          <w:color w:val="333333"/>
          <w:sz w:val="19"/>
          <w:szCs w:val="19"/>
        </w:rPr>
        <w:t>        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bookmarkStart w:id="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bookmarkEnd w:id="0"/>
      <w:r>
        <w:rPr>
          <w:rFonts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left:0pt;margin-top:0pt;height:12.5pt;width:62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5OGZiZDRiNjA3Y2U0ZDhkODg5YjAxNWEyNzNjM2MifQ=="/>
  </w:docVars>
  <w:rsids>
    <w:rsidRoot w:val="00146BB3"/>
    <w:rsid w:val="00146BB3"/>
    <w:rsid w:val="00156152"/>
    <w:rsid w:val="07CD52EC"/>
    <w:rsid w:val="087A127D"/>
    <w:rsid w:val="194D4897"/>
    <w:rsid w:val="1FEC5866"/>
    <w:rsid w:val="23DE6932"/>
    <w:rsid w:val="3C360954"/>
    <w:rsid w:val="3FDA1F3A"/>
    <w:rsid w:val="516A5F54"/>
    <w:rsid w:val="592135AC"/>
    <w:rsid w:val="756B2EB1"/>
    <w:rsid w:val="76B462C0"/>
    <w:rsid w:val="7B636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704</Characters>
  <Lines>5</Lines>
  <Paragraphs>1</Paragraphs>
  <TotalTime>0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2023-10-18T02:50:00Z</dcterms:created>
  <dc:creator>XYL</dc:creator>
  <cp:lastModifiedBy>❦✯Shine✭❧</cp:lastModifiedBy>
  <dcterms:modified xsi:type="dcterms:W3CDTF">2024-10-11T06:44:52Z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125E2CD0CF214058A17F6CE7D2BCCAD7_12</vt:lpwstr>
  </property>
</Properties>
</file>