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印江农商银行4G云音响采购项目评审方案</w:t>
      </w:r>
    </w:p>
    <w:p>
      <w:pPr>
        <w:jc w:val="left"/>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印江农商银行评标委员会根据本办法对投标人的投标文件进行综合评分，由评委分别独立进行打分，之后汇总，按平均得分由高到低顺序排列，排名第一的投标人推荐为</w:t>
      </w:r>
      <w:r>
        <w:rPr>
          <w:rFonts w:hint="eastAsia" w:ascii="仿宋_GB2312" w:hAnsi="仿宋_GB2312" w:eastAsia="仿宋_GB2312" w:cs="仿宋_GB2312"/>
          <w:b/>
          <w:bCs/>
          <w:sz w:val="32"/>
          <w:szCs w:val="32"/>
          <w:lang w:val="en-US" w:eastAsia="zh-CN"/>
        </w:rPr>
        <w:t>中标</w:t>
      </w:r>
      <w:r>
        <w:rPr>
          <w:rFonts w:hint="eastAsia" w:ascii="仿宋_GB2312" w:hAnsi="仿宋_GB2312" w:eastAsia="仿宋_GB2312" w:cs="仿宋_GB2312"/>
          <w:sz w:val="32"/>
          <w:szCs w:val="32"/>
          <w:lang w:val="en-US" w:eastAsia="zh-CN"/>
        </w:rPr>
        <w:t>候选人。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1335"/>
        <w:gridCol w:w="4770"/>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04"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1335"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评审内容</w:t>
            </w:r>
          </w:p>
        </w:tc>
        <w:tc>
          <w:tcPr>
            <w:tcW w:w="4770"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评审标准</w:t>
            </w:r>
          </w:p>
        </w:tc>
        <w:tc>
          <w:tcPr>
            <w:tcW w:w="1613"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通过和拒绝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Merge w:val="restart"/>
            <w:vAlign w:val="center"/>
          </w:tcPr>
          <w:p>
            <w:pPr>
              <w:ind w:firstLine="240" w:firstLineChars="100"/>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335" w:type="dxa"/>
            <w:vMerge w:val="restart"/>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企业营业执照</w:t>
            </w:r>
          </w:p>
        </w:tc>
        <w:tc>
          <w:tcPr>
            <w:tcW w:w="4770"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经年审合同</w:t>
            </w:r>
          </w:p>
        </w:tc>
        <w:tc>
          <w:tcPr>
            <w:tcW w:w="1613"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Merge w:val="continue"/>
            <w:vAlign w:val="center"/>
          </w:tcPr>
          <w:p>
            <w:pPr>
              <w:jc w:val="both"/>
              <w:rPr>
                <w:rFonts w:hint="eastAsia" w:ascii="仿宋_GB2312" w:hAnsi="仿宋_GB2312" w:eastAsia="仿宋_GB2312" w:cs="仿宋_GB2312"/>
                <w:sz w:val="24"/>
                <w:szCs w:val="24"/>
                <w:vertAlign w:val="baseline"/>
                <w:lang w:val="en-US" w:eastAsia="zh-CN"/>
              </w:rPr>
            </w:pPr>
          </w:p>
        </w:tc>
        <w:tc>
          <w:tcPr>
            <w:tcW w:w="1335" w:type="dxa"/>
            <w:vMerge w:val="continue"/>
            <w:vAlign w:val="center"/>
          </w:tcPr>
          <w:p>
            <w:pPr>
              <w:jc w:val="both"/>
              <w:rPr>
                <w:rFonts w:hint="eastAsia" w:ascii="仿宋_GB2312" w:hAnsi="仿宋_GB2312" w:eastAsia="仿宋_GB2312" w:cs="仿宋_GB2312"/>
                <w:sz w:val="24"/>
                <w:szCs w:val="24"/>
                <w:vertAlign w:val="baseline"/>
                <w:lang w:val="en-US" w:eastAsia="zh-CN"/>
              </w:rPr>
            </w:pPr>
          </w:p>
        </w:tc>
        <w:tc>
          <w:tcPr>
            <w:tcW w:w="4770"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未经年审合格</w:t>
            </w:r>
          </w:p>
        </w:tc>
        <w:tc>
          <w:tcPr>
            <w:tcW w:w="1613"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Merge w:val="restart"/>
            <w:vAlign w:val="center"/>
          </w:tcPr>
          <w:p>
            <w:pPr>
              <w:ind w:firstLine="240" w:firstLineChars="100"/>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335" w:type="dxa"/>
            <w:vMerge w:val="restart"/>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企业运营状况</w:t>
            </w:r>
          </w:p>
        </w:tc>
        <w:tc>
          <w:tcPr>
            <w:tcW w:w="4770"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没有处于责令停业，投标资格未被取消，财产未被接管、冻结</w:t>
            </w:r>
          </w:p>
        </w:tc>
        <w:tc>
          <w:tcPr>
            <w:tcW w:w="1613"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Merge w:val="continue"/>
            <w:vAlign w:val="center"/>
          </w:tcPr>
          <w:p>
            <w:pPr>
              <w:jc w:val="both"/>
              <w:rPr>
                <w:rFonts w:hint="eastAsia" w:ascii="仿宋_GB2312" w:hAnsi="仿宋_GB2312" w:eastAsia="仿宋_GB2312" w:cs="仿宋_GB2312"/>
                <w:sz w:val="24"/>
                <w:szCs w:val="24"/>
                <w:vertAlign w:val="baseline"/>
                <w:lang w:val="en-US" w:eastAsia="zh-CN"/>
              </w:rPr>
            </w:pPr>
          </w:p>
        </w:tc>
        <w:tc>
          <w:tcPr>
            <w:tcW w:w="1335" w:type="dxa"/>
            <w:vMerge w:val="continue"/>
            <w:vAlign w:val="center"/>
          </w:tcPr>
          <w:p>
            <w:pPr>
              <w:jc w:val="both"/>
              <w:rPr>
                <w:rFonts w:hint="eastAsia" w:ascii="仿宋_GB2312" w:hAnsi="仿宋_GB2312" w:eastAsia="仿宋_GB2312" w:cs="仿宋_GB2312"/>
                <w:sz w:val="24"/>
                <w:szCs w:val="24"/>
                <w:vertAlign w:val="baseline"/>
                <w:lang w:val="en-US" w:eastAsia="zh-CN"/>
              </w:rPr>
            </w:pPr>
          </w:p>
        </w:tc>
        <w:tc>
          <w:tcPr>
            <w:tcW w:w="4770"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处于责令停业，投标资格被取消，财产被接管、冻结</w:t>
            </w:r>
          </w:p>
        </w:tc>
        <w:tc>
          <w:tcPr>
            <w:tcW w:w="1613"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Merge w:val="restart"/>
            <w:vAlign w:val="center"/>
          </w:tcPr>
          <w:p>
            <w:pPr>
              <w:ind w:firstLine="240" w:firstLineChars="100"/>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335" w:type="dxa"/>
            <w:vMerge w:val="restart"/>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制造厂商的授权书</w:t>
            </w:r>
          </w:p>
        </w:tc>
        <w:tc>
          <w:tcPr>
            <w:tcW w:w="4770"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按招标文件要求提供</w:t>
            </w:r>
          </w:p>
        </w:tc>
        <w:tc>
          <w:tcPr>
            <w:tcW w:w="1613"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Merge w:val="continue"/>
            <w:vAlign w:val="center"/>
          </w:tcPr>
          <w:p>
            <w:pPr>
              <w:jc w:val="both"/>
              <w:rPr>
                <w:rFonts w:hint="eastAsia" w:ascii="仿宋_GB2312" w:hAnsi="仿宋_GB2312" w:eastAsia="仿宋_GB2312" w:cs="仿宋_GB2312"/>
                <w:sz w:val="24"/>
                <w:szCs w:val="24"/>
                <w:vertAlign w:val="baseline"/>
                <w:lang w:val="en-US" w:eastAsia="zh-CN"/>
              </w:rPr>
            </w:pPr>
          </w:p>
        </w:tc>
        <w:tc>
          <w:tcPr>
            <w:tcW w:w="1335" w:type="dxa"/>
            <w:vMerge w:val="continue"/>
            <w:vAlign w:val="center"/>
          </w:tcPr>
          <w:p>
            <w:pPr>
              <w:jc w:val="both"/>
              <w:rPr>
                <w:rFonts w:hint="eastAsia" w:ascii="仿宋_GB2312" w:hAnsi="仿宋_GB2312" w:eastAsia="仿宋_GB2312" w:cs="仿宋_GB2312"/>
                <w:sz w:val="24"/>
                <w:szCs w:val="24"/>
                <w:vertAlign w:val="baseline"/>
                <w:lang w:val="en-US" w:eastAsia="zh-CN"/>
              </w:rPr>
            </w:pPr>
          </w:p>
        </w:tc>
        <w:tc>
          <w:tcPr>
            <w:tcW w:w="4770"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未按招标文件要求提供</w:t>
            </w:r>
          </w:p>
        </w:tc>
        <w:tc>
          <w:tcPr>
            <w:tcW w:w="1613"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Merge w:val="restart"/>
            <w:vAlign w:val="center"/>
          </w:tcPr>
          <w:p>
            <w:pPr>
              <w:ind w:firstLine="240" w:firstLineChars="100"/>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335" w:type="dxa"/>
            <w:vMerge w:val="restart"/>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电信设备进网试用批文</w:t>
            </w:r>
          </w:p>
        </w:tc>
        <w:tc>
          <w:tcPr>
            <w:tcW w:w="4770"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提供招标设备的电信设备进网试用批文（中华人民共和国工业和信息化部颁发）且在有效范围内</w:t>
            </w:r>
          </w:p>
        </w:tc>
        <w:tc>
          <w:tcPr>
            <w:tcW w:w="1613"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Merge w:val="continue"/>
            <w:vAlign w:val="center"/>
          </w:tcPr>
          <w:p>
            <w:pPr>
              <w:jc w:val="both"/>
              <w:rPr>
                <w:rFonts w:hint="eastAsia" w:ascii="仿宋_GB2312" w:hAnsi="仿宋_GB2312" w:eastAsia="仿宋_GB2312" w:cs="仿宋_GB2312"/>
                <w:sz w:val="24"/>
                <w:szCs w:val="24"/>
                <w:vertAlign w:val="baseline"/>
                <w:lang w:val="en-US" w:eastAsia="zh-CN"/>
              </w:rPr>
            </w:pPr>
          </w:p>
        </w:tc>
        <w:tc>
          <w:tcPr>
            <w:tcW w:w="1335" w:type="dxa"/>
            <w:vMerge w:val="continue"/>
            <w:vAlign w:val="center"/>
          </w:tcPr>
          <w:p>
            <w:pPr>
              <w:jc w:val="both"/>
              <w:rPr>
                <w:rFonts w:hint="eastAsia" w:ascii="仿宋_GB2312" w:hAnsi="仿宋_GB2312" w:eastAsia="仿宋_GB2312" w:cs="仿宋_GB2312"/>
                <w:sz w:val="24"/>
                <w:szCs w:val="24"/>
                <w:vertAlign w:val="baseline"/>
                <w:lang w:val="en-US" w:eastAsia="zh-CN"/>
              </w:rPr>
            </w:pPr>
          </w:p>
        </w:tc>
        <w:tc>
          <w:tcPr>
            <w:tcW w:w="4770"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不提供招标设备的电信设备进网试用批文（中华人民共和国工业和信息化部颁发）</w:t>
            </w:r>
          </w:p>
        </w:tc>
        <w:tc>
          <w:tcPr>
            <w:tcW w:w="1613"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Merge w:val="restart"/>
            <w:vAlign w:val="center"/>
          </w:tcPr>
          <w:p>
            <w:pPr>
              <w:ind w:firstLine="240" w:firstLineChars="100"/>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335" w:type="dxa"/>
            <w:vMerge w:val="restart"/>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国家强制性产品认证证书</w:t>
            </w:r>
          </w:p>
        </w:tc>
        <w:tc>
          <w:tcPr>
            <w:tcW w:w="4770"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提供招标设备的中国国家强制性产品认证证书，且在有效期范围内</w:t>
            </w:r>
          </w:p>
        </w:tc>
        <w:tc>
          <w:tcPr>
            <w:tcW w:w="1613"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4" w:type="dxa"/>
            <w:vMerge w:val="continue"/>
            <w:vAlign w:val="center"/>
          </w:tcPr>
          <w:p>
            <w:pPr>
              <w:jc w:val="both"/>
              <w:rPr>
                <w:rFonts w:hint="eastAsia" w:ascii="仿宋_GB2312" w:hAnsi="仿宋_GB2312" w:eastAsia="仿宋_GB2312" w:cs="仿宋_GB2312"/>
                <w:sz w:val="24"/>
                <w:szCs w:val="24"/>
                <w:vertAlign w:val="baseline"/>
                <w:lang w:val="en-US" w:eastAsia="zh-CN"/>
              </w:rPr>
            </w:pPr>
          </w:p>
        </w:tc>
        <w:tc>
          <w:tcPr>
            <w:tcW w:w="1335" w:type="dxa"/>
            <w:vMerge w:val="continue"/>
            <w:vAlign w:val="center"/>
          </w:tcPr>
          <w:p>
            <w:pPr>
              <w:jc w:val="both"/>
              <w:rPr>
                <w:rFonts w:hint="eastAsia" w:ascii="仿宋_GB2312" w:hAnsi="仿宋_GB2312" w:eastAsia="仿宋_GB2312" w:cs="仿宋_GB2312"/>
                <w:sz w:val="24"/>
                <w:szCs w:val="24"/>
                <w:vertAlign w:val="baseline"/>
                <w:lang w:val="en-US" w:eastAsia="zh-CN"/>
              </w:rPr>
            </w:pPr>
          </w:p>
        </w:tc>
        <w:tc>
          <w:tcPr>
            <w:tcW w:w="4770"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不提供招标设备的中国国家强制性产品认证证书</w:t>
            </w:r>
          </w:p>
        </w:tc>
        <w:tc>
          <w:tcPr>
            <w:tcW w:w="1613"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拒绝</w:t>
            </w:r>
          </w:p>
        </w:tc>
      </w:tr>
    </w:tbl>
    <w:p>
      <w:pPr>
        <w:ind w:firstLine="640" w:firstLineChars="200"/>
        <w:jc w:val="left"/>
        <w:rPr>
          <w:rFonts w:hint="default"/>
          <w:sz w:val="32"/>
          <w:szCs w:val="32"/>
          <w:lang w:val="en-US" w:eastAsia="zh-CN"/>
        </w:rPr>
      </w:pPr>
    </w:p>
    <w:p>
      <w:pPr>
        <w:jc w:val="center"/>
        <w:rPr>
          <w:rFonts w:hint="eastAsia"/>
          <w:sz w:val="32"/>
          <w:szCs w:val="32"/>
          <w:lang w:val="en-US" w:eastAsia="zh-CN"/>
        </w:rPr>
      </w:pPr>
      <w:r>
        <w:rPr>
          <w:rFonts w:hint="eastAsia"/>
          <w:b/>
          <w:bCs/>
          <w:sz w:val="32"/>
          <w:szCs w:val="32"/>
          <w:lang w:val="en-US" w:eastAsia="zh-CN"/>
        </w:rPr>
        <w:t>评分标准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评分因素</w:t>
            </w:r>
          </w:p>
        </w:tc>
        <w:tc>
          <w:tcPr>
            <w:tcW w:w="4261"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分值分配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商务部分</w:t>
            </w:r>
          </w:p>
        </w:tc>
        <w:tc>
          <w:tcPr>
            <w:tcW w:w="4261"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技术部分</w:t>
            </w:r>
          </w:p>
        </w:tc>
        <w:tc>
          <w:tcPr>
            <w:tcW w:w="4261"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经济部分</w:t>
            </w:r>
          </w:p>
        </w:tc>
        <w:tc>
          <w:tcPr>
            <w:tcW w:w="4261"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合计</w:t>
            </w:r>
          </w:p>
        </w:tc>
        <w:tc>
          <w:tcPr>
            <w:tcW w:w="4261"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100分</w:t>
            </w:r>
          </w:p>
        </w:tc>
      </w:tr>
    </w:tbl>
    <w:p>
      <w:pPr>
        <w:jc w:val="center"/>
        <w:rPr>
          <w:rFonts w:hint="default"/>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sz w:val="32"/>
          <w:szCs w:val="32"/>
          <w:lang w:val="en-US" w:eastAsia="zh-CN"/>
        </w:rPr>
      </w:pPr>
      <w:r>
        <w:rPr>
          <w:rFonts w:hint="eastAsia" w:ascii="微软雅黑" w:hAnsi="微软雅黑" w:eastAsia="微软雅黑" w:cs="微软雅黑"/>
          <w:sz w:val="32"/>
          <w:szCs w:val="32"/>
          <w:lang w:val="en-US" w:eastAsia="zh-CN"/>
        </w:rPr>
        <w:t>评分因素分值的具体分配</w:t>
      </w:r>
    </w:p>
    <w:p>
      <w:pPr>
        <w:jc w:val="center"/>
        <w:rPr>
          <w:rFonts w:hint="eastAsia"/>
          <w:b/>
          <w:bCs/>
          <w:sz w:val="32"/>
          <w:szCs w:val="32"/>
          <w:lang w:val="en-US" w:eastAsia="zh-CN"/>
        </w:rPr>
      </w:pPr>
      <w:r>
        <w:rPr>
          <w:rFonts w:hint="eastAsia"/>
          <w:b/>
          <w:bCs/>
          <w:sz w:val="32"/>
          <w:szCs w:val="32"/>
          <w:lang w:val="en-US" w:eastAsia="zh-CN"/>
        </w:rPr>
        <w:t>商务部分</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4622"/>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序号</w:t>
            </w:r>
          </w:p>
        </w:tc>
        <w:tc>
          <w:tcPr>
            <w:tcW w:w="4622" w:type="dxa"/>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评分名称</w:t>
            </w:r>
          </w:p>
        </w:tc>
        <w:tc>
          <w:tcPr>
            <w:tcW w:w="2841" w:type="dxa"/>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分值30分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w:t>
            </w:r>
          </w:p>
        </w:tc>
        <w:tc>
          <w:tcPr>
            <w:tcW w:w="4622" w:type="dxa"/>
            <w:vAlign w:val="center"/>
          </w:tcPr>
          <w:p>
            <w:pPr>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1）近两年相关合作业务。每提供一个同类项目（云音响业务）得1分，最多得10分（提供合同关键页，即合同首页，中标金额页及双方签字盖章页，提供复印件并加盖投标人公章）（2）能提供至少5家投标产品客户满意调查问卷（2023年-2024年期间），每提供1份得2分，最多10分</w:t>
            </w:r>
          </w:p>
        </w:tc>
        <w:tc>
          <w:tcPr>
            <w:tcW w:w="2841" w:type="dxa"/>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0-20分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059" w:type="dxa"/>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2</w:t>
            </w:r>
          </w:p>
        </w:tc>
        <w:tc>
          <w:tcPr>
            <w:tcW w:w="4622" w:type="dxa"/>
            <w:vAlign w:val="center"/>
          </w:tcPr>
          <w:p>
            <w:pPr>
              <w:jc w:val="both"/>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投标企业综合实力。</w:t>
            </w:r>
          </w:p>
        </w:tc>
        <w:tc>
          <w:tcPr>
            <w:tcW w:w="2841" w:type="dxa"/>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4"/>
                <w:szCs w:val="24"/>
                <w:vertAlign w:val="baseli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059"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4622"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能提供与贵州农信及其他银行机构合作。</w:t>
            </w:r>
          </w:p>
        </w:tc>
        <w:tc>
          <w:tcPr>
            <w:tcW w:w="2841" w:type="dxa"/>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0-5分</w:t>
            </w:r>
          </w:p>
        </w:tc>
      </w:tr>
    </w:tbl>
    <w:p>
      <w:pPr>
        <w:jc w:val="center"/>
        <w:rPr>
          <w:rFonts w:hint="eastAsia"/>
          <w:b/>
          <w:bCs/>
          <w:sz w:val="32"/>
          <w:szCs w:val="32"/>
          <w:lang w:val="en-US" w:eastAsia="zh-CN"/>
        </w:rPr>
      </w:pPr>
    </w:p>
    <w:p>
      <w:pPr>
        <w:jc w:val="center"/>
        <w:rPr>
          <w:rFonts w:hint="eastAsia"/>
          <w:b/>
          <w:bCs/>
          <w:sz w:val="32"/>
          <w:szCs w:val="32"/>
          <w:lang w:val="en-US" w:eastAsia="zh-CN"/>
        </w:rPr>
      </w:pPr>
      <w:r>
        <w:rPr>
          <w:rFonts w:hint="eastAsia"/>
          <w:b/>
          <w:bCs/>
          <w:sz w:val="32"/>
          <w:szCs w:val="32"/>
          <w:lang w:val="en-US" w:eastAsia="zh-CN"/>
        </w:rPr>
        <w:t>技术部分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2190"/>
        <w:gridCol w:w="3840"/>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2190" w:type="dxa"/>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评分内容</w:t>
            </w:r>
          </w:p>
        </w:tc>
        <w:tc>
          <w:tcPr>
            <w:tcW w:w="3840" w:type="dxa"/>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评分方法</w:t>
            </w:r>
          </w:p>
        </w:tc>
        <w:tc>
          <w:tcPr>
            <w:tcW w:w="1385" w:type="dxa"/>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分值40分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restart"/>
            <w:vAlign w:val="center"/>
          </w:tcPr>
          <w:p>
            <w:pPr>
              <w:ind w:firstLine="240" w:firstLineChars="100"/>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2190" w:type="dxa"/>
            <w:vMerge w:val="restart"/>
            <w:vAlign w:val="center"/>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产品性能</w:t>
            </w:r>
          </w:p>
        </w:tc>
        <w:tc>
          <w:tcPr>
            <w:tcW w:w="3840" w:type="dxa"/>
            <w:vAlign w:val="center"/>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网络性能稳定，不存在网络延迟（5秒内视为正常），安全可靠（现场测试）</w:t>
            </w:r>
          </w:p>
        </w:tc>
        <w:tc>
          <w:tcPr>
            <w:tcW w:w="1385" w:type="dxa"/>
            <w:vAlign w:val="center"/>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Merge w:val="continue"/>
            <w:vAlign w:val="center"/>
          </w:tcPr>
          <w:p>
            <w:pPr>
              <w:jc w:val="both"/>
              <w:rPr>
                <w:rFonts w:hint="eastAsia" w:ascii="仿宋_GB2312" w:hAnsi="仿宋_GB2312" w:eastAsia="仿宋_GB2312" w:cs="仿宋_GB2312"/>
                <w:sz w:val="24"/>
                <w:szCs w:val="24"/>
                <w:vertAlign w:val="baseline"/>
                <w:lang w:val="en-US" w:eastAsia="zh-CN"/>
              </w:rPr>
            </w:pPr>
          </w:p>
        </w:tc>
        <w:tc>
          <w:tcPr>
            <w:tcW w:w="2190" w:type="dxa"/>
            <w:vMerge w:val="continue"/>
            <w:vAlign w:val="center"/>
          </w:tcPr>
          <w:p>
            <w:pPr>
              <w:jc w:val="both"/>
              <w:rPr>
                <w:rFonts w:hint="eastAsia" w:ascii="仿宋_GB2312" w:hAnsi="仿宋_GB2312" w:eastAsia="仿宋_GB2312" w:cs="仿宋_GB2312"/>
                <w:sz w:val="24"/>
                <w:szCs w:val="24"/>
                <w:vertAlign w:val="baseline"/>
                <w:lang w:val="en-US" w:eastAsia="zh-CN"/>
              </w:rPr>
            </w:pPr>
          </w:p>
        </w:tc>
        <w:tc>
          <w:tcPr>
            <w:tcW w:w="3840" w:type="dxa"/>
            <w:vAlign w:val="center"/>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网络性能稳定，安全可靠（超过5秒的，现场测试）</w:t>
            </w:r>
          </w:p>
        </w:tc>
        <w:tc>
          <w:tcPr>
            <w:tcW w:w="1385" w:type="dxa"/>
            <w:vAlign w:val="center"/>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center"/>
          </w:tcPr>
          <w:p>
            <w:pPr>
              <w:ind w:firstLine="240" w:firstLineChars="100"/>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2190" w:type="dxa"/>
            <w:vAlign w:val="center"/>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售后服务</w:t>
            </w:r>
          </w:p>
        </w:tc>
        <w:tc>
          <w:tcPr>
            <w:tcW w:w="3840" w:type="dxa"/>
            <w:vAlign w:val="center"/>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售后服务承诺情况（提供详尽的售后服务方案、人员配置、服务网点及电话等</w:t>
            </w:r>
          </w:p>
        </w:tc>
        <w:tc>
          <w:tcPr>
            <w:tcW w:w="1385" w:type="dxa"/>
            <w:vAlign w:val="center"/>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104" w:type="dxa"/>
            <w:vAlign w:val="center"/>
          </w:tcPr>
          <w:p>
            <w:pPr>
              <w:ind w:firstLine="240" w:firstLineChars="100"/>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2190" w:type="dxa"/>
            <w:vAlign w:val="center"/>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网络流量期限</w:t>
            </w:r>
          </w:p>
        </w:tc>
        <w:tc>
          <w:tcPr>
            <w:tcW w:w="3840" w:type="dxa"/>
            <w:vAlign w:val="center"/>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3年（得分5）、4年（得分8分）、5年（得分10分）</w:t>
            </w:r>
          </w:p>
        </w:tc>
        <w:tc>
          <w:tcPr>
            <w:tcW w:w="1385" w:type="dxa"/>
            <w:vAlign w:val="center"/>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104" w:type="dxa"/>
            <w:vAlign w:val="center"/>
          </w:tcPr>
          <w:p>
            <w:pPr>
              <w:ind w:firstLine="240" w:firstLineChars="100"/>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2190"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产品外观及材质</w:t>
            </w:r>
          </w:p>
        </w:tc>
        <w:tc>
          <w:tcPr>
            <w:tcW w:w="3840" w:type="dxa"/>
            <w:vAlign w:val="center"/>
          </w:tcPr>
          <w:p>
            <w:pPr>
              <w:jc w:val="both"/>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kern w:val="2"/>
                <w:sz w:val="24"/>
                <w:szCs w:val="24"/>
                <w:vertAlign w:val="baseline"/>
                <w:lang w:val="en-US" w:eastAsia="zh-CN" w:bidi="ar-SA"/>
              </w:rPr>
              <w:t>以现场提供样品作为参考依据。</w:t>
            </w:r>
          </w:p>
        </w:tc>
        <w:tc>
          <w:tcPr>
            <w:tcW w:w="1385" w:type="dxa"/>
            <w:vAlign w:val="center"/>
          </w:tcPr>
          <w:p>
            <w:pPr>
              <w:jc w:val="both"/>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1-5分</w:t>
            </w:r>
          </w:p>
        </w:tc>
      </w:tr>
    </w:tbl>
    <w:p>
      <w:pPr>
        <w:jc w:val="center"/>
        <w:rPr>
          <w:rFonts w:hint="default"/>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sz w:val="32"/>
          <w:szCs w:val="32"/>
          <w:lang w:val="en-US" w:eastAsia="zh-CN"/>
        </w:rPr>
      </w:pPr>
      <w:r>
        <w:rPr>
          <w:rFonts w:hint="eastAsia"/>
          <w:b/>
          <w:bCs/>
          <w:sz w:val="32"/>
          <w:szCs w:val="32"/>
          <w:lang w:val="en-US" w:eastAsia="zh-CN"/>
        </w:rPr>
        <w:t>经济部分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（1）计算方法：满足招标文件要求最低投标报价为基准价，得分30分。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报价得分=（基准价/投标报价）*30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（2）满足招标文件要求且</w:t>
      </w:r>
      <w:bookmarkStart w:id="0" w:name="_GoBack"/>
      <w:bookmarkEnd w:id="0"/>
      <w:r>
        <w:rPr>
          <w:rFonts w:hint="default" w:ascii="Times New Roman" w:hAnsi="Times New Roman" w:eastAsia="仿宋_GB2312" w:cs="Times New Roman"/>
          <w:sz w:val="32"/>
          <w:szCs w:val="32"/>
          <w:lang w:val="en-US" w:eastAsia="zh-CN"/>
        </w:rPr>
        <w:t>投标价格最低的投标报价为评标基准价，其价格分为满分，其他投标人的价格分值统一按照上述公式计算。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FC7F50"/>
    <w:rsid w:val="00715A6B"/>
    <w:rsid w:val="073D0B8A"/>
    <w:rsid w:val="0D670895"/>
    <w:rsid w:val="10756377"/>
    <w:rsid w:val="1E065D0B"/>
    <w:rsid w:val="2B121C65"/>
    <w:rsid w:val="36B50BAE"/>
    <w:rsid w:val="489944ED"/>
    <w:rsid w:val="4B6976DC"/>
    <w:rsid w:val="4B8B2D0E"/>
    <w:rsid w:val="61FC7F50"/>
    <w:rsid w:val="626959AD"/>
    <w:rsid w:val="6433769B"/>
    <w:rsid w:val="79F73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2024-06-19T00:47:00Z</dcterms:created>
  <dc:creator>129520-龙飞跃</dc:creator>
  <cp:lastModifiedBy>106686-严杰</cp:lastModifiedBy>
  <dcterms:modified xsi:type="dcterms:W3CDTF">2024-10-12T06:34:51Z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