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印江农商银行员工团体综合保障保险服务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项目评审方案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</w:t>
      </w:r>
      <w:r>
        <w:rPr>
          <w:rFonts w:hint="eastAsia" w:ascii="黑体" w:hAnsi="黑体" w:eastAsia="黑体" w:cs="黑体"/>
          <w:sz w:val="32"/>
          <w:szCs w:val="32"/>
        </w:rPr>
        <w:t>、采购评审委员会组成和监督机构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采购评审委员会构成：从印江农商银行采购评审内部专家库抽签产生5人。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监督机构：纪检监察室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二</w:t>
      </w:r>
      <w:r>
        <w:rPr>
          <w:rFonts w:hint="eastAsia" w:ascii="黑体" w:hAnsi="黑体" w:eastAsia="黑体" w:cs="黑体"/>
          <w:sz w:val="32"/>
          <w:szCs w:val="32"/>
        </w:rPr>
        <w:t>、评审办法和评分标准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评价方法：综合评审价格法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评审程序：集中采购办公室负责人负责组织召开本次采购评审委员会。采取现场拆封报价，就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投标报价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、投标方案保障项目、服务承诺及质量</w:t>
      </w:r>
      <w:r>
        <w:rPr>
          <w:rFonts w:hint="eastAsia" w:ascii="仿宋_GB2312" w:hAnsi="仿宋_GB2312" w:eastAsia="仿宋_GB2312" w:cs="仿宋_GB2312"/>
          <w:sz w:val="32"/>
          <w:szCs w:val="32"/>
        </w:rPr>
        <w:t>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评价项目</w:t>
      </w:r>
      <w:r>
        <w:rPr>
          <w:rFonts w:hint="eastAsia" w:ascii="仿宋_GB2312" w:hAnsi="仿宋_GB2312" w:eastAsia="仿宋_GB2312" w:cs="仿宋_GB2312"/>
          <w:sz w:val="32"/>
          <w:szCs w:val="32"/>
        </w:rPr>
        <w:t>进行逐项打分，去掉一个最高，去掉一个最低分，综合评分最高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机构</w:t>
      </w:r>
      <w:r>
        <w:rPr>
          <w:rFonts w:hint="eastAsia" w:ascii="仿宋_GB2312" w:hAnsi="仿宋_GB2312" w:eastAsia="仿宋_GB2312" w:cs="仿宋_GB2312"/>
          <w:sz w:val="32"/>
          <w:szCs w:val="32"/>
        </w:rPr>
        <w:t>为中标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机构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报价方式：一次报出书面密封报价，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机构</w:t>
      </w:r>
      <w:r>
        <w:rPr>
          <w:rFonts w:hint="eastAsia" w:ascii="仿宋_GB2312" w:hAnsi="仿宋_GB2312" w:eastAsia="仿宋_GB2312" w:cs="仿宋_GB2312"/>
          <w:sz w:val="32"/>
          <w:szCs w:val="32"/>
        </w:rPr>
        <w:t>代表需到达评标会现场，并进行二次报价，两次报价中以低价为准。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公示方式与时间：印江农商银行将于202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29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日前将评审结果反馈至报价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机构</w:t>
      </w:r>
      <w:r>
        <w:rPr>
          <w:rFonts w:hint="eastAsia" w:ascii="仿宋_GB2312" w:hAnsi="仿宋_GB2312" w:eastAsia="仿宋_GB2312" w:cs="仿宋_GB2312"/>
          <w:sz w:val="32"/>
          <w:szCs w:val="32"/>
        </w:rPr>
        <w:t>，并进行三日公示。202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日前如未收到不良反应的，将与中标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机构</w:t>
      </w:r>
      <w:r>
        <w:rPr>
          <w:rFonts w:hint="eastAsia" w:ascii="仿宋_GB2312" w:hAnsi="仿宋_GB2312" w:eastAsia="仿宋_GB2312" w:cs="仿宋_GB2312"/>
          <w:sz w:val="32"/>
          <w:szCs w:val="32"/>
        </w:rPr>
        <w:t>签订采购合同。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br w:type="page"/>
      </w:r>
    </w:p>
    <w:p>
      <w:pPr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三、评分项目及分值</w:t>
      </w:r>
    </w:p>
    <w:tbl>
      <w:tblPr>
        <w:tblStyle w:val="6"/>
        <w:tblpPr w:leftFromText="180" w:rightFromText="180" w:vertAnchor="text" w:horzAnchor="page" w:tblpX="1716" w:tblpY="252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4"/>
        <w:gridCol w:w="1065"/>
        <w:gridCol w:w="1515"/>
        <w:gridCol w:w="870"/>
        <w:gridCol w:w="930"/>
        <w:gridCol w:w="3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</w:trPr>
        <w:tc>
          <w:tcPr>
            <w:tcW w:w="874" w:type="dxa"/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32"/>
                <w:szCs w:val="32"/>
                <w:vertAlign w:val="baseline"/>
                <w:lang w:eastAsia="zh-CN"/>
              </w:rPr>
              <w:t>序号</w:t>
            </w:r>
          </w:p>
        </w:tc>
        <w:tc>
          <w:tcPr>
            <w:tcW w:w="2580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32"/>
                <w:szCs w:val="32"/>
                <w:vertAlign w:val="baseline"/>
                <w:lang w:eastAsia="zh-CN"/>
              </w:rPr>
              <w:t>评价项目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b/>
                <w:bCs/>
                <w:sz w:val="32"/>
                <w:szCs w:val="32"/>
                <w:vertAlign w:val="baseline"/>
              </w:rPr>
            </w:pPr>
            <w:r>
              <w:rPr>
                <w:rFonts w:hint="eastAsia"/>
                <w:b/>
                <w:bCs/>
                <w:sz w:val="32"/>
                <w:szCs w:val="32"/>
                <w:vertAlign w:val="baseline"/>
                <w:lang w:eastAsia="zh-CN"/>
              </w:rPr>
              <w:t>分值</w:t>
            </w:r>
          </w:p>
        </w:tc>
        <w:tc>
          <w:tcPr>
            <w:tcW w:w="930" w:type="dxa"/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32"/>
                <w:szCs w:val="32"/>
                <w:vertAlign w:val="baseline"/>
                <w:lang w:val="en-US" w:eastAsia="zh-CN"/>
              </w:rPr>
              <w:t>评价得分</w:t>
            </w:r>
          </w:p>
        </w:tc>
        <w:tc>
          <w:tcPr>
            <w:tcW w:w="3268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32"/>
                <w:szCs w:val="32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60" w:hRule="atLeast"/>
        </w:trPr>
        <w:tc>
          <w:tcPr>
            <w:tcW w:w="874" w:type="dxa"/>
            <w:vAlign w:val="center"/>
          </w:tcPr>
          <w:p>
            <w:pPr>
              <w:jc w:val="center"/>
              <w:rPr>
                <w:rFonts w:hint="eastAsia" w:eastAsiaTheme="minor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1</w:t>
            </w: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 w:eastAsiaTheme="minorEastAsia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eastAsia="zh-CN"/>
              </w:rPr>
              <w:t>投标报价（</w:t>
            </w: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70分</w:t>
            </w:r>
            <w:r>
              <w:rPr>
                <w:rFonts w:hint="eastAsia"/>
                <w:sz w:val="20"/>
                <w:szCs w:val="20"/>
                <w:vertAlign w:val="baseline"/>
                <w:lang w:eastAsia="zh-CN"/>
              </w:rPr>
              <w:t>）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 w:eastAsiaTheme="minorEastAsia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eastAsia="zh-CN"/>
              </w:rPr>
              <w:t>人均保险费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default" w:eastAsiaTheme="minor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70</w:t>
            </w:r>
          </w:p>
        </w:tc>
        <w:tc>
          <w:tcPr>
            <w:tcW w:w="930" w:type="dxa"/>
            <w:vAlign w:val="center"/>
          </w:tcPr>
          <w:p>
            <w:pPr>
              <w:jc w:val="center"/>
              <w:rPr>
                <w:sz w:val="20"/>
                <w:szCs w:val="20"/>
                <w:vertAlign w:val="baseline"/>
              </w:rPr>
            </w:pPr>
          </w:p>
        </w:tc>
        <w:tc>
          <w:tcPr>
            <w:tcW w:w="32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eastAsiaTheme="minor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以本次最低投标报价为基准价，得满分，投标报价得分=70分×(基准价／投标报价).得分精确到小数点后两位。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087" w:hRule="atLeast"/>
        </w:trPr>
        <w:tc>
          <w:tcPr>
            <w:tcW w:w="874" w:type="dxa"/>
            <w:vAlign w:val="center"/>
          </w:tcPr>
          <w:p>
            <w:pPr>
              <w:jc w:val="center"/>
              <w:rPr>
                <w:rFonts w:hint="eastAsia" w:eastAsiaTheme="minor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2</w:t>
            </w: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default" w:eastAsiaTheme="minor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eastAsia="zh-CN"/>
              </w:rPr>
              <w:t>投标方案保障项目（</w:t>
            </w: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20分</w:t>
            </w:r>
            <w:r>
              <w:rPr>
                <w:rFonts w:hint="eastAsia"/>
                <w:sz w:val="20"/>
                <w:szCs w:val="20"/>
                <w:vertAlign w:val="baseline"/>
                <w:lang w:eastAsia="zh-CN"/>
              </w:rPr>
              <w:t>）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default" w:eastAsiaTheme="minor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eastAsia="zh-CN"/>
              </w:rPr>
              <w:t>保障服务项目数：包含但不限于意外身故</w:t>
            </w: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/残疾、疾病身故/残疾、重大疾病等项目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default" w:eastAsiaTheme="minor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20</w:t>
            </w:r>
          </w:p>
        </w:tc>
        <w:tc>
          <w:tcPr>
            <w:tcW w:w="930" w:type="dxa"/>
            <w:vAlign w:val="center"/>
          </w:tcPr>
          <w:p>
            <w:pPr>
              <w:jc w:val="center"/>
              <w:rPr>
                <w:sz w:val="20"/>
                <w:szCs w:val="20"/>
                <w:vertAlign w:val="baseline"/>
              </w:rPr>
            </w:pPr>
          </w:p>
        </w:tc>
        <w:tc>
          <w:tcPr>
            <w:tcW w:w="3268" w:type="dxa"/>
            <w:vAlign w:val="center"/>
          </w:tcPr>
          <w:p>
            <w:pPr>
              <w:jc w:val="center"/>
              <w:rPr>
                <w:rFonts w:hint="default" w:eastAsiaTheme="minor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eastAsia="zh-CN"/>
              </w:rPr>
              <w:t>保障方案中至少应有意外身故/残疾、疾病身故/残疾、重大疾病、</w:t>
            </w:r>
            <w:r>
              <w:rPr>
                <w:rFonts w:hint="eastAsia"/>
                <w:sz w:val="20"/>
                <w:szCs w:val="20"/>
                <w:vertAlign w:val="baseline"/>
              </w:rPr>
              <w:t>意外伤害医疗</w:t>
            </w:r>
            <w:r>
              <w:rPr>
                <w:rFonts w:hint="eastAsia"/>
                <w:sz w:val="20"/>
                <w:szCs w:val="20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0"/>
                <w:szCs w:val="20"/>
                <w:vertAlign w:val="baseline"/>
              </w:rPr>
              <w:t>意外住院补贴</w:t>
            </w:r>
            <w:r>
              <w:rPr>
                <w:rFonts w:hint="eastAsia"/>
                <w:sz w:val="20"/>
                <w:szCs w:val="20"/>
                <w:vertAlign w:val="baseline"/>
                <w:lang w:eastAsia="zh-CN"/>
              </w:rPr>
              <w:t>项目且符合我</w:t>
            </w: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行</w:t>
            </w:r>
            <w:r>
              <w:rPr>
                <w:rFonts w:hint="eastAsia"/>
                <w:sz w:val="20"/>
                <w:szCs w:val="20"/>
                <w:vertAlign w:val="baseline"/>
                <w:lang w:eastAsia="zh-CN"/>
              </w:rPr>
              <w:t>最低保额要求的得基准分</w:t>
            </w: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15分，每缺一项在基准分上扣5分，以上五项外的附加项目在基准分上每多一项加1分进行打分，附加项目数相同的按保障金额高低赋分，最高加分为5分。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57" w:hRule="atLeast"/>
        </w:trPr>
        <w:tc>
          <w:tcPr>
            <w:tcW w:w="874" w:type="dxa"/>
            <w:vAlign w:val="center"/>
          </w:tcPr>
          <w:p>
            <w:pPr>
              <w:jc w:val="center"/>
              <w:rPr>
                <w:rFonts w:hint="eastAsia" w:eastAsiaTheme="minor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3</w:t>
            </w:r>
          </w:p>
        </w:tc>
        <w:tc>
          <w:tcPr>
            <w:tcW w:w="1065" w:type="dxa"/>
            <w:vAlign w:val="center"/>
          </w:tcPr>
          <w:p>
            <w:pPr>
              <w:jc w:val="center"/>
              <w:rPr>
                <w:rFonts w:hint="eastAsia" w:eastAsiaTheme="minorEastAsia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eastAsia="zh-CN"/>
              </w:rPr>
              <w:t>服务承诺、</w:t>
            </w: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服务质量</w:t>
            </w:r>
            <w:r>
              <w:rPr>
                <w:rFonts w:hint="eastAsia"/>
                <w:sz w:val="20"/>
                <w:szCs w:val="20"/>
                <w:vertAlign w:val="baseline"/>
                <w:lang w:eastAsia="zh-CN"/>
              </w:rPr>
              <w:t>（</w:t>
            </w: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10分</w:t>
            </w:r>
            <w:r>
              <w:rPr>
                <w:rFonts w:hint="eastAsia"/>
                <w:sz w:val="20"/>
                <w:szCs w:val="20"/>
                <w:vertAlign w:val="baseline"/>
                <w:lang w:eastAsia="zh-CN"/>
              </w:rPr>
              <w:t>）</w:t>
            </w:r>
          </w:p>
        </w:tc>
        <w:tc>
          <w:tcPr>
            <w:tcW w:w="1515" w:type="dxa"/>
            <w:vAlign w:val="center"/>
          </w:tcPr>
          <w:p>
            <w:pPr>
              <w:jc w:val="center"/>
              <w:rPr>
                <w:rFonts w:hint="eastAsia" w:eastAsiaTheme="minorEastAsia"/>
                <w:sz w:val="20"/>
                <w:szCs w:val="20"/>
                <w:vertAlign w:val="baseline"/>
                <w:lang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eastAsia="zh-CN"/>
              </w:rPr>
              <w:t>服务响应承诺、</w:t>
            </w: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服务质量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default" w:eastAsiaTheme="minor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10</w:t>
            </w:r>
          </w:p>
        </w:tc>
        <w:tc>
          <w:tcPr>
            <w:tcW w:w="930" w:type="dxa"/>
            <w:vAlign w:val="center"/>
          </w:tcPr>
          <w:p>
            <w:pPr>
              <w:jc w:val="center"/>
              <w:rPr>
                <w:sz w:val="20"/>
                <w:szCs w:val="20"/>
                <w:vertAlign w:val="baseline"/>
              </w:rPr>
            </w:pPr>
          </w:p>
        </w:tc>
        <w:tc>
          <w:tcPr>
            <w:tcW w:w="32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eastAsia="zh-CN"/>
              </w:rPr>
              <w:t>根据保险方案中明确服务承诺事项进行打分（方案中未明确的可现场问询投标人承诺事项），</w:t>
            </w: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服务承诺包括但不限于服务小组（服务专员）、全天候接报案制度、受理理赔承诺、结算案时限承诺等,，结合具体承诺情况打分。如明确服务小组（服务专员）且在印江辖区有固定服务场所的在同等条件下多得1分，最高得分不超过5分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default" w:eastAsiaTheme="minorEastAsia"/>
                <w:sz w:val="20"/>
                <w:szCs w:val="20"/>
                <w:vertAlign w:val="baseline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vertAlign w:val="baseline"/>
                <w:lang w:val="en-US" w:eastAsia="zh-CN"/>
              </w:rPr>
              <w:t>根据机构过往业务合作服务质量进行打分（0-5分）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6816B3"/>
    <w:rsid w:val="027A152C"/>
    <w:rsid w:val="050B73A7"/>
    <w:rsid w:val="0E6F1B7C"/>
    <w:rsid w:val="0E8E0378"/>
    <w:rsid w:val="111F4BFC"/>
    <w:rsid w:val="18A83D99"/>
    <w:rsid w:val="219E6124"/>
    <w:rsid w:val="21F80A0A"/>
    <w:rsid w:val="2484537D"/>
    <w:rsid w:val="302E58DD"/>
    <w:rsid w:val="36B5224C"/>
    <w:rsid w:val="423C7D3E"/>
    <w:rsid w:val="44443858"/>
    <w:rsid w:val="44FC750B"/>
    <w:rsid w:val="454B60BA"/>
    <w:rsid w:val="483D55DA"/>
    <w:rsid w:val="4B9E2E36"/>
    <w:rsid w:val="4C7804ED"/>
    <w:rsid w:val="4DF30121"/>
    <w:rsid w:val="51702C7C"/>
    <w:rsid w:val="582E0850"/>
    <w:rsid w:val="6C340184"/>
    <w:rsid w:val="71595460"/>
    <w:rsid w:val="763431F2"/>
    <w:rsid w:val="77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4">
    <w:name w:val="heading 2"/>
    <w:basedOn w:val="1"/>
    <w:next w:val="1"/>
    <w:qFormat/>
    <w:uiPriority w:val="0"/>
    <w:pPr>
      <w:keepNext/>
      <w:keepLines/>
      <w:spacing w:before="260" w:after="260" w:line="416" w:lineRule="auto"/>
      <w:ind w:firstLine="630" w:firstLineChars="196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UserStyle_0"/>
    <w:basedOn w:val="1"/>
    <w:qFormat/>
    <w:uiPriority w:val="0"/>
    <w:pPr>
      <w:widowControl/>
      <w:jc w:val="both"/>
      <w:textAlignment w:val="baseline"/>
    </w:pPr>
    <w:rPr>
      <w:rFonts w:eastAsia="宋体"/>
      <w:kern w:val="0"/>
      <w:sz w:val="21"/>
      <w:szCs w:val="24"/>
      <w:lang w:val="en-US" w:eastAsia="zh-CN" w:bidi="ar-SA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2024-04-22T02:26:00Z</dcterms:created>
  <dc:creator>Administrator</dc:creator>
  <cp:lastModifiedBy>106686-严杰</cp:lastModifiedBy>
  <cp:lastPrinted>2024-04-28T03:32:00Z</cp:lastPrinted>
  <dcterms:modified xsi:type="dcterms:W3CDTF">2024-09-25T08:15:27Z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