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869"/>
        <w:gridCol w:w="1170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85"/>
                <w:kern w:val="0"/>
                <w:sz w:val="32"/>
                <w:szCs w:val="32"/>
                <w:lang w:val="en-US" w:eastAsia="zh-CN" w:bidi="ar"/>
              </w:rPr>
              <w:t>贵州从江农村商业银行股份有限公司UPS电源电池项目供应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85"/>
                <w:kern w:val="0"/>
                <w:sz w:val="32"/>
                <w:szCs w:val="32"/>
                <w:lang w:bidi="ar"/>
              </w:rPr>
              <w:t>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3A57F81"/>
    <w:rsid w:val="04417F6A"/>
    <w:rsid w:val="04B71934"/>
    <w:rsid w:val="05331149"/>
    <w:rsid w:val="06450ECB"/>
    <w:rsid w:val="067739B6"/>
    <w:rsid w:val="06CC42B6"/>
    <w:rsid w:val="07386494"/>
    <w:rsid w:val="07BB5A8C"/>
    <w:rsid w:val="08434F63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BE6C44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DFE0833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8D6E71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AB2C7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3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刘艺楠</cp:lastModifiedBy>
  <cp:lastPrinted>2023-02-10T03:49:00Z</cp:lastPrinted>
  <dcterms:modified xsi:type="dcterms:W3CDTF">2024-08-16T08:47:32Z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