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sz w:val="44"/>
          <w:szCs w:val="44"/>
        </w:rPr>
        <w:t>清镇农村商业银行股份有限公司2024年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sz w:val="44"/>
          <w:szCs w:val="44"/>
        </w:rPr>
        <w:t>第一季度第三支柱信息披露报告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行为第二档商业银行中的非上市银行，根据《商业银行资本管理办法》（以下简称“办法”）附件22《商业银行信息披露内容和要求》以及《国家金融监督管理总局关于实施&lt;商业银行资本管理办法&gt;相关事项的通知》（金规〔2023〕9号）的相关规定，本行进行信息披露。本报告披露的报表已经本行高级管理层确认。根据办法，本行首次披露相关信息，无需对前期数据追溯披露。本季度需披露的报表如下：</w:t>
      </w:r>
    </w:p>
    <w:tbl>
      <w:tblPr>
        <w:tblStyle w:val="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0"/>
        <w:gridCol w:w="3934"/>
        <w:gridCol w:w="2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3"/>
            <w:tcBorders>
              <w:bottom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0"/>
                <w:szCs w:val="20"/>
                <w:u w:val="none"/>
              </w:rPr>
            </w:pPr>
            <w:bookmarkStart w:id="0" w:name="_GoBack"/>
            <w:r>
              <w:rPr>
                <w:rFonts w:hint="eastAsia" w:ascii="仿宋_GB2312" w:hAnsi="仿宋_GB2312" w:eastAsia="仿宋_GB2312" w:cs="仿宋_GB2312"/>
                <w:b/>
                <w:bCs/>
                <w:i w:val="0"/>
                <w:iCs w:val="0"/>
                <w:color w:val="000000"/>
                <w:kern w:val="0"/>
                <w:sz w:val="22"/>
                <w:szCs w:val="22"/>
                <w:u w:val="none"/>
                <w:lang w:val="en-US" w:eastAsia="zh-CN" w:bidi="ar"/>
              </w:rPr>
              <w:t>表格KM1：监管并表关键审慎监管指标(季度)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3"/>
            <w:tcBorders>
              <w:top w:val="single" w:color="000000" w:sz="8" w:space="0"/>
              <w:bottom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2024年1季度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3"/>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可用资本（数额）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30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核心一级资本净额</w:t>
            </w:r>
          </w:p>
        </w:tc>
        <w:tc>
          <w:tcPr>
            <w:tcW w:w="1412"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78868.85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一级资本净额</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78868.85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资本净额</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98673.74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3"/>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1"/>
                <w:szCs w:val="21"/>
                <w:u w:val="none"/>
                <w:lang w:val="en-US" w:eastAsia="zh-CN" w:bidi="ar"/>
              </w:rPr>
              <w:t>风险加权资产（数额）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30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风险加权资产</w:t>
            </w:r>
          </w:p>
        </w:tc>
        <w:tc>
          <w:tcPr>
            <w:tcW w:w="1412"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867946.22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3"/>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1"/>
                <w:szCs w:val="21"/>
                <w:u w:val="none"/>
                <w:lang w:val="en-US" w:eastAsia="zh-CN" w:bidi="ar"/>
              </w:rPr>
              <w:t>资本充足率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核心一级资本充足率（%）</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9.09%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一级资本充足率（%）</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9.09%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资本充足率（%）</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11.37%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3"/>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1"/>
                <w:szCs w:val="21"/>
                <w:u w:val="none"/>
                <w:lang w:val="en-US" w:eastAsia="zh-CN" w:bidi="ar"/>
              </w:rPr>
              <w:t>其他各级资本要求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30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储备资本要求（%）</w:t>
            </w:r>
          </w:p>
        </w:tc>
        <w:tc>
          <w:tcPr>
            <w:tcW w:w="1412"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逆周期资本要求（%）</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全球系统重要性银行或国内系统重要性银行附加资本要求（%）</w:t>
            </w:r>
          </w:p>
        </w:tc>
        <w:tc>
          <w:tcPr>
            <w:tcW w:w="1412" w:type="pct"/>
            <w:tcBorders>
              <w:top w:val="nil"/>
              <w:left w:val="single" w:color="000000" w:sz="8" w:space="0"/>
              <w:bottom w:val="single" w:color="000000" w:sz="8" w:space="0"/>
            </w:tcBorders>
            <w:shd w:val="clear" w:color="auto" w:fill="BEBEBE"/>
            <w:vAlign w:val="bottom"/>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其他各级资本要求（%）（8+9+10）</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满足最低资本要求后的可用核心一级资本净额占风险加权资产的比例（%）</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3.37%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3"/>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1"/>
                <w:szCs w:val="21"/>
                <w:u w:val="none"/>
                <w:lang w:val="en-US" w:eastAsia="zh-CN" w:bidi="ar"/>
              </w:rPr>
              <w:t>杠杆率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30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调整后表内外资产余额</w:t>
            </w:r>
          </w:p>
        </w:tc>
        <w:tc>
          <w:tcPr>
            <w:tcW w:w="1412"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1456303.25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Style w:val="6"/>
                <w:rFonts w:hint="eastAsia" w:ascii="仿宋_GB2312" w:hAnsi="仿宋_GB2312" w:eastAsia="仿宋_GB2312" w:cs="仿宋_GB2312"/>
                <w:sz w:val="21"/>
                <w:szCs w:val="21"/>
                <w:lang w:val="en-US" w:eastAsia="zh-CN" w:bidi="ar"/>
              </w:rPr>
              <w:t>杠杆率（%）</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5.39%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14a</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Style w:val="6"/>
                <w:rFonts w:hint="eastAsia" w:ascii="仿宋_GB2312" w:hAnsi="仿宋_GB2312" w:eastAsia="仿宋_GB2312" w:cs="仿宋_GB2312"/>
                <w:sz w:val="21"/>
                <w:szCs w:val="21"/>
                <w:lang w:val="en-US" w:eastAsia="zh-CN" w:bidi="ar"/>
              </w:rPr>
              <w:t>杠杆率a（%）</w:t>
            </w:r>
          </w:p>
        </w:tc>
        <w:tc>
          <w:tcPr>
            <w:tcW w:w="1412"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5.39%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3"/>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1"/>
                <w:szCs w:val="21"/>
                <w:u w:val="none"/>
                <w:lang w:val="en-US" w:eastAsia="zh-CN" w:bidi="ar"/>
              </w:rPr>
              <w:t>流动性覆盖率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30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合格优质流动性资产</w:t>
            </w:r>
          </w:p>
        </w:tc>
        <w:tc>
          <w:tcPr>
            <w:tcW w:w="1412" w:type="pct"/>
            <w:tcBorders>
              <w:top w:val="single" w:color="000000" w:sz="8" w:space="0"/>
              <w:left w:val="single" w:color="000000" w:sz="8" w:space="0"/>
              <w:bottom w:val="single" w:color="000000" w:sz="8" w:space="0"/>
            </w:tcBorders>
            <w:shd w:val="clear" w:color="auto" w:fill="A6A6A6"/>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FF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Style w:val="6"/>
                <w:rFonts w:hint="eastAsia" w:ascii="仿宋_GB2312" w:hAnsi="仿宋_GB2312" w:eastAsia="仿宋_GB2312" w:cs="仿宋_GB2312"/>
                <w:sz w:val="21"/>
                <w:szCs w:val="21"/>
                <w:lang w:val="en-US" w:eastAsia="zh-CN" w:bidi="ar"/>
              </w:rPr>
              <w:t>现金净流出量</w:t>
            </w:r>
          </w:p>
        </w:tc>
        <w:tc>
          <w:tcPr>
            <w:tcW w:w="1412" w:type="pct"/>
            <w:tcBorders>
              <w:top w:val="nil"/>
              <w:left w:val="single" w:color="000000" w:sz="8" w:space="0"/>
              <w:bottom w:val="single" w:color="000000" w:sz="8" w:space="0"/>
            </w:tcBorders>
            <w:shd w:val="clear" w:color="auto" w:fill="A6A6A6"/>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FF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流动性覆盖率（%）</w:t>
            </w:r>
          </w:p>
        </w:tc>
        <w:tc>
          <w:tcPr>
            <w:tcW w:w="1412" w:type="pct"/>
            <w:tcBorders>
              <w:top w:val="nil"/>
              <w:left w:val="single" w:color="000000" w:sz="8" w:space="0"/>
              <w:bottom w:val="single" w:color="000000" w:sz="8" w:space="0"/>
            </w:tcBorders>
            <w:shd w:val="clear" w:color="auto" w:fill="A6A6A6"/>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FF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3"/>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1"/>
                <w:szCs w:val="21"/>
                <w:u w:val="none"/>
                <w:lang w:val="en-US" w:eastAsia="zh-CN" w:bidi="ar"/>
              </w:rPr>
              <w:t>净稳定资金比例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230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1"/>
                <w:szCs w:val="21"/>
                <w:u w:val="none"/>
                <w:lang w:val="en-US" w:eastAsia="zh-CN" w:bidi="ar"/>
              </w:rPr>
              <w:t>可用稳定资金合计</w:t>
            </w:r>
          </w:p>
        </w:tc>
        <w:tc>
          <w:tcPr>
            <w:tcW w:w="1412" w:type="pct"/>
            <w:tcBorders>
              <w:top w:val="single" w:color="000000" w:sz="8" w:space="0"/>
              <w:left w:val="single" w:color="000000" w:sz="8" w:space="0"/>
              <w:bottom w:val="single" w:color="000000" w:sz="8" w:space="0"/>
            </w:tcBorders>
            <w:shd w:val="clear" w:color="auto" w:fill="BFBFBF"/>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1"/>
                <w:szCs w:val="21"/>
                <w:u w:val="none"/>
                <w:lang w:val="en-US" w:eastAsia="zh-CN" w:bidi="ar"/>
              </w:rPr>
              <w:t>19</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1"/>
                <w:szCs w:val="21"/>
                <w:u w:val="none"/>
                <w:lang w:val="en-US" w:eastAsia="zh-CN" w:bidi="ar"/>
              </w:rPr>
              <w:t>所需稳定资金合计</w:t>
            </w:r>
          </w:p>
        </w:tc>
        <w:tc>
          <w:tcPr>
            <w:tcW w:w="1412" w:type="pct"/>
            <w:tcBorders>
              <w:top w:val="nil"/>
              <w:left w:val="single" w:color="000000" w:sz="8" w:space="0"/>
              <w:bottom w:val="single" w:color="000000" w:sz="8" w:space="0"/>
            </w:tcBorders>
            <w:shd w:val="clear" w:color="auto" w:fill="BFBFBF"/>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2308"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1"/>
                <w:szCs w:val="21"/>
                <w:u w:val="none"/>
                <w:lang w:val="en-US" w:eastAsia="zh-CN" w:bidi="ar"/>
              </w:rPr>
              <w:t>净稳定资金比例（%）</w:t>
            </w:r>
          </w:p>
        </w:tc>
        <w:tc>
          <w:tcPr>
            <w:tcW w:w="1412" w:type="pct"/>
            <w:tcBorders>
              <w:top w:val="nil"/>
              <w:left w:val="single" w:color="000000" w:sz="8" w:space="0"/>
              <w:bottom w:val="single" w:color="000000" w:sz="8" w:space="0"/>
            </w:tcBorders>
            <w:shd w:val="clear" w:color="auto" w:fill="BFBFBF"/>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3"/>
            <w:tcBorders>
              <w:top w:val="nil"/>
              <w:bottom w:val="single" w:color="000000" w:sz="8" w:space="0"/>
            </w:tcBorders>
            <w:shd w:val="clear" w:color="auto" w:fill="D8D8D8"/>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1"/>
                <w:szCs w:val="21"/>
                <w:u w:val="none"/>
                <w:lang w:val="en-US" w:eastAsia="zh-CN" w:bidi="ar"/>
              </w:rPr>
              <w:t>流动性比例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9" w:type="pct"/>
            <w:tcBorders>
              <w:top w:val="nil"/>
              <w:right w:val="single" w:color="000000" w:sz="8"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2308" w:type="pct"/>
            <w:tcBorders>
              <w:top w:val="single" w:color="000000" w:sz="8" w:space="0"/>
              <w:left w:val="single" w:color="000000" w:sz="8" w:space="0"/>
              <w:right w:val="single" w:color="000000" w:sz="8"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流动性比例（%）</w:t>
            </w:r>
          </w:p>
        </w:tc>
        <w:tc>
          <w:tcPr>
            <w:tcW w:w="1412" w:type="pct"/>
            <w:tcBorders>
              <w:top w:val="nil"/>
              <w:lef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1"/>
                <w:szCs w:val="21"/>
                <w:u w:val="none"/>
                <w:lang w:val="en-US" w:eastAsia="zh-CN" w:bidi="ar"/>
              </w:rPr>
              <w:t>45.93%</w:t>
            </w:r>
          </w:p>
        </w:tc>
      </w:tr>
      <w:bookmarkEnd w:id="0"/>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1F97"/>
    <w:rsid w:val="01DC6259"/>
    <w:rsid w:val="01FD60EF"/>
    <w:rsid w:val="02085B60"/>
    <w:rsid w:val="02251D51"/>
    <w:rsid w:val="027B05E5"/>
    <w:rsid w:val="0296685A"/>
    <w:rsid w:val="02F7521B"/>
    <w:rsid w:val="03274692"/>
    <w:rsid w:val="038C42F6"/>
    <w:rsid w:val="03F62893"/>
    <w:rsid w:val="04215714"/>
    <w:rsid w:val="04474F80"/>
    <w:rsid w:val="049545E5"/>
    <w:rsid w:val="04AA2E1A"/>
    <w:rsid w:val="04B92B46"/>
    <w:rsid w:val="04CB575C"/>
    <w:rsid w:val="060020E1"/>
    <w:rsid w:val="062C2103"/>
    <w:rsid w:val="069F59BC"/>
    <w:rsid w:val="06D83037"/>
    <w:rsid w:val="07E27BE4"/>
    <w:rsid w:val="081E5852"/>
    <w:rsid w:val="084A00FF"/>
    <w:rsid w:val="085D5B76"/>
    <w:rsid w:val="08AC149D"/>
    <w:rsid w:val="08C1790C"/>
    <w:rsid w:val="08C65B32"/>
    <w:rsid w:val="08CE193B"/>
    <w:rsid w:val="092034D6"/>
    <w:rsid w:val="094D0598"/>
    <w:rsid w:val="0A125B00"/>
    <w:rsid w:val="0A1922BA"/>
    <w:rsid w:val="0A3516A6"/>
    <w:rsid w:val="0A3D35B8"/>
    <w:rsid w:val="0AE86AA4"/>
    <w:rsid w:val="0B790A7A"/>
    <w:rsid w:val="0B9D4071"/>
    <w:rsid w:val="0BB0625F"/>
    <w:rsid w:val="0BD16306"/>
    <w:rsid w:val="0BD23A2A"/>
    <w:rsid w:val="0C1E231B"/>
    <w:rsid w:val="0C252505"/>
    <w:rsid w:val="0C682A01"/>
    <w:rsid w:val="0C7B68E1"/>
    <w:rsid w:val="0C9B7678"/>
    <w:rsid w:val="0D00773C"/>
    <w:rsid w:val="0D101FE9"/>
    <w:rsid w:val="0D4B19C3"/>
    <w:rsid w:val="0D6A5594"/>
    <w:rsid w:val="0D8B5744"/>
    <w:rsid w:val="0DA13264"/>
    <w:rsid w:val="0DA256ED"/>
    <w:rsid w:val="0E234B91"/>
    <w:rsid w:val="0E3A6E45"/>
    <w:rsid w:val="0E4B4412"/>
    <w:rsid w:val="0E8F07C5"/>
    <w:rsid w:val="0EA13073"/>
    <w:rsid w:val="0EA42695"/>
    <w:rsid w:val="0ECD61E4"/>
    <w:rsid w:val="0ED8666E"/>
    <w:rsid w:val="0F837493"/>
    <w:rsid w:val="0F9C1D06"/>
    <w:rsid w:val="0FA740B3"/>
    <w:rsid w:val="0FAD5049"/>
    <w:rsid w:val="101F6136"/>
    <w:rsid w:val="10467BF6"/>
    <w:rsid w:val="105C36BA"/>
    <w:rsid w:val="109172D0"/>
    <w:rsid w:val="10952116"/>
    <w:rsid w:val="10D40902"/>
    <w:rsid w:val="11AF626D"/>
    <w:rsid w:val="11B94260"/>
    <w:rsid w:val="125B061F"/>
    <w:rsid w:val="12883BC6"/>
    <w:rsid w:val="12A409F4"/>
    <w:rsid w:val="12E320C0"/>
    <w:rsid w:val="13037A63"/>
    <w:rsid w:val="133A1F9C"/>
    <w:rsid w:val="136D2A4D"/>
    <w:rsid w:val="13BF2150"/>
    <w:rsid w:val="14042291"/>
    <w:rsid w:val="14285B0B"/>
    <w:rsid w:val="143606BA"/>
    <w:rsid w:val="144E154A"/>
    <w:rsid w:val="14A71BDD"/>
    <w:rsid w:val="14B35343"/>
    <w:rsid w:val="15AF3985"/>
    <w:rsid w:val="16250884"/>
    <w:rsid w:val="16446FE9"/>
    <w:rsid w:val="16457B09"/>
    <w:rsid w:val="16825B34"/>
    <w:rsid w:val="1702128C"/>
    <w:rsid w:val="170920AF"/>
    <w:rsid w:val="170C3519"/>
    <w:rsid w:val="176271CE"/>
    <w:rsid w:val="176E1BB6"/>
    <w:rsid w:val="176E2C60"/>
    <w:rsid w:val="177B584D"/>
    <w:rsid w:val="17941BF6"/>
    <w:rsid w:val="1814376D"/>
    <w:rsid w:val="1853450D"/>
    <w:rsid w:val="18537112"/>
    <w:rsid w:val="186816D4"/>
    <w:rsid w:val="188D5607"/>
    <w:rsid w:val="18DD3FAE"/>
    <w:rsid w:val="19072FDB"/>
    <w:rsid w:val="190F2B1C"/>
    <w:rsid w:val="19316F76"/>
    <w:rsid w:val="19475C0A"/>
    <w:rsid w:val="1A5042C5"/>
    <w:rsid w:val="1A733053"/>
    <w:rsid w:val="1AA81BC3"/>
    <w:rsid w:val="1B727CAA"/>
    <w:rsid w:val="1B7B7983"/>
    <w:rsid w:val="1B94625D"/>
    <w:rsid w:val="1B9E1568"/>
    <w:rsid w:val="1BD36BA8"/>
    <w:rsid w:val="1BE32F61"/>
    <w:rsid w:val="1C215C75"/>
    <w:rsid w:val="1C2E050B"/>
    <w:rsid w:val="1C4033E4"/>
    <w:rsid w:val="1C984EF7"/>
    <w:rsid w:val="1CCB31A1"/>
    <w:rsid w:val="1CF35210"/>
    <w:rsid w:val="1D1D7DAE"/>
    <w:rsid w:val="1D8B5ADA"/>
    <w:rsid w:val="1DA11BEF"/>
    <w:rsid w:val="1DC427B9"/>
    <w:rsid w:val="1DEF3711"/>
    <w:rsid w:val="1DF336B6"/>
    <w:rsid w:val="1DF47F1D"/>
    <w:rsid w:val="1E14273D"/>
    <w:rsid w:val="1E47263C"/>
    <w:rsid w:val="1E4E171E"/>
    <w:rsid w:val="1E993AE7"/>
    <w:rsid w:val="1EA402C3"/>
    <w:rsid w:val="1EF30FCB"/>
    <w:rsid w:val="1F0D50D3"/>
    <w:rsid w:val="1FAB4D5F"/>
    <w:rsid w:val="1FBD452A"/>
    <w:rsid w:val="20475771"/>
    <w:rsid w:val="21404801"/>
    <w:rsid w:val="2152386F"/>
    <w:rsid w:val="216A78C3"/>
    <w:rsid w:val="21F316BD"/>
    <w:rsid w:val="220D6DAE"/>
    <w:rsid w:val="229730B0"/>
    <w:rsid w:val="229831F9"/>
    <w:rsid w:val="22A159F0"/>
    <w:rsid w:val="22C63910"/>
    <w:rsid w:val="2375477D"/>
    <w:rsid w:val="241B26ED"/>
    <w:rsid w:val="244C4D70"/>
    <w:rsid w:val="245028D0"/>
    <w:rsid w:val="2462444F"/>
    <w:rsid w:val="24906941"/>
    <w:rsid w:val="24965D54"/>
    <w:rsid w:val="24D66FA8"/>
    <w:rsid w:val="2578407F"/>
    <w:rsid w:val="25880690"/>
    <w:rsid w:val="25DC47A1"/>
    <w:rsid w:val="25F502F7"/>
    <w:rsid w:val="25FD68EE"/>
    <w:rsid w:val="260B0844"/>
    <w:rsid w:val="26352F07"/>
    <w:rsid w:val="271A0A27"/>
    <w:rsid w:val="271A5FC2"/>
    <w:rsid w:val="27920F02"/>
    <w:rsid w:val="282E0FC0"/>
    <w:rsid w:val="28847A3F"/>
    <w:rsid w:val="28D47CCB"/>
    <w:rsid w:val="28E107C5"/>
    <w:rsid w:val="291857A5"/>
    <w:rsid w:val="29191296"/>
    <w:rsid w:val="2924682D"/>
    <w:rsid w:val="296F0FB4"/>
    <w:rsid w:val="29C53D6B"/>
    <w:rsid w:val="29DD5019"/>
    <w:rsid w:val="29EA6628"/>
    <w:rsid w:val="29EB683F"/>
    <w:rsid w:val="29F4089F"/>
    <w:rsid w:val="2A2B2B09"/>
    <w:rsid w:val="2A600653"/>
    <w:rsid w:val="2AA51AD1"/>
    <w:rsid w:val="2B586319"/>
    <w:rsid w:val="2B5B263E"/>
    <w:rsid w:val="2B5B3239"/>
    <w:rsid w:val="2B6B63D4"/>
    <w:rsid w:val="2BB0455F"/>
    <w:rsid w:val="2BB20D00"/>
    <w:rsid w:val="2C1C0108"/>
    <w:rsid w:val="2C467357"/>
    <w:rsid w:val="2C6541AB"/>
    <w:rsid w:val="2CBB5C6A"/>
    <w:rsid w:val="2CDF4F7F"/>
    <w:rsid w:val="2CE040FB"/>
    <w:rsid w:val="2CED238B"/>
    <w:rsid w:val="2D0B3966"/>
    <w:rsid w:val="2D3F6623"/>
    <w:rsid w:val="2D447E1E"/>
    <w:rsid w:val="2D46005E"/>
    <w:rsid w:val="2D743803"/>
    <w:rsid w:val="2D76268D"/>
    <w:rsid w:val="2D8075B4"/>
    <w:rsid w:val="2DD14436"/>
    <w:rsid w:val="2E2C0D71"/>
    <w:rsid w:val="2F475E86"/>
    <w:rsid w:val="30DF72B1"/>
    <w:rsid w:val="318A7F7C"/>
    <w:rsid w:val="31CD2762"/>
    <w:rsid w:val="324F50CF"/>
    <w:rsid w:val="32510B78"/>
    <w:rsid w:val="32872E2A"/>
    <w:rsid w:val="32BC210F"/>
    <w:rsid w:val="32DA372C"/>
    <w:rsid w:val="330B5872"/>
    <w:rsid w:val="33116A6B"/>
    <w:rsid w:val="33144866"/>
    <w:rsid w:val="33641489"/>
    <w:rsid w:val="3383388F"/>
    <w:rsid w:val="33D22920"/>
    <w:rsid w:val="340C3FB1"/>
    <w:rsid w:val="344015CD"/>
    <w:rsid w:val="3450562C"/>
    <w:rsid w:val="348971A4"/>
    <w:rsid w:val="34B20306"/>
    <w:rsid w:val="35012551"/>
    <w:rsid w:val="35100668"/>
    <w:rsid w:val="355723A0"/>
    <w:rsid w:val="357258D8"/>
    <w:rsid w:val="35835F5B"/>
    <w:rsid w:val="358F3DD5"/>
    <w:rsid w:val="36700FFF"/>
    <w:rsid w:val="370F1648"/>
    <w:rsid w:val="375E48A0"/>
    <w:rsid w:val="37D32DFF"/>
    <w:rsid w:val="37DD0E80"/>
    <w:rsid w:val="37E526CC"/>
    <w:rsid w:val="38150283"/>
    <w:rsid w:val="38342548"/>
    <w:rsid w:val="384B17BB"/>
    <w:rsid w:val="38BB1AB5"/>
    <w:rsid w:val="38DB0F62"/>
    <w:rsid w:val="390C2177"/>
    <w:rsid w:val="392A74BF"/>
    <w:rsid w:val="39FE14D5"/>
    <w:rsid w:val="3A570404"/>
    <w:rsid w:val="3A782EF8"/>
    <w:rsid w:val="3A9D057C"/>
    <w:rsid w:val="3AF44902"/>
    <w:rsid w:val="3B4E12C0"/>
    <w:rsid w:val="3BCB4E43"/>
    <w:rsid w:val="3BDD74B7"/>
    <w:rsid w:val="3C905BE4"/>
    <w:rsid w:val="3C99793A"/>
    <w:rsid w:val="3CB33B17"/>
    <w:rsid w:val="3D136882"/>
    <w:rsid w:val="3D18379F"/>
    <w:rsid w:val="3D7E68E9"/>
    <w:rsid w:val="3D9640C4"/>
    <w:rsid w:val="3D9943E5"/>
    <w:rsid w:val="3DA20FBB"/>
    <w:rsid w:val="3DD44A98"/>
    <w:rsid w:val="3E1F2A4A"/>
    <w:rsid w:val="3E597F97"/>
    <w:rsid w:val="3E8E4F94"/>
    <w:rsid w:val="3EA94997"/>
    <w:rsid w:val="3EFF1030"/>
    <w:rsid w:val="3F035FC9"/>
    <w:rsid w:val="3F687974"/>
    <w:rsid w:val="3F8F3BA7"/>
    <w:rsid w:val="3FAD14A9"/>
    <w:rsid w:val="3FD72254"/>
    <w:rsid w:val="402E1D38"/>
    <w:rsid w:val="403B576B"/>
    <w:rsid w:val="405A52E6"/>
    <w:rsid w:val="40900AE7"/>
    <w:rsid w:val="40FB286F"/>
    <w:rsid w:val="412B4320"/>
    <w:rsid w:val="413F1C76"/>
    <w:rsid w:val="415842BD"/>
    <w:rsid w:val="416B0505"/>
    <w:rsid w:val="419317A3"/>
    <w:rsid w:val="41B03E3E"/>
    <w:rsid w:val="41C439BA"/>
    <w:rsid w:val="420B0529"/>
    <w:rsid w:val="4246623F"/>
    <w:rsid w:val="42D31F78"/>
    <w:rsid w:val="42DB4C5C"/>
    <w:rsid w:val="431F2F52"/>
    <w:rsid w:val="435E65E3"/>
    <w:rsid w:val="43BB0E88"/>
    <w:rsid w:val="43C52964"/>
    <w:rsid w:val="43D118DB"/>
    <w:rsid w:val="4463347A"/>
    <w:rsid w:val="44F12817"/>
    <w:rsid w:val="45321E8C"/>
    <w:rsid w:val="456546EC"/>
    <w:rsid w:val="45C15FA0"/>
    <w:rsid w:val="45D508BD"/>
    <w:rsid w:val="466F3C52"/>
    <w:rsid w:val="46BF4F72"/>
    <w:rsid w:val="46CD0BB8"/>
    <w:rsid w:val="47053800"/>
    <w:rsid w:val="47381EAC"/>
    <w:rsid w:val="475F7A4F"/>
    <w:rsid w:val="476033C1"/>
    <w:rsid w:val="47763995"/>
    <w:rsid w:val="47CF3A4D"/>
    <w:rsid w:val="47E8416A"/>
    <w:rsid w:val="48215C79"/>
    <w:rsid w:val="482D561F"/>
    <w:rsid w:val="48664029"/>
    <w:rsid w:val="48FA66F3"/>
    <w:rsid w:val="49633237"/>
    <w:rsid w:val="496E2942"/>
    <w:rsid w:val="496E5DE4"/>
    <w:rsid w:val="49850078"/>
    <w:rsid w:val="49964F16"/>
    <w:rsid w:val="49B904DF"/>
    <w:rsid w:val="49BF1FB5"/>
    <w:rsid w:val="49C01EF5"/>
    <w:rsid w:val="49D81128"/>
    <w:rsid w:val="49E65669"/>
    <w:rsid w:val="49EE4F68"/>
    <w:rsid w:val="4A61539F"/>
    <w:rsid w:val="4A914A42"/>
    <w:rsid w:val="4A972637"/>
    <w:rsid w:val="4B41500C"/>
    <w:rsid w:val="4B61779A"/>
    <w:rsid w:val="4B645063"/>
    <w:rsid w:val="4B6C36FD"/>
    <w:rsid w:val="4B9036D7"/>
    <w:rsid w:val="4BC80BB1"/>
    <w:rsid w:val="4C243968"/>
    <w:rsid w:val="4C304E5C"/>
    <w:rsid w:val="4C3D5E8D"/>
    <w:rsid w:val="4C816362"/>
    <w:rsid w:val="4C8D7DC2"/>
    <w:rsid w:val="4CDD4471"/>
    <w:rsid w:val="4CE256CC"/>
    <w:rsid w:val="4CE60066"/>
    <w:rsid w:val="4D6B7185"/>
    <w:rsid w:val="4D6C1FF5"/>
    <w:rsid w:val="4D8978C0"/>
    <w:rsid w:val="4D9730CA"/>
    <w:rsid w:val="4DC05E8F"/>
    <w:rsid w:val="4DD7110C"/>
    <w:rsid w:val="4E596C05"/>
    <w:rsid w:val="4ECA7784"/>
    <w:rsid w:val="4F005581"/>
    <w:rsid w:val="4F037A2C"/>
    <w:rsid w:val="4F2671E4"/>
    <w:rsid w:val="4F4347AE"/>
    <w:rsid w:val="4F9432C0"/>
    <w:rsid w:val="4F96748E"/>
    <w:rsid w:val="4F9D172E"/>
    <w:rsid w:val="4FCD2B79"/>
    <w:rsid w:val="4FD213F5"/>
    <w:rsid w:val="50172612"/>
    <w:rsid w:val="504A30A0"/>
    <w:rsid w:val="505B6E5D"/>
    <w:rsid w:val="506C4D74"/>
    <w:rsid w:val="509544C2"/>
    <w:rsid w:val="50C61290"/>
    <w:rsid w:val="51054464"/>
    <w:rsid w:val="5112213D"/>
    <w:rsid w:val="512D0FB4"/>
    <w:rsid w:val="512F627D"/>
    <w:rsid w:val="51A40107"/>
    <w:rsid w:val="51A41108"/>
    <w:rsid w:val="521342CF"/>
    <w:rsid w:val="52780BC6"/>
    <w:rsid w:val="52A92284"/>
    <w:rsid w:val="53396DB6"/>
    <w:rsid w:val="535F7525"/>
    <w:rsid w:val="53AA6C7F"/>
    <w:rsid w:val="542B111B"/>
    <w:rsid w:val="5437395C"/>
    <w:rsid w:val="545968AC"/>
    <w:rsid w:val="548B7FAF"/>
    <w:rsid w:val="54B503AF"/>
    <w:rsid w:val="553C5163"/>
    <w:rsid w:val="553E738C"/>
    <w:rsid w:val="55B243E1"/>
    <w:rsid w:val="55E0719B"/>
    <w:rsid w:val="55FD4C36"/>
    <w:rsid w:val="562B079E"/>
    <w:rsid w:val="566F7303"/>
    <w:rsid w:val="56CF5541"/>
    <w:rsid w:val="56F42A27"/>
    <w:rsid w:val="57A87F69"/>
    <w:rsid w:val="57B14CAC"/>
    <w:rsid w:val="57F069C0"/>
    <w:rsid w:val="592D1DD3"/>
    <w:rsid w:val="59452B34"/>
    <w:rsid w:val="595D717C"/>
    <w:rsid w:val="59677DB0"/>
    <w:rsid w:val="59F8330C"/>
    <w:rsid w:val="5A3805DA"/>
    <w:rsid w:val="5A3E79A1"/>
    <w:rsid w:val="5A3F472A"/>
    <w:rsid w:val="5A6B6BE4"/>
    <w:rsid w:val="5AF20C5D"/>
    <w:rsid w:val="5B3A35B1"/>
    <w:rsid w:val="5B4C6FCF"/>
    <w:rsid w:val="5B5E0577"/>
    <w:rsid w:val="5B9019B4"/>
    <w:rsid w:val="5BF81C13"/>
    <w:rsid w:val="5C630B64"/>
    <w:rsid w:val="5C9D6635"/>
    <w:rsid w:val="5D102499"/>
    <w:rsid w:val="5D4F3C8D"/>
    <w:rsid w:val="5D562286"/>
    <w:rsid w:val="5DD56FFF"/>
    <w:rsid w:val="5E24370F"/>
    <w:rsid w:val="5E956D48"/>
    <w:rsid w:val="5F573871"/>
    <w:rsid w:val="5FEA1EE9"/>
    <w:rsid w:val="5FEB0F56"/>
    <w:rsid w:val="5FEB4400"/>
    <w:rsid w:val="60995BC2"/>
    <w:rsid w:val="60DB5B33"/>
    <w:rsid w:val="610B1459"/>
    <w:rsid w:val="61416067"/>
    <w:rsid w:val="61465EDC"/>
    <w:rsid w:val="61542096"/>
    <w:rsid w:val="617234CA"/>
    <w:rsid w:val="621B3D6F"/>
    <w:rsid w:val="626D1D8F"/>
    <w:rsid w:val="628F6237"/>
    <w:rsid w:val="62966B81"/>
    <w:rsid w:val="62B14227"/>
    <w:rsid w:val="62E81B3C"/>
    <w:rsid w:val="62F70B9D"/>
    <w:rsid w:val="63597EEB"/>
    <w:rsid w:val="636A0038"/>
    <w:rsid w:val="63A43394"/>
    <w:rsid w:val="63C66713"/>
    <w:rsid w:val="63D53FE8"/>
    <w:rsid w:val="649412B1"/>
    <w:rsid w:val="64A63F6C"/>
    <w:rsid w:val="64C2015F"/>
    <w:rsid w:val="650E564F"/>
    <w:rsid w:val="65857C74"/>
    <w:rsid w:val="65911571"/>
    <w:rsid w:val="65D002E1"/>
    <w:rsid w:val="65E2138C"/>
    <w:rsid w:val="65E55AF2"/>
    <w:rsid w:val="66113B73"/>
    <w:rsid w:val="66370584"/>
    <w:rsid w:val="663D280E"/>
    <w:rsid w:val="67131ED7"/>
    <w:rsid w:val="671D5451"/>
    <w:rsid w:val="678022EC"/>
    <w:rsid w:val="67934C67"/>
    <w:rsid w:val="67CB2D4F"/>
    <w:rsid w:val="67EA0191"/>
    <w:rsid w:val="680965A8"/>
    <w:rsid w:val="681740A3"/>
    <w:rsid w:val="68181D2F"/>
    <w:rsid w:val="68445E0D"/>
    <w:rsid w:val="685279FD"/>
    <w:rsid w:val="68535A8A"/>
    <w:rsid w:val="68812E18"/>
    <w:rsid w:val="6893639F"/>
    <w:rsid w:val="689F588B"/>
    <w:rsid w:val="68B35FA0"/>
    <w:rsid w:val="69692F8F"/>
    <w:rsid w:val="69866E46"/>
    <w:rsid w:val="69CA7DD7"/>
    <w:rsid w:val="6A423EBF"/>
    <w:rsid w:val="6A506ACE"/>
    <w:rsid w:val="6A617207"/>
    <w:rsid w:val="6B3A2CCC"/>
    <w:rsid w:val="6B3E6AF3"/>
    <w:rsid w:val="6B82440F"/>
    <w:rsid w:val="6BBA0517"/>
    <w:rsid w:val="6BEA36E9"/>
    <w:rsid w:val="6BFF18A6"/>
    <w:rsid w:val="6C314E22"/>
    <w:rsid w:val="6C675AE0"/>
    <w:rsid w:val="6C825018"/>
    <w:rsid w:val="6C863DE9"/>
    <w:rsid w:val="6CD26AFF"/>
    <w:rsid w:val="6D257071"/>
    <w:rsid w:val="6D6F48E1"/>
    <w:rsid w:val="6DD73C42"/>
    <w:rsid w:val="6DF47F88"/>
    <w:rsid w:val="6E2354F1"/>
    <w:rsid w:val="6E426A1E"/>
    <w:rsid w:val="6E4459AB"/>
    <w:rsid w:val="6E673D53"/>
    <w:rsid w:val="6EC913E4"/>
    <w:rsid w:val="6ED450BE"/>
    <w:rsid w:val="6ED6310A"/>
    <w:rsid w:val="6EF367CE"/>
    <w:rsid w:val="6F2175DA"/>
    <w:rsid w:val="6F33052C"/>
    <w:rsid w:val="6F3616C7"/>
    <w:rsid w:val="6F402C93"/>
    <w:rsid w:val="6F6D758E"/>
    <w:rsid w:val="70156F67"/>
    <w:rsid w:val="70805D7F"/>
    <w:rsid w:val="70B61DB3"/>
    <w:rsid w:val="70C60F77"/>
    <w:rsid w:val="70DB28B7"/>
    <w:rsid w:val="710F4DDA"/>
    <w:rsid w:val="71700EBA"/>
    <w:rsid w:val="71BA5D0F"/>
    <w:rsid w:val="722F7751"/>
    <w:rsid w:val="724B1EB6"/>
    <w:rsid w:val="73486A79"/>
    <w:rsid w:val="737D01FB"/>
    <w:rsid w:val="7392751E"/>
    <w:rsid w:val="73957EE4"/>
    <w:rsid w:val="74186E4F"/>
    <w:rsid w:val="747F2783"/>
    <w:rsid w:val="74892F4F"/>
    <w:rsid w:val="748D55E6"/>
    <w:rsid w:val="74CF43DA"/>
    <w:rsid w:val="74F44598"/>
    <w:rsid w:val="75224794"/>
    <w:rsid w:val="75625974"/>
    <w:rsid w:val="75646984"/>
    <w:rsid w:val="75681F0B"/>
    <w:rsid w:val="75815850"/>
    <w:rsid w:val="7589134B"/>
    <w:rsid w:val="758D304D"/>
    <w:rsid w:val="75B16831"/>
    <w:rsid w:val="75D24AF4"/>
    <w:rsid w:val="75F12B76"/>
    <w:rsid w:val="76080055"/>
    <w:rsid w:val="76803DA2"/>
    <w:rsid w:val="76812A23"/>
    <w:rsid w:val="76C52225"/>
    <w:rsid w:val="76CA4FDF"/>
    <w:rsid w:val="76E41FA1"/>
    <w:rsid w:val="77583AFD"/>
    <w:rsid w:val="775D5BE0"/>
    <w:rsid w:val="77C13C9E"/>
    <w:rsid w:val="78523ED3"/>
    <w:rsid w:val="78653063"/>
    <w:rsid w:val="78730FEB"/>
    <w:rsid w:val="78977C2B"/>
    <w:rsid w:val="78A22234"/>
    <w:rsid w:val="78FE45CC"/>
    <w:rsid w:val="78FE5B69"/>
    <w:rsid w:val="791D593C"/>
    <w:rsid w:val="79423F45"/>
    <w:rsid w:val="79775D44"/>
    <w:rsid w:val="797F3859"/>
    <w:rsid w:val="799725D0"/>
    <w:rsid w:val="799F0290"/>
    <w:rsid w:val="79A1066B"/>
    <w:rsid w:val="79C206A7"/>
    <w:rsid w:val="79E04270"/>
    <w:rsid w:val="7A1E1D8A"/>
    <w:rsid w:val="7A2F367A"/>
    <w:rsid w:val="7A5F7A38"/>
    <w:rsid w:val="7AA60FCF"/>
    <w:rsid w:val="7B0D4044"/>
    <w:rsid w:val="7B527833"/>
    <w:rsid w:val="7C5A3914"/>
    <w:rsid w:val="7C800C2E"/>
    <w:rsid w:val="7C8B128D"/>
    <w:rsid w:val="7CF07D46"/>
    <w:rsid w:val="7CF847BC"/>
    <w:rsid w:val="7CFF739B"/>
    <w:rsid w:val="7D490611"/>
    <w:rsid w:val="7DA55A32"/>
    <w:rsid w:val="7DBD7629"/>
    <w:rsid w:val="7DCE58A1"/>
    <w:rsid w:val="7E035C29"/>
    <w:rsid w:val="7E0C30DF"/>
    <w:rsid w:val="7EB8164F"/>
    <w:rsid w:val="7EC2239E"/>
    <w:rsid w:val="7F2D7306"/>
    <w:rsid w:val="7F4255CC"/>
    <w:rsid w:val="7FAE3045"/>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仿宋_GB2312" w:eastAsia="仿宋_GB2312" w:cs="仿宋_GB2312"/>
      <w:b/>
      <w:bCs/>
      <w:color w:val="000000"/>
      <w:sz w:val="28"/>
      <w:szCs w:val="28"/>
      <w:u w:val="none"/>
    </w:rPr>
  </w:style>
  <w:style w:type="character" w:customStyle="1" w:styleId="5">
    <w:name w:val="font61"/>
    <w:basedOn w:val="3"/>
    <w:qFormat/>
    <w:uiPriority w:val="0"/>
    <w:rPr>
      <w:rFonts w:hint="eastAsia" w:ascii="仿宋_GB2312" w:eastAsia="仿宋_GB2312" w:cs="仿宋_GB2312"/>
      <w:color w:val="000000"/>
      <w:sz w:val="28"/>
      <w:szCs w:val="28"/>
      <w:u w:val="none"/>
    </w:rPr>
  </w:style>
  <w:style w:type="character" w:customStyle="1" w:styleId="6">
    <w:name w:val="font11"/>
    <w:basedOn w:val="3"/>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2021-02-25T05:43:00Z</dcterms:created>
  <dc:creator>Administrator</dc:creator>
  <cp:lastModifiedBy>111870-肖雯</cp:lastModifiedBy>
  <cp:lastPrinted>2024-08-08T01:29:00Z</cp:lastPrinted>
  <dcterms:modified xsi:type="dcterms:W3CDTF">2024-08-13T03:41:05Z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5E032E4995714E80929DB2347CAC5D46</vt:lpwstr>
  </property>
</Properties>
</file>