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color w:val="auto"/>
          <w:sz w:val="44"/>
          <w:szCs w:val="44"/>
        </w:rPr>
      </w:pPr>
      <w:r>
        <w:rPr>
          <w:rFonts w:hint="eastAsia" w:ascii="微软雅黑" w:hAnsi="微软雅黑" w:eastAsia="微软雅黑" w:cs="微软雅黑"/>
          <w:color w:val="auto"/>
          <w:sz w:val="44"/>
          <w:szCs w:val="44"/>
        </w:rPr>
        <w:t>清镇农村商业银行股份有限公司2024年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color w:val="auto"/>
          <w:sz w:val="44"/>
          <w:szCs w:val="44"/>
        </w:rPr>
      </w:pPr>
      <w:r>
        <w:rPr>
          <w:rFonts w:hint="eastAsia" w:ascii="微软雅黑" w:hAnsi="微软雅黑" w:eastAsia="微软雅黑" w:cs="微软雅黑"/>
          <w:color w:val="auto"/>
          <w:sz w:val="44"/>
          <w:szCs w:val="44"/>
        </w:rPr>
        <w:t>第</w:t>
      </w:r>
      <w:r>
        <w:rPr>
          <w:rFonts w:hint="eastAsia" w:ascii="微软雅黑" w:hAnsi="微软雅黑" w:eastAsia="微软雅黑" w:cs="微软雅黑"/>
          <w:color w:val="auto"/>
          <w:sz w:val="44"/>
          <w:szCs w:val="44"/>
          <w:lang w:val="en-US" w:eastAsia="zh-CN"/>
        </w:rPr>
        <w:t>二</w:t>
      </w:r>
      <w:r>
        <w:rPr>
          <w:rFonts w:hint="eastAsia" w:ascii="微软雅黑" w:hAnsi="微软雅黑" w:eastAsia="微软雅黑" w:cs="微软雅黑"/>
          <w:color w:val="auto"/>
          <w:sz w:val="44"/>
          <w:szCs w:val="44"/>
        </w:rPr>
        <w:t>季度第三支柱信息披露报告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本行为第二档商业银行中的非上市银行，根据《商业银行资本管理办法》（以下简称“办法”）附件 22《商业银行信息披露内容和要求》以及《国家金融监督管理总局关于实施&lt;商业银行资本管理办法&gt;相关事项的通知》（金规〔2023〕9 号）的相关规定，本行进行信息披露。本报告披露的报表已经本行高级管理层确认。</w:t>
      </w:r>
      <w:r>
        <w:rPr>
          <w:rFonts w:hint="eastAsia" w:ascii="仿宋_GB2312" w:hAnsi="仿宋_GB2312" w:cs="仿宋_GB2312"/>
          <w:color w:val="auto"/>
          <w:lang w:val="en-US" w:eastAsia="zh-CN"/>
        </w:rPr>
        <w:t>本次表格KM1披露仅</w:t>
      </w:r>
      <w:r>
        <w:rPr>
          <w:rFonts w:hint="eastAsia" w:ascii="仿宋_GB2312" w:hAnsi="仿宋_GB2312" w:eastAsia="仿宋_GB2312" w:cs="仿宋_GB2312"/>
          <w:color w:val="auto"/>
        </w:rPr>
        <w:t>对前</w:t>
      </w:r>
      <w:r>
        <w:rPr>
          <w:rFonts w:hint="eastAsia" w:ascii="仿宋_GB2312" w:hAnsi="仿宋_GB2312" w:cs="仿宋_GB2312"/>
          <w:color w:val="auto"/>
          <w:lang w:val="en-US" w:eastAsia="zh-CN"/>
        </w:rPr>
        <w:t>一季度</w:t>
      </w:r>
      <w:r>
        <w:rPr>
          <w:rFonts w:hint="eastAsia" w:ascii="仿宋_GB2312" w:hAnsi="仿宋_GB2312" w:eastAsia="仿宋_GB2312" w:cs="仿宋_GB2312"/>
          <w:color w:val="auto"/>
        </w:rPr>
        <w:t>数据追溯披露。本季度需披露的报表如下：</w:t>
      </w:r>
    </w:p>
    <w:tbl>
      <w:tblPr>
        <w:tblStyle w:val="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09"/>
        <w:gridCol w:w="2903"/>
        <w:gridCol w:w="2028"/>
        <w:gridCol w:w="19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000" w:type="pct"/>
            <w:gridSpan w:val="4"/>
            <w:tcBorders>
              <w:bottom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i w:val="0"/>
                <w:iCs w:val="0"/>
                <w:color w:val="auto"/>
                <w:sz w:val="24"/>
                <w:szCs w:val="24"/>
                <w:u w:val="none"/>
              </w:rPr>
            </w:pPr>
            <w:bookmarkStart w:id="0" w:name="_GoBack"/>
            <w:r>
              <w:rPr>
                <w:rFonts w:hint="eastAsia" w:ascii="仿宋_GB2312" w:hAnsi="仿宋_GB2312" w:eastAsia="仿宋_GB2312" w:cs="仿宋_GB2312"/>
                <w:b/>
                <w:bCs/>
                <w:i w:val="0"/>
                <w:iCs w:val="0"/>
                <w:color w:val="auto"/>
                <w:kern w:val="0"/>
                <w:sz w:val="24"/>
                <w:szCs w:val="24"/>
                <w:u w:val="none"/>
                <w:lang w:val="en-US" w:eastAsia="zh-CN" w:bidi="ar"/>
              </w:rPr>
              <w:t>表格KM1：监管并表关键审慎监管指标(季度)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647" w:type="pct"/>
            <w:gridSpan w:val="2"/>
            <w:tcBorders>
              <w:top w:val="single" w:color="000000" w:sz="8" w:space="0"/>
              <w:bottom w:val="nil"/>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项目</w:t>
            </w:r>
          </w:p>
        </w:tc>
        <w:tc>
          <w:tcPr>
            <w:tcW w:w="1190"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2024年1季度</w:t>
            </w:r>
          </w:p>
        </w:tc>
        <w:tc>
          <w:tcPr>
            <w:tcW w:w="1161" w:type="pct"/>
            <w:tcBorders>
              <w:top w:val="single" w:color="000000" w:sz="8" w:space="0"/>
              <w:left w:val="single" w:color="000000" w:sz="8" w:space="0"/>
              <w:bottom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2024年2季度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00" w:type="pct"/>
            <w:gridSpan w:val="4"/>
            <w:tcBorders>
              <w:top w:val="nil"/>
              <w:bottom w:val="single" w:color="000000" w:sz="8" w:space="0"/>
            </w:tcBorders>
            <w:shd w:val="clear" w:color="auto" w:fill="D9D9D9"/>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仿宋_GB2312" w:hAnsi="仿宋_GB2312" w:eastAsia="仿宋_GB2312" w:cs="仿宋_GB2312"/>
                <w:b/>
                <w:bCs/>
                <w:i w:val="0"/>
                <w:iCs w:val="0"/>
                <w:color w:val="auto"/>
                <w:sz w:val="22"/>
                <w:szCs w:val="22"/>
                <w:u w:val="none"/>
              </w:rPr>
            </w:pPr>
            <w:r>
              <w:rPr>
                <w:rStyle w:val="8"/>
                <w:rFonts w:hint="eastAsia" w:ascii="仿宋_GB2312" w:hAnsi="仿宋_GB2312" w:eastAsia="仿宋_GB2312" w:cs="仿宋_GB2312"/>
                <w:color w:val="auto"/>
                <w:sz w:val="22"/>
                <w:szCs w:val="22"/>
                <w:lang w:val="en-US" w:eastAsia="zh-CN" w:bidi="ar"/>
              </w:rPr>
              <w:t>可用资本（数额）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44" w:type="pct"/>
            <w:tcBorders>
              <w:top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1703"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核心一级资本净额</w:t>
            </w:r>
          </w:p>
        </w:tc>
        <w:tc>
          <w:tcPr>
            <w:tcW w:w="1190"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78868.85</w:t>
            </w:r>
          </w:p>
        </w:tc>
        <w:tc>
          <w:tcPr>
            <w:tcW w:w="1161" w:type="pct"/>
            <w:tcBorders>
              <w:top w:val="single" w:color="000000" w:sz="8" w:space="0"/>
              <w:left w:val="single" w:color="000000" w:sz="8" w:space="0"/>
              <w:bottom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80661.39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44" w:type="pct"/>
            <w:tcBorders>
              <w:top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w:t>
            </w:r>
          </w:p>
        </w:tc>
        <w:tc>
          <w:tcPr>
            <w:tcW w:w="1703"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一级资本净额</w:t>
            </w:r>
          </w:p>
        </w:tc>
        <w:tc>
          <w:tcPr>
            <w:tcW w:w="1190"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78868.85</w:t>
            </w:r>
          </w:p>
        </w:tc>
        <w:tc>
          <w:tcPr>
            <w:tcW w:w="1161" w:type="pct"/>
            <w:tcBorders>
              <w:top w:val="nil"/>
              <w:left w:val="single" w:color="000000" w:sz="8" w:space="0"/>
              <w:bottom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80661.39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44" w:type="pct"/>
            <w:tcBorders>
              <w:top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3</w:t>
            </w:r>
          </w:p>
        </w:tc>
        <w:tc>
          <w:tcPr>
            <w:tcW w:w="1703"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资本净额</w:t>
            </w:r>
          </w:p>
        </w:tc>
        <w:tc>
          <w:tcPr>
            <w:tcW w:w="1190"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98673.74</w:t>
            </w:r>
          </w:p>
        </w:tc>
        <w:tc>
          <w:tcPr>
            <w:tcW w:w="1161" w:type="pct"/>
            <w:tcBorders>
              <w:top w:val="nil"/>
              <w:left w:val="single" w:color="000000" w:sz="8" w:space="0"/>
              <w:bottom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100350.62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00" w:type="pct"/>
            <w:gridSpan w:val="4"/>
            <w:tcBorders>
              <w:top w:val="nil"/>
              <w:bottom w:val="single" w:color="000000" w:sz="8" w:space="0"/>
            </w:tcBorders>
            <w:shd w:val="clear" w:color="auto" w:fill="D9D9D9"/>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风险加权资产（数额）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44" w:type="pct"/>
            <w:tcBorders>
              <w:top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4</w:t>
            </w:r>
          </w:p>
        </w:tc>
        <w:tc>
          <w:tcPr>
            <w:tcW w:w="1703"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风险加权资产</w:t>
            </w:r>
          </w:p>
        </w:tc>
        <w:tc>
          <w:tcPr>
            <w:tcW w:w="1190"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867946.22</w:t>
            </w:r>
          </w:p>
        </w:tc>
        <w:tc>
          <w:tcPr>
            <w:tcW w:w="1161" w:type="pct"/>
            <w:tcBorders>
              <w:top w:val="single" w:color="000000" w:sz="8" w:space="0"/>
              <w:left w:val="single" w:color="000000" w:sz="8" w:space="0"/>
              <w:bottom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858578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00" w:type="pct"/>
            <w:gridSpan w:val="4"/>
            <w:tcBorders>
              <w:top w:val="nil"/>
              <w:bottom w:val="single" w:color="000000" w:sz="8" w:space="0"/>
            </w:tcBorders>
            <w:shd w:val="clear" w:color="auto" w:fill="D9D9D9"/>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资本充足率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44" w:type="pct"/>
            <w:tcBorders>
              <w:top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5</w:t>
            </w:r>
          </w:p>
        </w:tc>
        <w:tc>
          <w:tcPr>
            <w:tcW w:w="1703"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核心一级资本充足率（%）</w:t>
            </w:r>
          </w:p>
        </w:tc>
        <w:tc>
          <w:tcPr>
            <w:tcW w:w="1190"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9.09%</w:t>
            </w:r>
          </w:p>
        </w:tc>
        <w:tc>
          <w:tcPr>
            <w:tcW w:w="1161" w:type="pct"/>
            <w:tcBorders>
              <w:top w:val="single" w:color="000000" w:sz="8" w:space="0"/>
              <w:left w:val="single" w:color="000000" w:sz="8" w:space="0"/>
              <w:bottom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9.39%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44" w:type="pct"/>
            <w:tcBorders>
              <w:top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6</w:t>
            </w:r>
          </w:p>
        </w:tc>
        <w:tc>
          <w:tcPr>
            <w:tcW w:w="1703"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一级资本充足率（%）</w:t>
            </w:r>
          </w:p>
        </w:tc>
        <w:tc>
          <w:tcPr>
            <w:tcW w:w="1190"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9.09%</w:t>
            </w:r>
          </w:p>
        </w:tc>
        <w:tc>
          <w:tcPr>
            <w:tcW w:w="1161" w:type="pct"/>
            <w:tcBorders>
              <w:top w:val="single" w:color="000000" w:sz="8" w:space="0"/>
              <w:left w:val="single" w:color="000000" w:sz="8" w:space="0"/>
              <w:bottom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9.39%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44" w:type="pct"/>
            <w:tcBorders>
              <w:top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7</w:t>
            </w:r>
          </w:p>
        </w:tc>
        <w:tc>
          <w:tcPr>
            <w:tcW w:w="1703"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资本充足率（%）</w:t>
            </w:r>
          </w:p>
        </w:tc>
        <w:tc>
          <w:tcPr>
            <w:tcW w:w="1190"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11.37%</w:t>
            </w:r>
          </w:p>
        </w:tc>
        <w:tc>
          <w:tcPr>
            <w:tcW w:w="1161" w:type="pct"/>
            <w:tcBorders>
              <w:top w:val="nil"/>
              <w:left w:val="single" w:color="000000" w:sz="8" w:space="0"/>
              <w:bottom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11.69%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00" w:type="pct"/>
            <w:gridSpan w:val="4"/>
            <w:tcBorders>
              <w:top w:val="nil"/>
              <w:bottom w:val="single" w:color="000000" w:sz="8" w:space="0"/>
            </w:tcBorders>
            <w:shd w:val="clear" w:color="auto" w:fill="D9D9D9"/>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其他各级资本要求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44" w:type="pct"/>
            <w:tcBorders>
              <w:top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8</w:t>
            </w:r>
          </w:p>
        </w:tc>
        <w:tc>
          <w:tcPr>
            <w:tcW w:w="1703"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储备资本要求（%）</w:t>
            </w:r>
          </w:p>
        </w:tc>
        <w:tc>
          <w:tcPr>
            <w:tcW w:w="1190"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0.00%</w:t>
            </w:r>
          </w:p>
        </w:tc>
        <w:tc>
          <w:tcPr>
            <w:tcW w:w="1161" w:type="pct"/>
            <w:tcBorders>
              <w:top w:val="single" w:color="000000" w:sz="8" w:space="0"/>
              <w:left w:val="single" w:color="000000" w:sz="8" w:space="0"/>
              <w:bottom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44" w:type="pct"/>
            <w:tcBorders>
              <w:top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9</w:t>
            </w:r>
          </w:p>
        </w:tc>
        <w:tc>
          <w:tcPr>
            <w:tcW w:w="1703"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逆周期资本要求（%）</w:t>
            </w:r>
          </w:p>
        </w:tc>
        <w:tc>
          <w:tcPr>
            <w:tcW w:w="1190"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2.50%</w:t>
            </w:r>
          </w:p>
        </w:tc>
        <w:tc>
          <w:tcPr>
            <w:tcW w:w="1161" w:type="pct"/>
            <w:tcBorders>
              <w:top w:val="nil"/>
              <w:left w:val="single" w:color="000000" w:sz="8" w:space="0"/>
              <w:bottom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944" w:type="pct"/>
            <w:tcBorders>
              <w:top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10</w:t>
            </w:r>
          </w:p>
        </w:tc>
        <w:tc>
          <w:tcPr>
            <w:tcW w:w="1703"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全球系统重要性银行或国内系统重要性银行附加资本要求（%）</w:t>
            </w:r>
          </w:p>
        </w:tc>
        <w:tc>
          <w:tcPr>
            <w:tcW w:w="1190" w:type="pct"/>
            <w:tcBorders>
              <w:top w:val="nil"/>
              <w:left w:val="single" w:color="000000" w:sz="8" w:space="0"/>
              <w:bottom w:val="single" w:color="000000" w:sz="8" w:space="0"/>
              <w:right w:val="single" w:color="000000" w:sz="8" w:space="0"/>
            </w:tcBorders>
            <w:shd w:val="clear" w:color="auto" w:fill="BEBEBE"/>
            <w:vAlign w:val="bottom"/>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auto"/>
                <w:sz w:val="22"/>
                <w:szCs w:val="22"/>
                <w:u w:val="none"/>
              </w:rPr>
            </w:pPr>
          </w:p>
        </w:tc>
        <w:tc>
          <w:tcPr>
            <w:tcW w:w="1161" w:type="pct"/>
            <w:tcBorders>
              <w:top w:val="nil"/>
              <w:left w:val="single" w:color="000000" w:sz="8" w:space="0"/>
              <w:bottom w:val="single" w:color="000000" w:sz="8" w:space="0"/>
            </w:tcBorders>
            <w:shd w:val="clear" w:color="auto" w:fill="BEBEBE"/>
            <w:vAlign w:val="bottom"/>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i w:val="0"/>
                <w:iCs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944" w:type="pct"/>
            <w:tcBorders>
              <w:top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11</w:t>
            </w:r>
          </w:p>
        </w:tc>
        <w:tc>
          <w:tcPr>
            <w:tcW w:w="1703"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其他各级资本要求（%）（8+9+10）</w:t>
            </w:r>
          </w:p>
        </w:tc>
        <w:tc>
          <w:tcPr>
            <w:tcW w:w="1190"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2.50%</w:t>
            </w:r>
          </w:p>
        </w:tc>
        <w:tc>
          <w:tcPr>
            <w:tcW w:w="1161" w:type="pct"/>
            <w:tcBorders>
              <w:top w:val="nil"/>
              <w:left w:val="single" w:color="000000" w:sz="8" w:space="0"/>
              <w:bottom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44" w:type="pct"/>
            <w:tcBorders>
              <w:top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12</w:t>
            </w:r>
          </w:p>
        </w:tc>
        <w:tc>
          <w:tcPr>
            <w:tcW w:w="1703"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满足最低资本要求后的可用核心一级资本净额占风险加权资产的比例（%）</w:t>
            </w:r>
          </w:p>
        </w:tc>
        <w:tc>
          <w:tcPr>
            <w:tcW w:w="1190"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3.37%</w:t>
            </w:r>
          </w:p>
        </w:tc>
        <w:tc>
          <w:tcPr>
            <w:tcW w:w="1161" w:type="pct"/>
            <w:tcBorders>
              <w:top w:val="nil"/>
              <w:left w:val="single" w:color="000000" w:sz="8" w:space="0"/>
              <w:bottom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3.69%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000" w:type="pct"/>
            <w:gridSpan w:val="4"/>
            <w:tcBorders>
              <w:top w:val="nil"/>
              <w:bottom w:val="single" w:color="000000" w:sz="8" w:space="0"/>
            </w:tcBorders>
            <w:shd w:val="clear" w:color="auto" w:fill="D9D9D9"/>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杠杆率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44" w:type="pct"/>
            <w:tcBorders>
              <w:top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13</w:t>
            </w:r>
          </w:p>
        </w:tc>
        <w:tc>
          <w:tcPr>
            <w:tcW w:w="1703"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调整后表内外资产余额</w:t>
            </w:r>
          </w:p>
        </w:tc>
        <w:tc>
          <w:tcPr>
            <w:tcW w:w="1190"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1456303.25</w:t>
            </w:r>
          </w:p>
        </w:tc>
        <w:tc>
          <w:tcPr>
            <w:tcW w:w="1161" w:type="pct"/>
            <w:tcBorders>
              <w:top w:val="single" w:color="000000" w:sz="8" w:space="0"/>
              <w:left w:val="single" w:color="000000" w:sz="8" w:space="0"/>
              <w:bottom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1441067.37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44" w:type="pct"/>
            <w:tcBorders>
              <w:top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14</w:t>
            </w:r>
          </w:p>
        </w:tc>
        <w:tc>
          <w:tcPr>
            <w:tcW w:w="1703"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sz w:val="22"/>
                <w:szCs w:val="22"/>
                <w:u w:val="none"/>
              </w:rPr>
            </w:pPr>
            <w:r>
              <w:rPr>
                <w:rStyle w:val="9"/>
                <w:rFonts w:hint="eastAsia" w:ascii="仿宋_GB2312" w:hAnsi="仿宋_GB2312" w:eastAsia="仿宋_GB2312" w:cs="仿宋_GB2312"/>
                <w:color w:val="auto"/>
                <w:sz w:val="22"/>
                <w:szCs w:val="22"/>
                <w:lang w:val="en-US" w:eastAsia="zh-CN" w:bidi="ar"/>
              </w:rPr>
              <w:t>杠杆率（%）</w:t>
            </w:r>
          </w:p>
        </w:tc>
        <w:tc>
          <w:tcPr>
            <w:tcW w:w="1190"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5.39%</w:t>
            </w:r>
          </w:p>
        </w:tc>
        <w:tc>
          <w:tcPr>
            <w:tcW w:w="1161" w:type="pct"/>
            <w:tcBorders>
              <w:top w:val="nil"/>
              <w:left w:val="single" w:color="000000" w:sz="8" w:space="0"/>
              <w:bottom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5.59%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44" w:type="pct"/>
            <w:tcBorders>
              <w:top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14a</w:t>
            </w:r>
          </w:p>
        </w:tc>
        <w:tc>
          <w:tcPr>
            <w:tcW w:w="1703"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sz w:val="22"/>
                <w:szCs w:val="22"/>
                <w:u w:val="none"/>
              </w:rPr>
            </w:pPr>
            <w:r>
              <w:rPr>
                <w:rStyle w:val="9"/>
                <w:rFonts w:hint="eastAsia" w:ascii="仿宋_GB2312" w:hAnsi="仿宋_GB2312" w:eastAsia="仿宋_GB2312" w:cs="仿宋_GB2312"/>
                <w:color w:val="auto"/>
                <w:sz w:val="22"/>
                <w:szCs w:val="22"/>
                <w:lang w:val="en-US" w:eastAsia="zh-CN" w:bidi="ar"/>
              </w:rPr>
              <w:t>杠杆率a（%）</w:t>
            </w:r>
          </w:p>
        </w:tc>
        <w:tc>
          <w:tcPr>
            <w:tcW w:w="1190"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5.39%</w:t>
            </w:r>
          </w:p>
        </w:tc>
        <w:tc>
          <w:tcPr>
            <w:tcW w:w="1161" w:type="pct"/>
            <w:tcBorders>
              <w:top w:val="nil"/>
              <w:left w:val="single" w:color="000000" w:sz="8" w:space="0"/>
              <w:bottom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5.59%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00" w:type="pct"/>
            <w:gridSpan w:val="4"/>
            <w:tcBorders>
              <w:top w:val="nil"/>
              <w:bottom w:val="single" w:color="000000" w:sz="8" w:space="0"/>
            </w:tcBorders>
            <w:shd w:val="clear" w:color="auto" w:fill="D9D9D9"/>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流动性覆盖率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44" w:type="pct"/>
            <w:tcBorders>
              <w:top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15</w:t>
            </w:r>
          </w:p>
        </w:tc>
        <w:tc>
          <w:tcPr>
            <w:tcW w:w="1703"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合格优质流动性资产</w:t>
            </w:r>
          </w:p>
        </w:tc>
        <w:tc>
          <w:tcPr>
            <w:tcW w:w="1190" w:type="pct"/>
            <w:tcBorders>
              <w:top w:val="single" w:color="000000" w:sz="8" w:space="0"/>
              <w:left w:val="single" w:color="000000" w:sz="8" w:space="0"/>
              <w:bottom w:val="single" w:color="000000" w:sz="8" w:space="0"/>
              <w:right w:val="single" w:color="000000" w:sz="8" w:space="0"/>
            </w:tcBorders>
            <w:shd w:val="clear" w:color="auto" w:fill="D9D9D9"/>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w:t>
            </w:r>
          </w:p>
        </w:tc>
        <w:tc>
          <w:tcPr>
            <w:tcW w:w="1161" w:type="pct"/>
            <w:tcBorders>
              <w:top w:val="single" w:color="000000" w:sz="8" w:space="0"/>
              <w:left w:val="single" w:color="000000" w:sz="8" w:space="0"/>
              <w:bottom w:val="single" w:color="000000" w:sz="8" w:space="0"/>
            </w:tcBorders>
            <w:shd w:val="clear" w:color="auto" w:fill="D9D9D9"/>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44" w:type="pct"/>
            <w:tcBorders>
              <w:top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16</w:t>
            </w:r>
          </w:p>
        </w:tc>
        <w:tc>
          <w:tcPr>
            <w:tcW w:w="1703"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sz w:val="22"/>
                <w:szCs w:val="22"/>
                <w:u w:val="none"/>
              </w:rPr>
            </w:pPr>
            <w:r>
              <w:rPr>
                <w:rStyle w:val="9"/>
                <w:rFonts w:hint="eastAsia" w:ascii="仿宋_GB2312" w:hAnsi="仿宋_GB2312" w:eastAsia="仿宋_GB2312" w:cs="仿宋_GB2312"/>
                <w:color w:val="auto"/>
                <w:sz w:val="22"/>
                <w:szCs w:val="22"/>
                <w:lang w:val="en-US" w:eastAsia="zh-CN" w:bidi="ar"/>
              </w:rPr>
              <w:t>现金净流出量</w:t>
            </w:r>
          </w:p>
        </w:tc>
        <w:tc>
          <w:tcPr>
            <w:tcW w:w="1190" w:type="pct"/>
            <w:tcBorders>
              <w:top w:val="single" w:color="000000" w:sz="8" w:space="0"/>
              <w:left w:val="single" w:color="000000" w:sz="8" w:space="0"/>
              <w:bottom w:val="single" w:color="000000" w:sz="8" w:space="0"/>
              <w:right w:val="single" w:color="000000" w:sz="8" w:space="0"/>
            </w:tcBorders>
            <w:shd w:val="clear" w:color="auto" w:fill="D9D9D9"/>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w:t>
            </w:r>
          </w:p>
        </w:tc>
        <w:tc>
          <w:tcPr>
            <w:tcW w:w="1161" w:type="pct"/>
            <w:tcBorders>
              <w:top w:val="single" w:color="000000" w:sz="8" w:space="0"/>
              <w:left w:val="single" w:color="000000" w:sz="8" w:space="0"/>
              <w:bottom w:val="single" w:color="000000" w:sz="8" w:space="0"/>
            </w:tcBorders>
            <w:shd w:val="clear" w:color="auto" w:fill="D9D9D9"/>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44" w:type="pct"/>
            <w:tcBorders>
              <w:top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17</w:t>
            </w:r>
          </w:p>
        </w:tc>
        <w:tc>
          <w:tcPr>
            <w:tcW w:w="1703"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流动性覆盖率（%）</w:t>
            </w:r>
          </w:p>
        </w:tc>
        <w:tc>
          <w:tcPr>
            <w:tcW w:w="1190" w:type="pct"/>
            <w:tcBorders>
              <w:top w:val="single" w:color="000000" w:sz="8" w:space="0"/>
              <w:left w:val="single" w:color="000000" w:sz="8" w:space="0"/>
              <w:bottom w:val="single" w:color="000000" w:sz="8" w:space="0"/>
              <w:right w:val="single" w:color="000000" w:sz="8" w:space="0"/>
            </w:tcBorders>
            <w:shd w:val="clear" w:color="auto" w:fill="D9D9D9"/>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w:t>
            </w:r>
          </w:p>
        </w:tc>
        <w:tc>
          <w:tcPr>
            <w:tcW w:w="1161" w:type="pct"/>
            <w:tcBorders>
              <w:top w:val="single" w:color="000000" w:sz="8" w:space="0"/>
              <w:left w:val="single" w:color="000000" w:sz="8" w:space="0"/>
              <w:bottom w:val="single" w:color="000000" w:sz="8" w:space="0"/>
            </w:tcBorders>
            <w:shd w:val="clear" w:color="auto" w:fill="D9D9D9"/>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00" w:type="pct"/>
            <w:gridSpan w:val="4"/>
            <w:tcBorders>
              <w:top w:val="nil"/>
              <w:bottom w:val="single" w:color="000000" w:sz="8" w:space="0"/>
            </w:tcBorders>
            <w:shd w:val="clear" w:color="auto" w:fill="D9D9D9"/>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净稳定资金比例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44" w:type="pct"/>
            <w:tcBorders>
              <w:top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18</w:t>
            </w:r>
          </w:p>
        </w:tc>
        <w:tc>
          <w:tcPr>
            <w:tcW w:w="1703" w:type="pc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可用稳定资金合计</w:t>
            </w:r>
          </w:p>
        </w:tc>
        <w:tc>
          <w:tcPr>
            <w:tcW w:w="1190" w:type="pct"/>
            <w:tcBorders>
              <w:top w:val="single" w:color="000000" w:sz="8" w:space="0"/>
              <w:left w:val="single" w:color="000000" w:sz="8" w:space="0"/>
              <w:bottom w:val="single" w:color="000000" w:sz="8" w:space="0"/>
              <w:right w:val="single" w:color="000000" w:sz="8" w:space="0"/>
            </w:tcBorders>
            <w:shd w:val="clear" w:color="auto" w:fill="D9D9D9"/>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w:t>
            </w:r>
          </w:p>
        </w:tc>
        <w:tc>
          <w:tcPr>
            <w:tcW w:w="1161" w:type="pct"/>
            <w:tcBorders>
              <w:top w:val="single" w:color="000000" w:sz="8" w:space="0"/>
              <w:left w:val="single" w:color="000000" w:sz="8" w:space="0"/>
              <w:bottom w:val="single" w:color="000000" w:sz="8" w:space="0"/>
            </w:tcBorders>
            <w:shd w:val="clear" w:color="auto" w:fill="D9D9D9"/>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44" w:type="pct"/>
            <w:tcBorders>
              <w:top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19</w:t>
            </w:r>
          </w:p>
        </w:tc>
        <w:tc>
          <w:tcPr>
            <w:tcW w:w="1703"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所需稳定资金合计</w:t>
            </w:r>
          </w:p>
        </w:tc>
        <w:tc>
          <w:tcPr>
            <w:tcW w:w="1190" w:type="pct"/>
            <w:tcBorders>
              <w:top w:val="nil"/>
              <w:left w:val="single" w:color="000000" w:sz="8" w:space="0"/>
              <w:bottom w:val="single" w:color="000000" w:sz="8" w:space="0"/>
              <w:right w:val="single" w:color="000000" w:sz="8" w:space="0"/>
            </w:tcBorders>
            <w:shd w:val="clear" w:color="auto" w:fill="D9D9D9"/>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w:t>
            </w:r>
          </w:p>
        </w:tc>
        <w:tc>
          <w:tcPr>
            <w:tcW w:w="1161" w:type="pct"/>
            <w:tcBorders>
              <w:top w:val="nil"/>
              <w:left w:val="single" w:color="000000" w:sz="8" w:space="0"/>
              <w:bottom w:val="single" w:color="000000" w:sz="8" w:space="0"/>
            </w:tcBorders>
            <w:shd w:val="clear" w:color="auto" w:fill="D9D9D9"/>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44" w:type="pct"/>
            <w:tcBorders>
              <w:top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20</w:t>
            </w:r>
          </w:p>
        </w:tc>
        <w:tc>
          <w:tcPr>
            <w:tcW w:w="1703"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净稳定资金比例（%）</w:t>
            </w:r>
          </w:p>
        </w:tc>
        <w:tc>
          <w:tcPr>
            <w:tcW w:w="1190" w:type="pct"/>
            <w:tcBorders>
              <w:top w:val="nil"/>
              <w:left w:val="single" w:color="000000" w:sz="8" w:space="0"/>
              <w:bottom w:val="single" w:color="000000" w:sz="8" w:space="0"/>
              <w:right w:val="single" w:color="000000" w:sz="8" w:space="0"/>
            </w:tcBorders>
            <w:shd w:val="clear" w:color="auto" w:fill="D9D9D9"/>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w:t>
            </w:r>
          </w:p>
        </w:tc>
        <w:tc>
          <w:tcPr>
            <w:tcW w:w="1161" w:type="pct"/>
            <w:tcBorders>
              <w:top w:val="nil"/>
              <w:left w:val="single" w:color="000000" w:sz="8" w:space="0"/>
              <w:bottom w:val="single" w:color="000000" w:sz="8" w:space="0"/>
            </w:tcBorders>
            <w:shd w:val="clear" w:color="auto" w:fill="D9D9D9"/>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4"/>
            <w:tcBorders>
              <w:top w:val="nil"/>
              <w:bottom w:val="single" w:color="000000" w:sz="8" w:space="0"/>
            </w:tcBorders>
            <w:shd w:val="clear" w:color="auto" w:fill="D8D8D8"/>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top"/>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流动性比例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44" w:type="pct"/>
            <w:tcBorders>
              <w:top w:val="nil"/>
              <w:right w:val="single" w:color="000000" w:sz="8"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21</w:t>
            </w:r>
          </w:p>
        </w:tc>
        <w:tc>
          <w:tcPr>
            <w:tcW w:w="1703" w:type="pct"/>
            <w:tcBorders>
              <w:top w:val="single" w:color="000000" w:sz="8" w:space="0"/>
              <w:left w:val="single" w:color="000000" w:sz="8" w:space="0"/>
              <w:right w:val="nil"/>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流动性比例（%）</w:t>
            </w:r>
          </w:p>
        </w:tc>
        <w:tc>
          <w:tcPr>
            <w:tcW w:w="1190" w:type="pct"/>
            <w:tcBorders>
              <w:top w:val="single" w:color="000000" w:sz="8" w:space="0"/>
              <w:left w:val="single" w:color="000000" w:sz="8"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45.93%</w:t>
            </w:r>
          </w:p>
        </w:tc>
        <w:tc>
          <w:tcPr>
            <w:tcW w:w="1161" w:type="pct"/>
            <w:tcBorders>
              <w:top w:val="single" w:color="000000" w:sz="8" w:space="0"/>
              <w:lef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43.78%</w:t>
            </w:r>
          </w:p>
        </w:tc>
      </w:tr>
      <w:bookmarkEnd w:id="0"/>
    </w:tbl>
    <w:tbl>
      <w:tblPr>
        <w:tblStyle w:val="4"/>
        <w:tblpPr w:leftFromText="180" w:rightFromText="180" w:vertAnchor="text" w:horzAnchor="page" w:tblpX="1776" w:tblpY="640"/>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0"/>
        <w:gridCol w:w="3770"/>
        <w:gridCol w:w="3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b/>
                <w:bCs/>
                <w:i w:val="0"/>
                <w:iCs w:val="0"/>
                <w:color w:val="auto"/>
                <w:sz w:val="36"/>
                <w:szCs w:val="36"/>
                <w:u w:val="none"/>
              </w:rPr>
            </w:pPr>
            <w:r>
              <w:rPr>
                <w:rFonts w:hint="eastAsia" w:ascii="仿宋_GB2312" w:hAnsi="仿宋_GB2312" w:eastAsia="仿宋_GB2312" w:cs="仿宋_GB2312"/>
                <w:b/>
                <w:bCs/>
                <w:i w:val="0"/>
                <w:iCs w:val="0"/>
                <w:color w:val="auto"/>
                <w:kern w:val="0"/>
                <w:sz w:val="28"/>
                <w:szCs w:val="28"/>
                <w:u w:val="none"/>
                <w:lang w:val="en-US" w:eastAsia="zh-CN" w:bidi="ar"/>
              </w:rPr>
              <w:t>表格CC1：资本构成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787"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项目</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数额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核心一级资本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实收资本和资本公积可计入部分</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20792.09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留存收益</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58738.41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2a</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盈余公积</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9096.73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2b</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一般风险准备</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27493.73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2c</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未分配利润</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22147.95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3</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累计其他综合收益</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3224.39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4</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少数股东资本可计入部分</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5</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扣除前的核心一级资本</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82754.89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核心一级资本：扣除项</w:t>
            </w:r>
            <w:r>
              <w:rPr>
                <w:rStyle w:val="10"/>
                <w:rFonts w:hint="eastAsia" w:ascii="仿宋_GB2312" w:hAnsi="仿宋_GB2312" w:eastAsia="仿宋_GB2312" w:cs="仿宋_GB2312"/>
                <w:color w:val="auto"/>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6</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审慎估值调整</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7</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商誉（扣除递延税负债）</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8</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其他无形资产（土地使用权除外）（扣除递延税负债）</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86.73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9</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依赖未来盈利的由经营亏损引起的净递延税资产</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10</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对未按公允价值计量的项目进行套期形成的现金流储备</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11</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损失准备缺口</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12</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资产证券化销售利得</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13</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自身信用风险变化导致其负债公允价值变化带来的未实现损益</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14</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确定受益类的养老金资产净额（扣除递延税负债）</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15</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直接或间接持有本银行的股票</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16</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银行间或银行与其他金融机构间通过协议相互持有的核心一级资本</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17</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对未并表金融机构小额少数资本投资中的核心一级资本中应扣除金额</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18</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对未并表金融机构大额少数资本投资中的核心一级资本中应扣除金额</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19</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其他依赖于银行未来盈利的净递延税资产中应扣除金额</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2006.77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20</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Style w:val="10"/>
                <w:rFonts w:hint="eastAsia" w:ascii="仿宋_GB2312" w:hAnsi="仿宋_GB2312" w:eastAsia="仿宋_GB2312" w:cs="仿宋_GB2312"/>
                <w:color w:val="auto"/>
                <w:sz w:val="22"/>
                <w:szCs w:val="22"/>
                <w:lang w:val="en-US" w:eastAsia="zh-CN" w:bidi="ar"/>
              </w:rPr>
              <w:t>对未并表金融机构大额少数资本投资中的核心一级资本和其他依赖于银行未来盈利的净递延税资产的未扣除部分超过核心一级资本15%的应扣除金额</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21</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Style w:val="10"/>
                <w:rFonts w:hint="eastAsia" w:ascii="仿宋_GB2312" w:hAnsi="仿宋_GB2312" w:eastAsia="仿宋_GB2312" w:cs="仿宋_GB2312"/>
                <w:color w:val="auto"/>
                <w:sz w:val="22"/>
                <w:szCs w:val="22"/>
                <w:lang w:val="en-US" w:eastAsia="zh-CN" w:bidi="ar"/>
              </w:rPr>
              <w:t xml:space="preserve">    其中：应在对金融机构大额少数资本投资中扣除的金额</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22</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Style w:val="10"/>
                <w:rFonts w:hint="eastAsia" w:ascii="仿宋_GB2312" w:hAnsi="仿宋_GB2312" w:eastAsia="仿宋_GB2312" w:cs="仿宋_GB2312"/>
                <w:color w:val="auto"/>
                <w:sz w:val="22"/>
                <w:szCs w:val="22"/>
                <w:lang w:val="en-US" w:eastAsia="zh-CN" w:bidi="ar"/>
              </w:rPr>
              <w:t xml:space="preserve">    其中：应在其他依赖于银行未来盈利的净递延税资产中扣除的金额</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23</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其他应在核心一级资本中扣除的项目合计</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24</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应从其他一级资本和二级资本中扣除的未扣缺口</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25</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核心一级资本扣除项总和</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2093.5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26</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核心一级资本净额</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80661.39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其他一级资本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27</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其他一级资本工具及其溢价</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28</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Style w:val="10"/>
                <w:rFonts w:hint="eastAsia" w:ascii="仿宋_GB2312" w:hAnsi="仿宋_GB2312" w:eastAsia="仿宋_GB2312" w:cs="仿宋_GB2312"/>
                <w:color w:val="auto"/>
                <w:sz w:val="22"/>
                <w:szCs w:val="22"/>
                <w:lang w:val="en-US" w:eastAsia="zh-CN" w:bidi="ar"/>
              </w:rPr>
              <w:t xml:space="preserve">    其中：权益部分</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29</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Style w:val="10"/>
                <w:rFonts w:hint="eastAsia" w:ascii="仿宋_GB2312" w:hAnsi="仿宋_GB2312" w:eastAsia="仿宋_GB2312" w:cs="仿宋_GB2312"/>
                <w:color w:val="auto"/>
                <w:sz w:val="22"/>
                <w:szCs w:val="22"/>
                <w:lang w:val="en-US" w:eastAsia="zh-CN" w:bidi="ar"/>
              </w:rPr>
              <w:t xml:space="preserve">    其中：负债部分</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30</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少数股东资本可计入部分</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31</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扣除前的其他一级资本</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其他一级资本:扣除项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32</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直接或间接持有的本银行其他一级资本</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33</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银行间或银行与其他金融机构间通过协议相互持有的其他一级资本</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34</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对未并表金融机构小额少数资本投资中的其他一级资本中应扣除金额</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35</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对未并表金融机构大额少数资本投资中的其他一级资本中应扣除金额</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36</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其他应在其他一级资本中扣除的项目合计</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37</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应从二级资本中扣除的未扣缺口</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38</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其他一级资本扣除项总和</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39</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其他一级资本净额</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40</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一级资本净额</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80661.39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二级资本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41</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二级资本工具及其溢价</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42</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少数股东资本可计入部分</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43</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超额损失准备可计入部分</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9689.23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44</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扣除前的二级资本</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19689.23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二级资本：扣除项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45</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直接或间接持有的本银行的二级资本</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46</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银行间或银行与其他金融机构间通过协议相互持有的其他一级资本</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47</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对未并表金融机构小额少数资本投资中的二级资本中应扣除金额</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48</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对未并表金融机构大额少数资本投资中的二级资本</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49</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其他应在二级资本中扣除的项目合计</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50</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二级资本扣除项总和</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51</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二级资本净额</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19689.23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52</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总资本净额</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100350.62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53</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风险加权资产</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858578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资本充足率和其他各级资本要求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54</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核心一级资本充足率</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55</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一级资本充足率</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56</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资本充足率</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11.69%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57</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其他各级资本要求（%）</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58</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Style w:val="10"/>
                <w:rFonts w:hint="eastAsia" w:ascii="仿宋_GB2312" w:hAnsi="仿宋_GB2312" w:eastAsia="仿宋_GB2312" w:cs="仿宋_GB2312"/>
                <w:color w:val="auto"/>
                <w:sz w:val="22"/>
                <w:szCs w:val="22"/>
                <w:lang w:val="en-US" w:eastAsia="zh-CN" w:bidi="ar"/>
              </w:rPr>
              <w:t xml:space="preserve">    其中：储备资本要求</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59</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Style w:val="10"/>
                <w:rFonts w:hint="eastAsia" w:ascii="仿宋_GB2312" w:hAnsi="仿宋_GB2312" w:eastAsia="仿宋_GB2312" w:cs="仿宋_GB2312"/>
                <w:color w:val="auto"/>
                <w:sz w:val="22"/>
                <w:szCs w:val="22"/>
                <w:lang w:val="en-US" w:eastAsia="zh-CN" w:bidi="ar"/>
              </w:rPr>
              <w:t xml:space="preserve">    其中：逆周期资本要求</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60</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Style w:val="10"/>
                <w:rFonts w:hint="eastAsia" w:ascii="仿宋_GB2312" w:hAnsi="仿宋_GB2312" w:eastAsia="仿宋_GB2312" w:cs="仿宋_GB2312"/>
                <w:color w:val="auto"/>
                <w:sz w:val="22"/>
                <w:szCs w:val="22"/>
                <w:lang w:val="en-US" w:eastAsia="zh-CN" w:bidi="ar"/>
              </w:rPr>
              <w:t xml:space="preserve">    其中：全球系统重要性银行或国内系统重要性银行附加资本要求</w:t>
            </w:r>
          </w:p>
        </w:tc>
        <w:tc>
          <w:tcPr>
            <w:tcW w:w="2212" w:type="pct"/>
            <w:tcBorders>
              <w:top w:val="single" w:color="000000" w:sz="4" w:space="0"/>
              <w:left w:val="single" w:color="000000" w:sz="4" w:space="0"/>
              <w:bottom w:val="single" w:color="000000" w:sz="4" w:space="0"/>
              <w:right w:val="single" w:color="000000" w:sz="4" w:space="0"/>
            </w:tcBorders>
            <w:shd w:val="clear" w:color="auto" w:fill="BEBEBE"/>
            <w:vAlign w:val="bottom"/>
          </w:tcPr>
          <w:p>
            <w:pPr>
              <w:keepNext w:val="0"/>
              <w:keepLines w:val="0"/>
              <w:pageBreakBefore w:val="0"/>
              <w:widowControl/>
              <w:kinsoku/>
              <w:wordWrap/>
              <w:overflowPunct/>
              <w:topLinePunct w:val="0"/>
              <w:autoSpaceDE/>
              <w:autoSpaceDN/>
              <w:bidi w:val="0"/>
              <w:adjustRightInd/>
              <w:snapToGrid/>
              <w:spacing w:line="240" w:lineRule="auto"/>
              <w:rPr>
                <w:rFonts w:hint="eastAsia" w:ascii="仿宋_GB2312" w:hAnsi="仿宋_GB2312"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61</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满足最低资本要求后的可用核心一级资本净额占风险加权资产的比例（%）</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我国最低监管资本要求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62</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核心一级资本充足率</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63</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一级资本充足率</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64</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资本充足率</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门槛扣除项中未扣除部分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65</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对未并表金融机构的小额少数资本投资中未扣除部分</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66</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对未并表金融机构的大额少数资本投资中未扣除部分</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67</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其他依赖于银行未来盈利的净递延税资产（扣除递延税负债）</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仿宋_GB2312" w:hAnsi="仿宋_GB2312" w:eastAsia="仿宋_GB2312" w:cs="仿宋_GB2312"/>
                <w:b/>
                <w:bCs/>
                <w:i w:val="0"/>
                <w:iCs w:val="0"/>
                <w:color w:val="auto"/>
                <w:sz w:val="22"/>
                <w:szCs w:val="22"/>
                <w:u w:val="none"/>
              </w:rPr>
            </w:pPr>
            <w:r>
              <w:rPr>
                <w:rFonts w:hint="eastAsia" w:ascii="仿宋_GB2312" w:hAnsi="仿宋_GB2312" w:eastAsia="仿宋_GB2312" w:cs="仿宋_GB2312"/>
                <w:b/>
                <w:bCs/>
                <w:i w:val="0"/>
                <w:iCs w:val="0"/>
                <w:color w:val="auto"/>
                <w:kern w:val="0"/>
                <w:sz w:val="22"/>
                <w:szCs w:val="22"/>
                <w:u w:val="none"/>
                <w:lang w:val="en-US" w:eastAsia="zh-CN" w:bidi="ar"/>
              </w:rPr>
              <w:t>可计入二级资本的超额损失准备的限额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68</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权重法下，实际计提的超额损失准备金额</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43814.53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69</w:t>
            </w:r>
          </w:p>
        </w:tc>
        <w:tc>
          <w:tcPr>
            <w:tcW w:w="221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权重法下，可计入二级资本超额损失准备的数额</w:t>
            </w:r>
          </w:p>
        </w:tc>
        <w:tc>
          <w:tcPr>
            <w:tcW w:w="2212"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bottom"/>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kern w:val="0"/>
                <w:sz w:val="22"/>
                <w:szCs w:val="22"/>
                <w:u w:val="none"/>
                <w:lang w:val="en-US" w:eastAsia="zh-CN" w:bidi="ar"/>
              </w:rPr>
              <w:t>9689.23</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D1F97"/>
    <w:rsid w:val="01DC6259"/>
    <w:rsid w:val="01FD60EF"/>
    <w:rsid w:val="02085B60"/>
    <w:rsid w:val="02251D51"/>
    <w:rsid w:val="027B05E5"/>
    <w:rsid w:val="0296685A"/>
    <w:rsid w:val="02F7521B"/>
    <w:rsid w:val="03274692"/>
    <w:rsid w:val="038C42F6"/>
    <w:rsid w:val="03F62893"/>
    <w:rsid w:val="04215714"/>
    <w:rsid w:val="04474F80"/>
    <w:rsid w:val="049545E5"/>
    <w:rsid w:val="04AA2E1A"/>
    <w:rsid w:val="04B92B46"/>
    <w:rsid w:val="04CB575C"/>
    <w:rsid w:val="060020E1"/>
    <w:rsid w:val="062C2103"/>
    <w:rsid w:val="069F59BC"/>
    <w:rsid w:val="06D83037"/>
    <w:rsid w:val="081E5852"/>
    <w:rsid w:val="084A00FF"/>
    <w:rsid w:val="085D5B76"/>
    <w:rsid w:val="08AC149D"/>
    <w:rsid w:val="08C1790C"/>
    <w:rsid w:val="08C65B32"/>
    <w:rsid w:val="08CE193B"/>
    <w:rsid w:val="092034D6"/>
    <w:rsid w:val="094D0598"/>
    <w:rsid w:val="0A125B00"/>
    <w:rsid w:val="0A1922BA"/>
    <w:rsid w:val="0A3516A6"/>
    <w:rsid w:val="0A3D35B8"/>
    <w:rsid w:val="0AE86AA4"/>
    <w:rsid w:val="0B790A7A"/>
    <w:rsid w:val="0B9D4071"/>
    <w:rsid w:val="0BB0625F"/>
    <w:rsid w:val="0BD16306"/>
    <w:rsid w:val="0BD23A2A"/>
    <w:rsid w:val="0C1E231B"/>
    <w:rsid w:val="0C252505"/>
    <w:rsid w:val="0C682A01"/>
    <w:rsid w:val="0C7B68E1"/>
    <w:rsid w:val="0C9B7678"/>
    <w:rsid w:val="0D00773C"/>
    <w:rsid w:val="0D101FE9"/>
    <w:rsid w:val="0D4B19C3"/>
    <w:rsid w:val="0D6A5594"/>
    <w:rsid w:val="0D8B5744"/>
    <w:rsid w:val="0DA13264"/>
    <w:rsid w:val="0DA256ED"/>
    <w:rsid w:val="0E234B91"/>
    <w:rsid w:val="0E3A6E45"/>
    <w:rsid w:val="0E4B4412"/>
    <w:rsid w:val="0E8F07C5"/>
    <w:rsid w:val="0EA13073"/>
    <w:rsid w:val="0EA42695"/>
    <w:rsid w:val="0ECD61E4"/>
    <w:rsid w:val="0ED8666E"/>
    <w:rsid w:val="0F837493"/>
    <w:rsid w:val="0F9C1D06"/>
    <w:rsid w:val="0FA740B3"/>
    <w:rsid w:val="0FAD5049"/>
    <w:rsid w:val="101F6136"/>
    <w:rsid w:val="10467BF6"/>
    <w:rsid w:val="105C36BA"/>
    <w:rsid w:val="109172D0"/>
    <w:rsid w:val="10952116"/>
    <w:rsid w:val="10D40902"/>
    <w:rsid w:val="11AF626D"/>
    <w:rsid w:val="11B94260"/>
    <w:rsid w:val="125B061F"/>
    <w:rsid w:val="12883BC6"/>
    <w:rsid w:val="12A409F4"/>
    <w:rsid w:val="12E320C0"/>
    <w:rsid w:val="13037A63"/>
    <w:rsid w:val="133A1F9C"/>
    <w:rsid w:val="136D2A4D"/>
    <w:rsid w:val="13BF2150"/>
    <w:rsid w:val="14042291"/>
    <w:rsid w:val="14285B0B"/>
    <w:rsid w:val="143606BA"/>
    <w:rsid w:val="144E154A"/>
    <w:rsid w:val="14A71BDD"/>
    <w:rsid w:val="14B35343"/>
    <w:rsid w:val="15AF3985"/>
    <w:rsid w:val="16250884"/>
    <w:rsid w:val="16446FE9"/>
    <w:rsid w:val="16457B09"/>
    <w:rsid w:val="16825B34"/>
    <w:rsid w:val="1702128C"/>
    <w:rsid w:val="170920AF"/>
    <w:rsid w:val="170C3519"/>
    <w:rsid w:val="176271CE"/>
    <w:rsid w:val="176E1BB6"/>
    <w:rsid w:val="176E2C60"/>
    <w:rsid w:val="177B584D"/>
    <w:rsid w:val="17941BF6"/>
    <w:rsid w:val="1814376D"/>
    <w:rsid w:val="1853450D"/>
    <w:rsid w:val="18537112"/>
    <w:rsid w:val="186816D4"/>
    <w:rsid w:val="188D5607"/>
    <w:rsid w:val="18DD3FAE"/>
    <w:rsid w:val="19072FDB"/>
    <w:rsid w:val="190F2B1C"/>
    <w:rsid w:val="19316F76"/>
    <w:rsid w:val="19475C0A"/>
    <w:rsid w:val="1A5042C5"/>
    <w:rsid w:val="1A733053"/>
    <w:rsid w:val="1AA81BC3"/>
    <w:rsid w:val="1B727CAA"/>
    <w:rsid w:val="1B7B7983"/>
    <w:rsid w:val="1B94625D"/>
    <w:rsid w:val="1B9E1568"/>
    <w:rsid w:val="1BD36BA8"/>
    <w:rsid w:val="1BE32F61"/>
    <w:rsid w:val="1C215C75"/>
    <w:rsid w:val="1C2E050B"/>
    <w:rsid w:val="1C4033E4"/>
    <w:rsid w:val="1C984EF7"/>
    <w:rsid w:val="1CCB31A1"/>
    <w:rsid w:val="1CF35210"/>
    <w:rsid w:val="1D1D7DAE"/>
    <w:rsid w:val="1D8B5ADA"/>
    <w:rsid w:val="1DA11BEF"/>
    <w:rsid w:val="1DC427B9"/>
    <w:rsid w:val="1DEF3711"/>
    <w:rsid w:val="1DF336B6"/>
    <w:rsid w:val="1DF47F1D"/>
    <w:rsid w:val="1E14273D"/>
    <w:rsid w:val="1E47263C"/>
    <w:rsid w:val="1E4E171E"/>
    <w:rsid w:val="1E993AE7"/>
    <w:rsid w:val="1EA402C3"/>
    <w:rsid w:val="1EF30FCB"/>
    <w:rsid w:val="1F0D50D3"/>
    <w:rsid w:val="1FAB4D5F"/>
    <w:rsid w:val="1FBD452A"/>
    <w:rsid w:val="20475771"/>
    <w:rsid w:val="2152386F"/>
    <w:rsid w:val="216A78C3"/>
    <w:rsid w:val="21F316BD"/>
    <w:rsid w:val="220D6DAE"/>
    <w:rsid w:val="229730B0"/>
    <w:rsid w:val="229831F9"/>
    <w:rsid w:val="22A159F0"/>
    <w:rsid w:val="2375477D"/>
    <w:rsid w:val="241B26ED"/>
    <w:rsid w:val="244C4D70"/>
    <w:rsid w:val="245028D0"/>
    <w:rsid w:val="2462444F"/>
    <w:rsid w:val="24906941"/>
    <w:rsid w:val="24965D54"/>
    <w:rsid w:val="24D66FA8"/>
    <w:rsid w:val="2578407F"/>
    <w:rsid w:val="25880690"/>
    <w:rsid w:val="25DC47A1"/>
    <w:rsid w:val="25F502F7"/>
    <w:rsid w:val="25FD68EE"/>
    <w:rsid w:val="260B0844"/>
    <w:rsid w:val="26352F07"/>
    <w:rsid w:val="271A0A27"/>
    <w:rsid w:val="271A5FC2"/>
    <w:rsid w:val="27920F02"/>
    <w:rsid w:val="282E0FC0"/>
    <w:rsid w:val="28847A3F"/>
    <w:rsid w:val="28D47CCB"/>
    <w:rsid w:val="28E107C5"/>
    <w:rsid w:val="291857A5"/>
    <w:rsid w:val="29191296"/>
    <w:rsid w:val="2924682D"/>
    <w:rsid w:val="296F0FB4"/>
    <w:rsid w:val="29C53D6B"/>
    <w:rsid w:val="29DD5019"/>
    <w:rsid w:val="29EA6628"/>
    <w:rsid w:val="29EB683F"/>
    <w:rsid w:val="29F4089F"/>
    <w:rsid w:val="2A1F462C"/>
    <w:rsid w:val="2A2B2B09"/>
    <w:rsid w:val="2A600653"/>
    <w:rsid w:val="2AA51AD1"/>
    <w:rsid w:val="2B586319"/>
    <w:rsid w:val="2B5B263E"/>
    <w:rsid w:val="2B5B3239"/>
    <w:rsid w:val="2B6B63D4"/>
    <w:rsid w:val="2BB0455F"/>
    <w:rsid w:val="2BB20D00"/>
    <w:rsid w:val="2C1C0108"/>
    <w:rsid w:val="2C467357"/>
    <w:rsid w:val="2C6541AB"/>
    <w:rsid w:val="2C7B5D8E"/>
    <w:rsid w:val="2CBB5C6A"/>
    <w:rsid w:val="2CDF4F7F"/>
    <w:rsid w:val="2CE040FB"/>
    <w:rsid w:val="2D0B3966"/>
    <w:rsid w:val="2D3F6623"/>
    <w:rsid w:val="2D447E1E"/>
    <w:rsid w:val="2D46005E"/>
    <w:rsid w:val="2D743803"/>
    <w:rsid w:val="2D76268D"/>
    <w:rsid w:val="2D8075B4"/>
    <w:rsid w:val="2DD14436"/>
    <w:rsid w:val="2E2C0D71"/>
    <w:rsid w:val="2F475E86"/>
    <w:rsid w:val="30DF72B1"/>
    <w:rsid w:val="318A7F7C"/>
    <w:rsid w:val="31CD2762"/>
    <w:rsid w:val="324F50CF"/>
    <w:rsid w:val="32510B78"/>
    <w:rsid w:val="32872E2A"/>
    <w:rsid w:val="32BC210F"/>
    <w:rsid w:val="32DA372C"/>
    <w:rsid w:val="330B5872"/>
    <w:rsid w:val="33116A6B"/>
    <w:rsid w:val="33144866"/>
    <w:rsid w:val="33641489"/>
    <w:rsid w:val="3383388F"/>
    <w:rsid w:val="33D22920"/>
    <w:rsid w:val="340C3FB1"/>
    <w:rsid w:val="344015CD"/>
    <w:rsid w:val="3450562C"/>
    <w:rsid w:val="348971A4"/>
    <w:rsid w:val="34B20306"/>
    <w:rsid w:val="35012551"/>
    <w:rsid w:val="35100668"/>
    <w:rsid w:val="355723A0"/>
    <w:rsid w:val="357258D8"/>
    <w:rsid w:val="35835F5B"/>
    <w:rsid w:val="358F3DD5"/>
    <w:rsid w:val="36700FFF"/>
    <w:rsid w:val="370F1648"/>
    <w:rsid w:val="375E48A0"/>
    <w:rsid w:val="37D32DFF"/>
    <w:rsid w:val="37DD0E80"/>
    <w:rsid w:val="37E526CC"/>
    <w:rsid w:val="38150283"/>
    <w:rsid w:val="38342548"/>
    <w:rsid w:val="384B17BB"/>
    <w:rsid w:val="38BB1AB5"/>
    <w:rsid w:val="38DB0F62"/>
    <w:rsid w:val="390C2177"/>
    <w:rsid w:val="392A74BF"/>
    <w:rsid w:val="39FE14D5"/>
    <w:rsid w:val="3A570404"/>
    <w:rsid w:val="3A782EF8"/>
    <w:rsid w:val="3A9D057C"/>
    <w:rsid w:val="3AF44902"/>
    <w:rsid w:val="3B4E12C0"/>
    <w:rsid w:val="3BCB4E43"/>
    <w:rsid w:val="3BDD74B7"/>
    <w:rsid w:val="3C905BE4"/>
    <w:rsid w:val="3C99793A"/>
    <w:rsid w:val="3CB33B17"/>
    <w:rsid w:val="3D136882"/>
    <w:rsid w:val="3D18379F"/>
    <w:rsid w:val="3D7E68E9"/>
    <w:rsid w:val="3D9640C4"/>
    <w:rsid w:val="3D9943E5"/>
    <w:rsid w:val="3DA20FBB"/>
    <w:rsid w:val="3DD44A98"/>
    <w:rsid w:val="3E1F2A4A"/>
    <w:rsid w:val="3E597F97"/>
    <w:rsid w:val="3E8E4F94"/>
    <w:rsid w:val="3EA94997"/>
    <w:rsid w:val="3EFF1030"/>
    <w:rsid w:val="3F035FC9"/>
    <w:rsid w:val="3F687974"/>
    <w:rsid w:val="3F8F3BA7"/>
    <w:rsid w:val="3FAD14A9"/>
    <w:rsid w:val="3FD72254"/>
    <w:rsid w:val="402E1D38"/>
    <w:rsid w:val="403B576B"/>
    <w:rsid w:val="405A52E6"/>
    <w:rsid w:val="40900AE7"/>
    <w:rsid w:val="40FB286F"/>
    <w:rsid w:val="412B4320"/>
    <w:rsid w:val="413F1C76"/>
    <w:rsid w:val="415842BD"/>
    <w:rsid w:val="416B0505"/>
    <w:rsid w:val="419317A3"/>
    <w:rsid w:val="41B03E3E"/>
    <w:rsid w:val="41C439BA"/>
    <w:rsid w:val="420B0529"/>
    <w:rsid w:val="4246623F"/>
    <w:rsid w:val="42D31F78"/>
    <w:rsid w:val="42DB4C5C"/>
    <w:rsid w:val="431F2F52"/>
    <w:rsid w:val="435E65E3"/>
    <w:rsid w:val="43BB0E88"/>
    <w:rsid w:val="43C52964"/>
    <w:rsid w:val="43D118DB"/>
    <w:rsid w:val="4463347A"/>
    <w:rsid w:val="44F12817"/>
    <w:rsid w:val="45321E8C"/>
    <w:rsid w:val="456546EC"/>
    <w:rsid w:val="45C15FA0"/>
    <w:rsid w:val="45D508BD"/>
    <w:rsid w:val="466F3C52"/>
    <w:rsid w:val="46BF4F72"/>
    <w:rsid w:val="46CD0BB8"/>
    <w:rsid w:val="47053800"/>
    <w:rsid w:val="47381EAC"/>
    <w:rsid w:val="475F7A4F"/>
    <w:rsid w:val="476033C1"/>
    <w:rsid w:val="47763995"/>
    <w:rsid w:val="47CF3A4D"/>
    <w:rsid w:val="47E8416A"/>
    <w:rsid w:val="48215C79"/>
    <w:rsid w:val="482D561F"/>
    <w:rsid w:val="48664029"/>
    <w:rsid w:val="48FA66F3"/>
    <w:rsid w:val="49633237"/>
    <w:rsid w:val="496E2942"/>
    <w:rsid w:val="496E5DE4"/>
    <w:rsid w:val="49850078"/>
    <w:rsid w:val="49964F16"/>
    <w:rsid w:val="49B904DF"/>
    <w:rsid w:val="49BF1FB5"/>
    <w:rsid w:val="49C01EF5"/>
    <w:rsid w:val="49D81128"/>
    <w:rsid w:val="49E65669"/>
    <w:rsid w:val="49EE4F68"/>
    <w:rsid w:val="4A61539F"/>
    <w:rsid w:val="4A914A42"/>
    <w:rsid w:val="4A972637"/>
    <w:rsid w:val="4B41500C"/>
    <w:rsid w:val="4B61779A"/>
    <w:rsid w:val="4B645063"/>
    <w:rsid w:val="4B6C36FD"/>
    <w:rsid w:val="4B9036D7"/>
    <w:rsid w:val="4BC80BB1"/>
    <w:rsid w:val="4C243968"/>
    <w:rsid w:val="4C304E5C"/>
    <w:rsid w:val="4C3D5E8D"/>
    <w:rsid w:val="4C816362"/>
    <w:rsid w:val="4C8D7DC2"/>
    <w:rsid w:val="4CDD4471"/>
    <w:rsid w:val="4CE256CC"/>
    <w:rsid w:val="4CE60066"/>
    <w:rsid w:val="4D6B7185"/>
    <w:rsid w:val="4D6C1FF5"/>
    <w:rsid w:val="4D8978C0"/>
    <w:rsid w:val="4D9730CA"/>
    <w:rsid w:val="4DC05E8F"/>
    <w:rsid w:val="4DD7110C"/>
    <w:rsid w:val="4E596C05"/>
    <w:rsid w:val="4ECA7784"/>
    <w:rsid w:val="4F005581"/>
    <w:rsid w:val="4F037A2C"/>
    <w:rsid w:val="4F2671E4"/>
    <w:rsid w:val="4F4347AE"/>
    <w:rsid w:val="4F9432C0"/>
    <w:rsid w:val="4F96748E"/>
    <w:rsid w:val="4F9D172E"/>
    <w:rsid w:val="4FCD2B79"/>
    <w:rsid w:val="4FD213F5"/>
    <w:rsid w:val="50172612"/>
    <w:rsid w:val="504A30A0"/>
    <w:rsid w:val="505B6E5D"/>
    <w:rsid w:val="506C4D74"/>
    <w:rsid w:val="509544C2"/>
    <w:rsid w:val="50C61290"/>
    <w:rsid w:val="51054464"/>
    <w:rsid w:val="5112213D"/>
    <w:rsid w:val="512D0FB4"/>
    <w:rsid w:val="512F627D"/>
    <w:rsid w:val="51A40107"/>
    <w:rsid w:val="51A41108"/>
    <w:rsid w:val="521342CF"/>
    <w:rsid w:val="52780BC6"/>
    <w:rsid w:val="52A92284"/>
    <w:rsid w:val="53396DB6"/>
    <w:rsid w:val="535F7525"/>
    <w:rsid w:val="53AA6C7F"/>
    <w:rsid w:val="542B111B"/>
    <w:rsid w:val="5437395C"/>
    <w:rsid w:val="545968AC"/>
    <w:rsid w:val="548B7FAF"/>
    <w:rsid w:val="54B503AF"/>
    <w:rsid w:val="553C5163"/>
    <w:rsid w:val="553E738C"/>
    <w:rsid w:val="55B243E1"/>
    <w:rsid w:val="55E0719B"/>
    <w:rsid w:val="55FD4C36"/>
    <w:rsid w:val="562B079E"/>
    <w:rsid w:val="566F7303"/>
    <w:rsid w:val="56CF5541"/>
    <w:rsid w:val="56F42A27"/>
    <w:rsid w:val="57A87F69"/>
    <w:rsid w:val="57B14CAC"/>
    <w:rsid w:val="57F069C0"/>
    <w:rsid w:val="592D1DD3"/>
    <w:rsid w:val="59452B34"/>
    <w:rsid w:val="595D717C"/>
    <w:rsid w:val="59677DB0"/>
    <w:rsid w:val="59F8330C"/>
    <w:rsid w:val="5A3805DA"/>
    <w:rsid w:val="5A3E79A1"/>
    <w:rsid w:val="5A3F472A"/>
    <w:rsid w:val="5A6B6BE4"/>
    <w:rsid w:val="5AF20C5D"/>
    <w:rsid w:val="5B3A35B1"/>
    <w:rsid w:val="5B4C6FCF"/>
    <w:rsid w:val="5B5E0577"/>
    <w:rsid w:val="5B9019B4"/>
    <w:rsid w:val="5BF81C13"/>
    <w:rsid w:val="5C5C5F66"/>
    <w:rsid w:val="5C630B64"/>
    <w:rsid w:val="5C9D6635"/>
    <w:rsid w:val="5CC64F26"/>
    <w:rsid w:val="5D102499"/>
    <w:rsid w:val="5D4F3C8D"/>
    <w:rsid w:val="5D562286"/>
    <w:rsid w:val="5DD56FFF"/>
    <w:rsid w:val="5E24370F"/>
    <w:rsid w:val="5E956D48"/>
    <w:rsid w:val="5F573871"/>
    <w:rsid w:val="5FEA1EE9"/>
    <w:rsid w:val="5FEB0F56"/>
    <w:rsid w:val="5FEB4400"/>
    <w:rsid w:val="60995BC2"/>
    <w:rsid w:val="60DB5B33"/>
    <w:rsid w:val="610B1459"/>
    <w:rsid w:val="61416067"/>
    <w:rsid w:val="61465EDC"/>
    <w:rsid w:val="61542096"/>
    <w:rsid w:val="617234CA"/>
    <w:rsid w:val="621B3D6F"/>
    <w:rsid w:val="626D1D8F"/>
    <w:rsid w:val="628F6237"/>
    <w:rsid w:val="62966B81"/>
    <w:rsid w:val="62B14227"/>
    <w:rsid w:val="62E81B3C"/>
    <w:rsid w:val="62F70B9D"/>
    <w:rsid w:val="63501114"/>
    <w:rsid w:val="63597EEB"/>
    <w:rsid w:val="636A0038"/>
    <w:rsid w:val="63A43394"/>
    <w:rsid w:val="63C66713"/>
    <w:rsid w:val="63D53FE8"/>
    <w:rsid w:val="648C00A6"/>
    <w:rsid w:val="649412B1"/>
    <w:rsid w:val="64A63F6C"/>
    <w:rsid w:val="64C2015F"/>
    <w:rsid w:val="650E564F"/>
    <w:rsid w:val="65857C74"/>
    <w:rsid w:val="65911571"/>
    <w:rsid w:val="65CC50FD"/>
    <w:rsid w:val="65D002E1"/>
    <w:rsid w:val="65E2138C"/>
    <w:rsid w:val="65E55AF2"/>
    <w:rsid w:val="66113B73"/>
    <w:rsid w:val="66370584"/>
    <w:rsid w:val="663D280E"/>
    <w:rsid w:val="67131ED7"/>
    <w:rsid w:val="671D5451"/>
    <w:rsid w:val="678022EC"/>
    <w:rsid w:val="67934C67"/>
    <w:rsid w:val="67CB2D4F"/>
    <w:rsid w:val="67EA0191"/>
    <w:rsid w:val="680965A8"/>
    <w:rsid w:val="681740A3"/>
    <w:rsid w:val="68181D2F"/>
    <w:rsid w:val="68445E0D"/>
    <w:rsid w:val="685279FD"/>
    <w:rsid w:val="68535A8A"/>
    <w:rsid w:val="68812E18"/>
    <w:rsid w:val="6893639F"/>
    <w:rsid w:val="689F588B"/>
    <w:rsid w:val="68B35FA0"/>
    <w:rsid w:val="69692F8F"/>
    <w:rsid w:val="69866E46"/>
    <w:rsid w:val="69CA7DD7"/>
    <w:rsid w:val="6A423EBF"/>
    <w:rsid w:val="6A506ACE"/>
    <w:rsid w:val="6A617207"/>
    <w:rsid w:val="6B3A2CCC"/>
    <w:rsid w:val="6B3E6AF3"/>
    <w:rsid w:val="6B82440F"/>
    <w:rsid w:val="6BBA0517"/>
    <w:rsid w:val="6BEA36E9"/>
    <w:rsid w:val="6BFF18A6"/>
    <w:rsid w:val="6C314E22"/>
    <w:rsid w:val="6C675AE0"/>
    <w:rsid w:val="6C825018"/>
    <w:rsid w:val="6C863DE9"/>
    <w:rsid w:val="6CD26AFF"/>
    <w:rsid w:val="6D257071"/>
    <w:rsid w:val="6D6F48E1"/>
    <w:rsid w:val="6DD73C42"/>
    <w:rsid w:val="6DF47F88"/>
    <w:rsid w:val="6E2354F1"/>
    <w:rsid w:val="6E426A1E"/>
    <w:rsid w:val="6E4459AB"/>
    <w:rsid w:val="6E673D53"/>
    <w:rsid w:val="6EC913E4"/>
    <w:rsid w:val="6ED450BE"/>
    <w:rsid w:val="6ED6310A"/>
    <w:rsid w:val="6EF367CE"/>
    <w:rsid w:val="6F2175DA"/>
    <w:rsid w:val="6F33052C"/>
    <w:rsid w:val="6F3616C7"/>
    <w:rsid w:val="6F402C93"/>
    <w:rsid w:val="6F6D758E"/>
    <w:rsid w:val="70156F67"/>
    <w:rsid w:val="70805D7F"/>
    <w:rsid w:val="70B61DB3"/>
    <w:rsid w:val="70C60F77"/>
    <w:rsid w:val="70DB28B7"/>
    <w:rsid w:val="710F4DDA"/>
    <w:rsid w:val="71700EBA"/>
    <w:rsid w:val="71BA5D0F"/>
    <w:rsid w:val="722F7751"/>
    <w:rsid w:val="724B1EB6"/>
    <w:rsid w:val="73486A79"/>
    <w:rsid w:val="737D01FB"/>
    <w:rsid w:val="7392751E"/>
    <w:rsid w:val="73957EE4"/>
    <w:rsid w:val="74186E4F"/>
    <w:rsid w:val="747F2783"/>
    <w:rsid w:val="74892F4F"/>
    <w:rsid w:val="748D55E6"/>
    <w:rsid w:val="74CF43DA"/>
    <w:rsid w:val="74F44598"/>
    <w:rsid w:val="75224794"/>
    <w:rsid w:val="75625974"/>
    <w:rsid w:val="75646984"/>
    <w:rsid w:val="75681F0B"/>
    <w:rsid w:val="75815850"/>
    <w:rsid w:val="7589134B"/>
    <w:rsid w:val="758D304D"/>
    <w:rsid w:val="75B16831"/>
    <w:rsid w:val="75D24AF4"/>
    <w:rsid w:val="75F12B76"/>
    <w:rsid w:val="76080055"/>
    <w:rsid w:val="76803DA2"/>
    <w:rsid w:val="76812A23"/>
    <w:rsid w:val="76C52225"/>
    <w:rsid w:val="76CA4FDF"/>
    <w:rsid w:val="76E41FA1"/>
    <w:rsid w:val="77583AFD"/>
    <w:rsid w:val="775D5BE0"/>
    <w:rsid w:val="77C13C9E"/>
    <w:rsid w:val="78523ED3"/>
    <w:rsid w:val="78653063"/>
    <w:rsid w:val="78730FEB"/>
    <w:rsid w:val="78977C2B"/>
    <w:rsid w:val="78A22234"/>
    <w:rsid w:val="78FE45CC"/>
    <w:rsid w:val="78FE5B69"/>
    <w:rsid w:val="791D593C"/>
    <w:rsid w:val="79423F45"/>
    <w:rsid w:val="79775D44"/>
    <w:rsid w:val="797F3859"/>
    <w:rsid w:val="799725D0"/>
    <w:rsid w:val="799F0290"/>
    <w:rsid w:val="79A1066B"/>
    <w:rsid w:val="79C206A7"/>
    <w:rsid w:val="79E04270"/>
    <w:rsid w:val="7A1E1D8A"/>
    <w:rsid w:val="7A2F367A"/>
    <w:rsid w:val="7A5F7A38"/>
    <w:rsid w:val="7AA60FCF"/>
    <w:rsid w:val="7B0D4044"/>
    <w:rsid w:val="7B527833"/>
    <w:rsid w:val="7C5A3914"/>
    <w:rsid w:val="7C800C2E"/>
    <w:rsid w:val="7C8B128D"/>
    <w:rsid w:val="7CF07D46"/>
    <w:rsid w:val="7CF847BC"/>
    <w:rsid w:val="7CFF739B"/>
    <w:rsid w:val="7D490611"/>
    <w:rsid w:val="7DA55A32"/>
    <w:rsid w:val="7DBD7629"/>
    <w:rsid w:val="7DCE58A1"/>
    <w:rsid w:val="7E035C29"/>
    <w:rsid w:val="7E0C30DF"/>
    <w:rsid w:val="7EB8164F"/>
    <w:rsid w:val="7EC2239E"/>
    <w:rsid w:val="7F2D7306"/>
    <w:rsid w:val="7F4255CC"/>
    <w:rsid w:val="7FAE3045"/>
    <w:rsid w:val="7FFB4310"/>
    <w:rsid w:val="7FFC5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41"/>
    <w:basedOn w:val="5"/>
    <w:qFormat/>
    <w:uiPriority w:val="0"/>
    <w:rPr>
      <w:rFonts w:hint="eastAsia" w:ascii="仿宋_GB2312" w:eastAsia="仿宋_GB2312" w:cs="仿宋_GB2312"/>
      <w:b/>
      <w:bCs/>
      <w:color w:val="000000"/>
      <w:sz w:val="28"/>
      <w:szCs w:val="28"/>
      <w:u w:val="none"/>
    </w:rPr>
  </w:style>
  <w:style w:type="character" w:customStyle="1" w:styleId="7">
    <w:name w:val="font61"/>
    <w:basedOn w:val="5"/>
    <w:qFormat/>
    <w:uiPriority w:val="0"/>
    <w:rPr>
      <w:rFonts w:hint="eastAsia" w:ascii="仿宋_GB2312" w:eastAsia="仿宋_GB2312" w:cs="仿宋_GB2312"/>
      <w:color w:val="000000"/>
      <w:sz w:val="28"/>
      <w:szCs w:val="28"/>
      <w:u w:val="none"/>
    </w:rPr>
  </w:style>
  <w:style w:type="character" w:customStyle="1" w:styleId="8">
    <w:name w:val="font21"/>
    <w:basedOn w:val="5"/>
    <w:uiPriority w:val="0"/>
    <w:rPr>
      <w:rFonts w:hint="eastAsia" w:ascii="仿宋_GB2312" w:eastAsia="仿宋_GB2312" w:cs="仿宋_GB2312"/>
      <w:b/>
      <w:bCs/>
      <w:color w:val="000000"/>
      <w:sz w:val="28"/>
      <w:szCs w:val="28"/>
      <w:u w:val="none"/>
    </w:rPr>
  </w:style>
  <w:style w:type="character" w:customStyle="1" w:styleId="9">
    <w:name w:val="font31"/>
    <w:basedOn w:val="5"/>
    <w:uiPriority w:val="0"/>
    <w:rPr>
      <w:rFonts w:hint="eastAsia" w:ascii="仿宋_GB2312" w:eastAsia="仿宋_GB2312" w:cs="仿宋_GB2312"/>
      <w:color w:val="000000"/>
      <w:sz w:val="28"/>
      <w:szCs w:val="28"/>
      <w:u w:val="none"/>
    </w:rPr>
  </w:style>
  <w:style w:type="character" w:customStyle="1" w:styleId="10">
    <w:name w:val="font01"/>
    <w:basedOn w:val="5"/>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2021-02-25T05:43:00Z</dcterms:created>
  <dc:creator>Administrator</dc:creator>
  <cp:lastModifiedBy>111870-肖雯</cp:lastModifiedBy>
  <cp:lastPrinted>2024-08-08T01:29:00Z</cp:lastPrinted>
  <dcterms:modified xsi:type="dcterms:W3CDTF">2024-08-13T03:41:16Z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5E032E4995714E80929DB2347CAC5D46</vt:lpwstr>
  </property>
</Properties>
</file>