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清镇农商银行专项法律服务采购项目</w:t>
      </w:r>
    </w:p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成交公告</w:t>
      </w:r>
    </w:p>
    <w:bookmarkEnd w:id="0"/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8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一、项目信息</w:t>
      </w:r>
    </w:p>
    <w:p>
      <w:pPr>
        <w:pStyle w:val="8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清镇农商银行专项法律服务采购项目</w:t>
      </w:r>
    </w:p>
    <w:p>
      <w:pPr>
        <w:pStyle w:val="10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采购内容：</w:t>
      </w:r>
      <w:r>
        <w:rPr>
          <w:rFonts w:hint="eastAsia" w:hAnsi="仿宋_GB2312" w:eastAsia="仿宋_GB2312" w:cs="仿宋_GB2312"/>
          <w:color w:val="000000"/>
          <w:sz w:val="32"/>
          <w:szCs w:val="32"/>
          <w:lang w:val="en-US" w:eastAsia="zh-CN"/>
        </w:rPr>
        <w:t>清镇农商银行专项法律服务采购项目</w:t>
      </w:r>
    </w:p>
    <w:p>
      <w:pPr>
        <w:pStyle w:val="10"/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</w:t>
      </w:r>
      <w:r>
        <w:rPr>
          <w:rFonts w:hint="eastAsia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竞争性磋商</w:t>
      </w:r>
      <w:r>
        <w:rPr>
          <w:rFonts w:hint="eastAsia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Style w:val="4"/>
        <w:tblW w:w="100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509"/>
        <w:gridCol w:w="2580"/>
        <w:gridCol w:w="1620"/>
        <w:gridCol w:w="2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5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6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253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泰和泰（贵阳）律师事务所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贵州省贵阳市观山湖区长岭北路中天会展城B区金融商务区西区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栋一单元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专项法律服务</w:t>
            </w:r>
          </w:p>
        </w:tc>
        <w:tc>
          <w:tcPr>
            <w:tcW w:w="25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270000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</w:tbl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清镇农商银行二楼开标室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8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6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69EB"/>
    <w:multiLevelType w:val="singleLevel"/>
    <w:tmpl w:val="668E69E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AF04490"/>
    <w:rsid w:val="5D876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basedOn w:val="5"/>
    <w:uiPriority w:val="0"/>
    <w:rPr>
      <w:rFonts w:eastAsia="黑体"/>
      <w:bCs/>
    </w:rPr>
  </w:style>
  <w:style w:type="paragraph" w:customStyle="1" w:styleId="7">
    <w:name w:val="Normal Indent"/>
    <w:basedOn w:val="1"/>
    <w:uiPriority w:val="0"/>
    <w:pPr>
      <w:ind w:firstLine="420"/>
    </w:pPr>
  </w:style>
  <w:style w:type="paragraph" w:customStyle="1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table of authorities"/>
    <w:basedOn w:val="1"/>
    <w:next w:val="1"/>
    <w:uiPriority w:val="0"/>
    <w:pPr>
      <w:ind w:left="420" w:leftChars="200"/>
    </w:pPr>
  </w:style>
  <w:style w:type="paragraph" w:customStyle="1" w:styleId="10">
    <w:name w:val="zw"/>
    <w:basedOn w:val="1"/>
    <w:uiPriority w:val="0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112916-杨蜀敏</cp:lastModifiedBy>
  <cp:lastPrinted>2024-08-01T01:43:50Z</cp:lastPrinted>
  <dcterms:modified xsi:type="dcterms:W3CDTF">2024-08-01T01:50:37Z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5A91EE2C68CF4732AC6918D9130D27E0_13</vt:lpwstr>
  </property>
</Properties>
</file>