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贵州贵定农村商业银行股份有限公司</w:t>
      </w:r>
    </w:p>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年度信息披露报告</w:t>
      </w:r>
    </w:p>
    <w:p>
      <w:pPr>
        <w:keepNext w:val="0"/>
        <w:keepLines w:val="0"/>
        <w:pageBreakBefore w:val="0"/>
        <w:kinsoku/>
        <w:overflowPunct/>
        <w:topLinePunct w:val="0"/>
        <w:bidi w:val="0"/>
        <w:spacing w:line="560" w:lineRule="exact"/>
        <w:ind w:left="0" w:leftChars="0" w:right="0"/>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sz w:val="32"/>
          <w:szCs w:val="32"/>
        </w:rPr>
      </w:pPr>
      <w:r>
        <w:rPr>
          <w:rFonts w:hint="eastAsia" w:ascii="仿宋_GB2312" w:hAnsi="仿宋_GB2312" w:eastAsia="仿宋_GB2312"/>
          <w:kern w:val="0"/>
          <w:sz w:val="32"/>
          <w:szCs w:val="32"/>
        </w:rPr>
        <w:t>根据《商业银行信息披露办法》和《贵州</w:t>
      </w:r>
      <w:r>
        <w:rPr>
          <w:rFonts w:hint="eastAsia" w:ascii="仿宋_GB2312" w:hAnsi="仿宋_GB2312" w:eastAsia="仿宋_GB2312"/>
          <w:kern w:val="0"/>
          <w:sz w:val="32"/>
          <w:szCs w:val="32"/>
          <w:lang w:val="en-US" w:eastAsia="zh-CN"/>
        </w:rPr>
        <w:t>贵定</w:t>
      </w:r>
      <w:r>
        <w:rPr>
          <w:rFonts w:hint="eastAsia" w:ascii="仿宋_GB2312" w:hAnsi="仿宋_GB2312" w:eastAsia="仿宋_GB2312"/>
          <w:kern w:val="0"/>
          <w:sz w:val="32"/>
          <w:szCs w:val="32"/>
        </w:rPr>
        <w:t>农村商业银行股份有限公司信息披露</w:t>
      </w:r>
      <w:r>
        <w:rPr>
          <w:rFonts w:hint="eastAsia" w:ascii="仿宋_GB2312" w:hAnsi="仿宋_GB2312" w:eastAsia="仿宋_GB2312"/>
          <w:kern w:val="0"/>
          <w:sz w:val="32"/>
          <w:szCs w:val="32"/>
          <w:lang w:val="en-US" w:eastAsia="zh-CN"/>
        </w:rPr>
        <w:t>管理</w:t>
      </w:r>
      <w:r>
        <w:rPr>
          <w:rFonts w:hint="eastAsia" w:ascii="仿宋_GB2312" w:hAnsi="仿宋_GB2312" w:eastAsia="仿宋_GB2312"/>
          <w:kern w:val="0"/>
          <w:sz w:val="32"/>
          <w:szCs w:val="32"/>
        </w:rPr>
        <w:t>办法》的规定</w:t>
      </w:r>
      <w:r>
        <w:rPr>
          <w:rFonts w:hint="default" w:ascii="Times New Roman" w:hAnsi="Times New Roman" w:eastAsia="仿宋_GB2312" w:cs="Times New Roman"/>
          <w:sz w:val="32"/>
          <w:szCs w:val="32"/>
        </w:rPr>
        <w:t>，现将本行202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年度信息披露内容报告如下：</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黑体" w:cs="Times New Roman"/>
          <w:kern w:val="0"/>
          <w:sz w:val="32"/>
          <w:szCs w:val="32"/>
          <w:highlight w:val="yellow"/>
          <w:lang w:eastAsia="zh-CN"/>
        </w:rPr>
      </w:pPr>
      <w:r>
        <w:rPr>
          <w:rFonts w:hint="default" w:ascii="Times New Roman" w:hAnsi="Times New Roman" w:eastAsia="黑体" w:cs="Times New Roman"/>
          <w:kern w:val="0"/>
          <w:sz w:val="32"/>
          <w:szCs w:val="32"/>
        </w:rPr>
        <w:t>一、重要提示</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（一）贵州贵定农村商业银行股份有限公司（以下简称“本行”）保证本报告所载资料不存在虚假记载、误导性陈述或重大遗漏，并对其内容的真实性、准确性和完整性承担责任。</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（二）本年度报告已经相关程序审议通过。</w:t>
      </w:r>
    </w:p>
    <w:p>
      <w:pPr>
        <w:keepNext w:val="0"/>
        <w:keepLines w:val="0"/>
        <w:pageBreakBefore w:val="0"/>
        <w:widowControl/>
        <w:shd w:val="clear" w:color="auto" w:fill="FFFFFF"/>
        <w:kinsoku/>
        <w:overflowPunct/>
        <w:topLinePunct w:val="0"/>
        <w:bidi w:val="0"/>
        <w:spacing w:line="560" w:lineRule="exact"/>
        <w:ind w:left="0" w:leftChars="0" w:right="0" w:firstLine="645"/>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（三）本行年度财务报告经贵州黔正合会计师事务所有限责任公司根据国内审计准则审计，并出具了标准无保留意见的审计报告。</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（四）本行保证年度报告中财务会计报告的真实、完整。</w:t>
      </w:r>
    </w:p>
    <w:p>
      <w:pPr>
        <w:keepNext w:val="0"/>
        <w:keepLines w:val="0"/>
        <w:pageBreakBefore w:val="0"/>
        <w:widowControl/>
        <w:shd w:val="clear" w:color="auto" w:fill="FFFFFF"/>
        <w:kinsoku/>
        <w:overflowPunct/>
        <w:topLinePunct w:val="0"/>
        <w:bidi w:val="0"/>
        <w:spacing w:line="560" w:lineRule="exact"/>
        <w:ind w:right="0" w:firstLine="640" w:firstLineChars="200"/>
        <w:jc w:val="left"/>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rPr>
        <w:t>二、基本情</w:t>
      </w:r>
      <w:r>
        <w:rPr>
          <w:rFonts w:hint="default" w:ascii="Times New Roman" w:hAnsi="Times New Roman" w:eastAsia="黑体" w:cs="Times New Roman"/>
          <w:color w:val="auto"/>
          <w:kern w:val="0"/>
          <w:sz w:val="32"/>
          <w:szCs w:val="32"/>
          <w:highlight w:val="none"/>
        </w:rPr>
        <w:t>况</w:t>
      </w:r>
    </w:p>
    <w:p>
      <w:pPr>
        <w:keepNext w:val="0"/>
        <w:keepLines w:val="0"/>
        <w:pageBreakBefore w:val="0"/>
        <w:widowControl/>
        <w:shd w:val="clear" w:color="auto" w:fill="FFFFFF"/>
        <w:kinsoku/>
        <w:overflowPunct/>
        <w:topLinePunct w:val="0"/>
        <w:bidi w:val="0"/>
        <w:spacing w:line="560" w:lineRule="exact"/>
        <w:ind w:left="0" w:leftChars="0" w:right="0"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（一）法定中文名称：贵州贵定农村商业银行股份有限公司（简称：贵定农商银行）</w:t>
      </w:r>
    </w:p>
    <w:p>
      <w:pPr>
        <w:keepNext w:val="0"/>
        <w:keepLines w:val="0"/>
        <w:pageBreakBefore w:val="0"/>
        <w:widowControl/>
        <w:shd w:val="clear" w:color="auto" w:fill="FFFFFF"/>
        <w:kinsoku/>
        <w:overflowPunct/>
        <w:topLinePunct w:val="0"/>
        <w:bidi w:val="0"/>
        <w:spacing w:line="560" w:lineRule="exact"/>
        <w:ind w:left="0" w:leftChars="0" w:right="0" w:firstLine="64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法定英文名称：GuizhouGuiding Rural Commercial Bank CO.LTD.（英文简称：Guiding Rural Commercial Bank）</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（二）法定代表人：</w:t>
      </w:r>
      <w:r>
        <w:rPr>
          <w:rFonts w:hint="default" w:ascii="Times New Roman" w:hAnsi="Times New Roman" w:eastAsia="仿宋_GB2312" w:cs="Times New Roman"/>
          <w:sz w:val="32"/>
          <w:szCs w:val="32"/>
          <w:lang w:val="en-US" w:eastAsia="zh-CN"/>
        </w:rPr>
        <w:t>梁松</w:t>
      </w:r>
    </w:p>
    <w:p>
      <w:pPr>
        <w:keepNext w:val="0"/>
        <w:keepLines w:val="0"/>
        <w:pageBreakBefore w:val="0"/>
        <w:kinsoku/>
        <w:overflowPunct/>
        <w:topLinePunct w:val="0"/>
        <w:bidi w:val="0"/>
        <w:adjustRightInd w:val="0"/>
        <w:snapToGrid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（三）统一社会信用代码：91522723MA6DJQPC19</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（四）类型：其他股份有限公司（非上市）</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（五）注册资本：人民币贰亿捌仟万圆整</w:t>
      </w:r>
    </w:p>
    <w:p>
      <w:pPr>
        <w:keepNext w:val="0"/>
        <w:keepLines w:val="0"/>
        <w:pageBreakBefore w:val="0"/>
        <w:kinsoku/>
        <w:overflowPunct/>
        <w:topLinePunct w:val="0"/>
        <w:bidi w:val="0"/>
        <w:spacing w:line="560" w:lineRule="exact"/>
        <w:ind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（六）注册地址：贵州省黔南布依族苗族自治州贵定县金南大道7号</w:t>
      </w:r>
    </w:p>
    <w:p>
      <w:pPr>
        <w:keepNext w:val="0"/>
        <w:keepLines w:val="0"/>
        <w:pageBreakBefore w:val="0"/>
        <w:kinsoku/>
        <w:overflowPunct/>
        <w:topLinePunct w:val="0"/>
        <w:bidi w:val="0"/>
        <w:spacing w:line="560" w:lineRule="exact"/>
        <w:ind w:left="0" w:leftChars="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邮政编码：551300</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（七）联系电话及传真</w:t>
      </w:r>
      <w:r>
        <w:rPr>
          <w:rFonts w:hint="default" w:ascii="Times New Roman" w:hAnsi="Times New Roman" w:eastAsia="仿宋_GB2312" w:cs="Times New Roman"/>
          <w:sz w:val="32"/>
          <w:szCs w:val="32"/>
        </w:rPr>
        <w:t>：0854－5220411</w:t>
      </w:r>
    </w:p>
    <w:p>
      <w:pPr>
        <w:keepNext w:val="0"/>
        <w:keepLines w:val="0"/>
        <w:pageBreakBefore w:val="0"/>
        <w:kinsoku/>
        <w:overflowPunct/>
        <w:topLinePunct w:val="0"/>
        <w:bidi w:val="0"/>
        <w:spacing w:line="560" w:lineRule="exact"/>
        <w:ind w:left="0" w:leftChars="0" w:right="0" w:firstLine="645"/>
        <w:rPr>
          <w:rFonts w:hint="default" w:ascii="Times New Roman" w:hAnsi="Times New Roman" w:eastAsia="仿宋_GB2312" w:cs="Times New Roman"/>
          <w:b/>
          <w:bCs/>
          <w:sz w:val="32"/>
          <w:szCs w:val="32"/>
        </w:rPr>
      </w:pPr>
      <w:r>
        <w:rPr>
          <w:rFonts w:hint="default" w:ascii="Times New Roman" w:hAnsi="Times New Roman" w:eastAsia="仿宋_GB2312" w:cs="Times New Roman"/>
          <w:kern w:val="0"/>
          <w:sz w:val="32"/>
          <w:szCs w:val="32"/>
        </w:rPr>
        <w:t>（八）成立时间：</w:t>
      </w:r>
      <w:r>
        <w:rPr>
          <w:rFonts w:hint="default" w:ascii="Times New Roman" w:hAnsi="Times New Roman" w:eastAsia="仿宋_GB2312" w:cs="Times New Roman"/>
          <w:bCs/>
          <w:sz w:val="32"/>
          <w:szCs w:val="32"/>
        </w:rPr>
        <w:t>1997年3月21日</w:t>
      </w:r>
    </w:p>
    <w:p>
      <w:pPr>
        <w:keepNext w:val="0"/>
        <w:keepLines w:val="0"/>
        <w:pageBreakBefore w:val="0"/>
        <w:kinsoku/>
        <w:overflowPunct/>
        <w:topLinePunct w:val="0"/>
        <w:bidi w:val="0"/>
        <w:spacing w:line="560" w:lineRule="exact"/>
        <w:ind w:left="0" w:leftChars="0" w:right="0"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（九）经营范围：</w:t>
      </w:r>
      <w:r>
        <w:rPr>
          <w:rFonts w:hint="default" w:ascii="Times New Roman" w:hAnsi="Times New Roman" w:eastAsia="仿宋_GB2312" w:cs="Times New Roman"/>
          <w:sz w:val="32"/>
          <w:szCs w:val="32"/>
        </w:rPr>
        <w:t>吸收公众存款；发放短期、中期和长期贷款；办理国内结算；办理票据承兑与贴现；代理发行、代理兑付、承销政府债券；买卖政府债券、金融债券；从事同业拆借；从事银行卡业务（借记卡）；代理收付款项及代理保险业务；提供保管箱服务；经</w:t>
      </w:r>
      <w:r>
        <w:rPr>
          <w:rFonts w:hint="default" w:ascii="Times New Roman" w:hAnsi="Times New Roman" w:eastAsia="仿宋_GB2312" w:cs="Times New Roman"/>
          <w:color w:val="auto"/>
          <w:sz w:val="32"/>
          <w:szCs w:val="32"/>
        </w:rPr>
        <w:t>银行业监督管理机构</w:t>
      </w:r>
      <w:r>
        <w:rPr>
          <w:rFonts w:hint="default" w:ascii="Times New Roman" w:hAnsi="Times New Roman" w:eastAsia="仿宋_GB2312" w:cs="Times New Roman"/>
          <w:sz w:val="32"/>
          <w:szCs w:val="32"/>
        </w:rPr>
        <w:t>等金融监管部门批准的其他业务。</w:t>
      </w:r>
    </w:p>
    <w:p>
      <w:pPr>
        <w:keepNext w:val="0"/>
        <w:keepLines w:val="0"/>
        <w:pageBreakBefore w:val="0"/>
        <w:widowControl/>
        <w:kinsoku/>
        <w:overflowPunct/>
        <w:topLinePunct w:val="0"/>
        <w:bidi w:val="0"/>
        <w:spacing w:line="560" w:lineRule="exact"/>
        <w:ind w:left="0" w:leftChars="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（十）分支机构营业场所：报告期末，本行共有24个营业机构，具体如下：</w:t>
      </w:r>
    </w:p>
    <w:tbl>
      <w:tblPr>
        <w:tblStyle w:val="6"/>
        <w:tblW w:w="4867" w:type="pct"/>
        <w:tblInd w:w="117" w:type="dxa"/>
        <w:tblLayout w:type="autofit"/>
        <w:tblCellMar>
          <w:top w:w="0" w:type="dxa"/>
          <w:left w:w="108" w:type="dxa"/>
          <w:bottom w:w="0" w:type="dxa"/>
          <w:right w:w="108" w:type="dxa"/>
        </w:tblCellMar>
      </w:tblPr>
      <w:tblGrid>
        <w:gridCol w:w="840"/>
        <w:gridCol w:w="4215"/>
        <w:gridCol w:w="3765"/>
      </w:tblGrid>
      <w:tr>
        <w:tblPrEx>
          <w:tblCellMar>
            <w:top w:w="0" w:type="dxa"/>
            <w:left w:w="108" w:type="dxa"/>
            <w:bottom w:w="0" w:type="dxa"/>
            <w:right w:w="108" w:type="dxa"/>
          </w:tblCellMar>
        </w:tblPrEx>
        <w:trPr>
          <w:trHeight w:val="855" w:hRule="atLeast"/>
        </w:trPr>
        <w:tc>
          <w:tcPr>
            <w:tcW w:w="476" w:type="pc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序号</w:t>
            </w:r>
          </w:p>
        </w:tc>
        <w:tc>
          <w:tcPr>
            <w:tcW w:w="238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营业机构</w:t>
            </w:r>
          </w:p>
        </w:tc>
        <w:tc>
          <w:tcPr>
            <w:tcW w:w="2134"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网点地址</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2389"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贵州贵定农商银行营业部</w:t>
            </w:r>
          </w:p>
        </w:tc>
        <w:tc>
          <w:tcPr>
            <w:tcW w:w="213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贵州省黔南布依族苗族自治州贵定县金南大道7号</w:t>
            </w:r>
          </w:p>
        </w:tc>
      </w:tr>
      <w:tr>
        <w:tblPrEx>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w:t>
            </w:r>
          </w:p>
        </w:tc>
        <w:tc>
          <w:tcPr>
            <w:tcW w:w="2389"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贵州贵定农商银行汽车站分理处</w:t>
            </w:r>
          </w:p>
        </w:tc>
        <w:tc>
          <w:tcPr>
            <w:tcW w:w="213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贵州省黔南布依族苗族自治州贵定县迎宾大道金山花园小区32-35号商铺</w:t>
            </w:r>
          </w:p>
        </w:tc>
      </w:tr>
      <w:tr>
        <w:tblPrEx>
          <w:tblCellMar>
            <w:top w:w="0" w:type="dxa"/>
            <w:left w:w="108" w:type="dxa"/>
            <w:bottom w:w="0" w:type="dxa"/>
            <w:right w:w="108" w:type="dxa"/>
          </w:tblCellMar>
        </w:tblPrEx>
        <w:trPr>
          <w:trHeight w:val="615" w:hRule="atLeast"/>
        </w:trPr>
        <w:tc>
          <w:tcPr>
            <w:tcW w:w="476"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w:t>
            </w:r>
          </w:p>
        </w:tc>
        <w:tc>
          <w:tcPr>
            <w:tcW w:w="2389"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贵州贵定农商银行城关支行</w:t>
            </w:r>
          </w:p>
        </w:tc>
        <w:tc>
          <w:tcPr>
            <w:tcW w:w="2134" w:type="pct"/>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贵州省黔南布依族苗族自治州贵定县城关镇红旗路23号</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贵州贵定农商银行天源分理处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贵州省黔南布依族苗族自治州贵定县城关镇中山西路天源花园小区</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贵州贵定农商银行红旗分理处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贵州省黔南布依族苗族自治州贵定县城关镇二医路</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6</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贵州贵定农商银行小十字分理处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贵州省黔南布依族苗族自治州贵定县商贸新城A3栋（贵定县人民医院对面）</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7</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贵州贵定农商银行城北分理处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贵州省黔南布依族苗族自治州贵定县城关镇锦江华府</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8</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贵州贵定农商银行南街分理处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贵州省黔南布依族苗族自治州贵定县城关镇中山东路4号</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9</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贵州贵定农商银行新城分理处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贵州省黔南布依族苗族自治州贵定县城关镇环城北路金都广场A栋1层4-5号门面</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10</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贵州贵定农商银行新场支行</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贵州省黔南布依族苗族自治州贵定县德新镇新场街</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11</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贵州贵定农商银行马场河分理处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贵州省黔南布依族苗族自治州贵定县马场河乡街上5号门面</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12</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贵州贵定农商银行新巴分理处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贵州省黔南布依族苗族自治州贵定县新巴镇幸福村幸福组</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13</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贵州贵定农商银行都六分理处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贵州省黔南布依族苗族自治州贵定县都六村</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14</w:t>
            </w:r>
          </w:p>
        </w:tc>
        <w:tc>
          <w:tcPr>
            <w:tcW w:w="2389"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贵州贵定农商银行岩下分理处</w:t>
            </w:r>
          </w:p>
        </w:tc>
        <w:tc>
          <w:tcPr>
            <w:tcW w:w="2134" w:type="pct"/>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贵州省黔南布依族苗族自治州贵定县岩下乡马踏屯村上街组</w:t>
            </w:r>
          </w:p>
        </w:tc>
      </w:tr>
      <w:tr>
        <w:tblPrEx>
          <w:tblCellMar>
            <w:top w:w="0" w:type="dxa"/>
            <w:left w:w="108" w:type="dxa"/>
            <w:bottom w:w="0" w:type="dxa"/>
            <w:right w:w="108" w:type="dxa"/>
          </w:tblCellMar>
        </w:tblPrEx>
        <w:trPr>
          <w:trHeight w:val="615" w:hRule="atLeast"/>
        </w:trPr>
        <w:tc>
          <w:tcPr>
            <w:tcW w:w="476" w:type="pct"/>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15</w:t>
            </w:r>
          </w:p>
        </w:tc>
        <w:tc>
          <w:tcPr>
            <w:tcW w:w="2389" w:type="pct"/>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贵州贵定农商银行沿山支行</w:t>
            </w:r>
          </w:p>
        </w:tc>
        <w:tc>
          <w:tcPr>
            <w:tcW w:w="213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贵州省黔南布依族苗族自治州贵定县沿山镇解放街</w:t>
            </w:r>
          </w:p>
        </w:tc>
      </w:tr>
      <w:tr>
        <w:tblPrEx>
          <w:tblCellMar>
            <w:top w:w="0" w:type="dxa"/>
            <w:left w:w="108" w:type="dxa"/>
            <w:bottom w:w="0" w:type="dxa"/>
            <w:right w:w="108" w:type="dxa"/>
          </w:tblCellMar>
        </w:tblPrEx>
        <w:trPr>
          <w:trHeight w:val="615" w:hRule="atLeast"/>
        </w:trPr>
        <w:tc>
          <w:tcPr>
            <w:tcW w:w="476" w:type="pct"/>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16</w:t>
            </w:r>
          </w:p>
        </w:tc>
        <w:tc>
          <w:tcPr>
            <w:tcW w:w="2389" w:type="pct"/>
            <w:tcBorders>
              <w:top w:val="single" w:color="auto" w:sz="4"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贵州贵定农商银行盘江支行</w:t>
            </w:r>
          </w:p>
        </w:tc>
        <w:tc>
          <w:tcPr>
            <w:tcW w:w="2134" w:type="pct"/>
            <w:tcBorders>
              <w:top w:val="single" w:color="auto" w:sz="4" w:space="0"/>
              <w:left w:val="nil"/>
              <w:bottom w:val="single" w:color="auto" w:sz="8" w:space="0"/>
              <w:right w:val="single" w:color="auto" w:sz="8"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贵州省黔南布依族苗族自治州贵定县盘江镇文明中路39号</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17</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贵州贵定农商银行昌明支行</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贵州省黔南布依族苗族自治州贵定县昌明镇宝禹大酒店1号1层</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18</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贵州贵定农商银行园区分理处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贵州省黔南布依族苗族自治州贵定县昌明镇东街</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19</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贵州贵定农商银行旧治分理处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贵州省黔南布依族苗族自治州贵定县旧治镇湾子街</w:t>
            </w:r>
          </w:p>
        </w:tc>
      </w:tr>
      <w:tr>
        <w:tblPrEx>
          <w:tblCellMar>
            <w:top w:w="0" w:type="dxa"/>
            <w:left w:w="108" w:type="dxa"/>
            <w:bottom w:w="0" w:type="dxa"/>
            <w:right w:w="108" w:type="dxa"/>
          </w:tblCellMar>
        </w:tblPrEx>
        <w:trPr>
          <w:trHeight w:val="61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贵州贵定农商银行云雾支行</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贵州省黔南布依族苗族自治州贵定县云雾镇宇辉贡茶生态园C1栋</w:t>
            </w:r>
          </w:p>
        </w:tc>
      </w:tr>
      <w:tr>
        <w:tblPrEx>
          <w:tblCellMar>
            <w:top w:w="0" w:type="dxa"/>
            <w:left w:w="108" w:type="dxa"/>
            <w:bottom w:w="0" w:type="dxa"/>
            <w:right w:w="108" w:type="dxa"/>
          </w:tblCellMar>
        </w:tblPrEx>
        <w:trPr>
          <w:trHeight w:val="46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21</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贵州贵定农商银行平堡分理处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贵州省黔南布依族苗族自治州贵定县盘江镇平堡村</w:t>
            </w:r>
          </w:p>
        </w:tc>
      </w:tr>
      <w:tr>
        <w:tblPrEx>
          <w:tblCellMar>
            <w:top w:w="0" w:type="dxa"/>
            <w:left w:w="108" w:type="dxa"/>
            <w:bottom w:w="0" w:type="dxa"/>
            <w:right w:w="108" w:type="dxa"/>
          </w:tblCellMar>
        </w:tblPrEx>
        <w:trPr>
          <w:trHeight w:val="46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22</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贵州贵定农商银行政务中心分理处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贵州省黔南州贵定县金南新区汇东地产3号楼一楼营业大厅</w:t>
            </w:r>
          </w:p>
        </w:tc>
      </w:tr>
      <w:tr>
        <w:tblPrEx>
          <w:tblCellMar>
            <w:top w:w="0" w:type="dxa"/>
            <w:left w:w="108" w:type="dxa"/>
            <w:bottom w:w="0" w:type="dxa"/>
            <w:right w:w="108" w:type="dxa"/>
          </w:tblCellMar>
        </w:tblPrEx>
        <w:trPr>
          <w:trHeight w:val="46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23</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贵州贵定农商银行巩固分理处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贵州省黔南布依族苗族自治州贵定县巩固乡</w:t>
            </w:r>
          </w:p>
        </w:tc>
      </w:tr>
      <w:tr>
        <w:tblPrEx>
          <w:tblCellMar>
            <w:top w:w="0" w:type="dxa"/>
            <w:left w:w="108" w:type="dxa"/>
            <w:bottom w:w="0" w:type="dxa"/>
            <w:right w:w="108" w:type="dxa"/>
          </w:tblCellMar>
        </w:tblPrEx>
        <w:trPr>
          <w:trHeight w:val="465" w:hRule="atLeast"/>
        </w:trPr>
        <w:tc>
          <w:tcPr>
            <w:tcW w:w="476" w:type="pc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24</w:t>
            </w:r>
          </w:p>
        </w:tc>
        <w:tc>
          <w:tcPr>
            <w:tcW w:w="238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贵州贵定农商银行猴场堡分理处</w:t>
            </w:r>
          </w:p>
        </w:tc>
        <w:tc>
          <w:tcPr>
            <w:tcW w:w="213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贵州省黔南布依族苗族自治州贵定县猴场堡乡</w:t>
            </w:r>
          </w:p>
        </w:tc>
      </w:tr>
    </w:tbl>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（十一）股本及股东情况</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kern w:val="0"/>
          <w:sz w:val="32"/>
          <w:szCs w:val="32"/>
        </w:rPr>
        <w:t>股权结构情况。</w:t>
      </w:r>
      <w:r>
        <w:rPr>
          <w:rFonts w:hint="default" w:ascii="Times New Roman" w:hAnsi="Times New Roman" w:eastAsia="仿宋_GB2312" w:cs="Times New Roman"/>
          <w:b w:val="0"/>
          <w:bCs w:val="0"/>
          <w:sz w:val="32"/>
          <w:szCs w:val="32"/>
        </w:rPr>
        <w:t>报告期末，本行股本金余额28000万元，与上年持平。按股金来源和归属划分，股权结构为：自然人股15785.50万元，占比56.38%;法人股12214.50万元,占比43.62%。自然人股中，职工股350</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万元，占比12.5</w:t>
      </w:r>
      <w:r>
        <w:rPr>
          <w:rFonts w:hint="default" w:ascii="Times New Roman" w:hAnsi="Times New Roman" w:eastAsia="仿宋_GB2312" w:cs="Times New Roman"/>
          <w:b w:val="0"/>
          <w:bCs w:val="0"/>
          <w:sz w:val="32"/>
          <w:szCs w:val="32"/>
          <w:lang w:val="en-US" w:eastAsia="zh-CN"/>
        </w:rPr>
        <w:t>0</w:t>
      </w:r>
      <w:r>
        <w:rPr>
          <w:rFonts w:hint="default" w:ascii="Times New Roman" w:hAnsi="Times New Roman" w:eastAsia="仿宋_GB2312" w:cs="Times New Roman"/>
          <w:b w:val="0"/>
          <w:bCs w:val="0"/>
          <w:sz w:val="32"/>
          <w:szCs w:val="32"/>
        </w:rPr>
        <w:t>％，其他自然人股</w:t>
      </w:r>
      <w:r>
        <w:rPr>
          <w:rFonts w:hint="default" w:ascii="Times New Roman" w:hAnsi="Times New Roman" w:eastAsia="仿宋_GB2312" w:cs="Times New Roman"/>
          <w:b w:val="0"/>
          <w:bCs w:val="0"/>
          <w:sz w:val="32"/>
          <w:szCs w:val="32"/>
          <w:lang w:val="en-US" w:eastAsia="zh-CN"/>
        </w:rPr>
        <w:t>12285.30</w:t>
      </w:r>
      <w:r>
        <w:rPr>
          <w:rFonts w:hint="default" w:ascii="Times New Roman" w:hAnsi="Times New Roman" w:eastAsia="仿宋_GB2312" w:cs="Times New Roman"/>
          <w:b w:val="0"/>
          <w:bCs w:val="0"/>
          <w:sz w:val="32"/>
          <w:szCs w:val="32"/>
        </w:rPr>
        <w:t>万元，占比43.8</w:t>
      </w: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rPr>
        <w:t>％。</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kern w:val="0"/>
          <w:sz w:val="32"/>
          <w:szCs w:val="32"/>
          <w:lang w:val="en-US" w:eastAsia="zh-CN"/>
        </w:rPr>
        <w:t>持股比列5%以上</w:t>
      </w:r>
      <w:r>
        <w:rPr>
          <w:rFonts w:hint="default" w:ascii="Times New Roman" w:hAnsi="Times New Roman" w:eastAsia="仿宋_GB2312" w:cs="Times New Roman"/>
          <w:b w:val="0"/>
          <w:bCs w:val="0"/>
          <w:kern w:val="0"/>
          <w:sz w:val="32"/>
          <w:szCs w:val="32"/>
        </w:rPr>
        <w:t>股东相关信息情况。</w:t>
      </w:r>
      <w:r>
        <w:rPr>
          <w:rFonts w:hint="default" w:ascii="Times New Roman" w:hAnsi="Times New Roman" w:eastAsia="仿宋_GB2312" w:cs="Times New Roman"/>
          <w:b w:val="0"/>
          <w:bCs w:val="0"/>
          <w:sz w:val="32"/>
          <w:szCs w:val="32"/>
        </w:rPr>
        <w:t>报告期末，本行</w:t>
      </w:r>
      <w:r>
        <w:rPr>
          <w:rFonts w:hint="default" w:ascii="Times New Roman" w:hAnsi="Times New Roman" w:eastAsia="仿宋_GB2312" w:cs="Times New Roman"/>
          <w:b w:val="0"/>
          <w:bCs w:val="0"/>
          <w:kern w:val="0"/>
          <w:sz w:val="32"/>
          <w:szCs w:val="32"/>
          <w:lang w:val="en-US" w:eastAsia="zh-CN"/>
        </w:rPr>
        <w:t>持股比列5%以上</w:t>
      </w:r>
      <w:r>
        <w:rPr>
          <w:rFonts w:hint="default" w:ascii="Times New Roman" w:hAnsi="Times New Roman" w:eastAsia="仿宋_GB2312" w:cs="Times New Roman"/>
          <w:b w:val="0"/>
          <w:bCs w:val="0"/>
          <w:kern w:val="0"/>
          <w:sz w:val="32"/>
          <w:szCs w:val="32"/>
        </w:rPr>
        <w:t>股东</w:t>
      </w:r>
      <w:r>
        <w:rPr>
          <w:rFonts w:hint="default" w:ascii="Times New Roman" w:hAnsi="Times New Roman" w:eastAsia="仿宋_GB2312" w:cs="Times New Roman"/>
          <w:b w:val="0"/>
          <w:bCs w:val="0"/>
          <w:sz w:val="32"/>
          <w:szCs w:val="32"/>
        </w:rPr>
        <w:t>合计</w:t>
      </w:r>
      <w:r>
        <w:rPr>
          <w:rFonts w:hint="default" w:ascii="Times New Roman" w:hAnsi="Times New Roman" w:eastAsia="仿宋_GB2312" w:cs="Times New Roman"/>
          <w:b w:val="0"/>
          <w:bCs w:val="0"/>
          <w:sz w:val="32"/>
          <w:szCs w:val="32"/>
          <w:lang w:val="en-US" w:eastAsia="zh-CN"/>
        </w:rPr>
        <w:t>76946959.00</w:t>
      </w:r>
      <w:r>
        <w:rPr>
          <w:rFonts w:hint="default" w:ascii="Times New Roman" w:hAnsi="Times New Roman" w:eastAsia="仿宋_GB2312" w:cs="Times New Roman"/>
          <w:b w:val="0"/>
          <w:bCs w:val="0"/>
          <w:sz w:val="32"/>
          <w:szCs w:val="32"/>
        </w:rPr>
        <w:t>万股，占总股本的</w:t>
      </w:r>
      <w:r>
        <w:rPr>
          <w:rFonts w:hint="default" w:ascii="Times New Roman" w:hAnsi="Times New Roman" w:eastAsia="仿宋_GB2312" w:cs="Times New Roman"/>
          <w:b w:val="0"/>
          <w:bCs w:val="0"/>
          <w:sz w:val="32"/>
          <w:szCs w:val="32"/>
          <w:lang w:val="en-US" w:eastAsia="zh-CN"/>
        </w:rPr>
        <w:t>27.48</w:t>
      </w:r>
      <w:r>
        <w:rPr>
          <w:rFonts w:hint="default" w:ascii="Times New Roman" w:hAnsi="Times New Roman" w:eastAsia="仿宋_GB2312" w:cs="Times New Roman"/>
          <w:b w:val="0"/>
          <w:bCs w:val="0"/>
          <w:sz w:val="32"/>
          <w:szCs w:val="32"/>
        </w:rPr>
        <w:t>%，</w:t>
      </w:r>
    </w:p>
    <w:p>
      <w:pPr>
        <w:keepNext w:val="0"/>
        <w:keepLines w:val="0"/>
        <w:pageBreakBefore w:val="0"/>
        <w:kinsoku/>
        <w:overflowPunct/>
        <w:topLinePunct w:val="0"/>
        <w:bidi w:val="0"/>
        <w:spacing w:line="560" w:lineRule="exact"/>
        <w:ind w:left="0" w:leftChars="0" w:right="0" w:firstLine="645"/>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rPr>
        <w:t>三、公司治理情</w:t>
      </w:r>
      <w:r>
        <w:rPr>
          <w:rFonts w:hint="default" w:ascii="Times New Roman" w:hAnsi="Times New Roman" w:eastAsia="黑体" w:cs="Times New Roman"/>
          <w:color w:val="auto"/>
          <w:sz w:val="32"/>
          <w:szCs w:val="32"/>
          <w:highlight w:val="none"/>
        </w:rPr>
        <w:t>况</w:t>
      </w:r>
    </w:p>
    <w:p>
      <w:pPr>
        <w:keepNext w:val="0"/>
        <w:keepLines w:val="0"/>
        <w:pageBreakBefore w:val="0"/>
        <w:kinsoku/>
        <w:overflowPunct/>
        <w:topLinePunct w:val="0"/>
        <w:bidi w:val="0"/>
        <w:spacing w:line="560" w:lineRule="exact"/>
        <w:ind w:left="0" w:leftChars="0" w:right="0"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本行由股东大会</w:t>
      </w:r>
      <w:r>
        <w:rPr>
          <w:rFonts w:hint="default" w:ascii="Times New Roman" w:hAnsi="Times New Roman" w:eastAsia="仿宋_GB2312" w:cs="Times New Roman"/>
          <w:kern w:val="0"/>
          <w:sz w:val="32"/>
          <w:szCs w:val="32"/>
        </w:rPr>
        <w:t>、董事会、监事会和高级管理层构成。董事会下</w:t>
      </w:r>
      <w:r>
        <w:rPr>
          <w:rFonts w:hint="default" w:ascii="Times New Roman" w:hAnsi="Times New Roman" w:eastAsia="仿宋_GB2312" w:cs="Times New Roman"/>
          <w:color w:val="000000"/>
          <w:sz w:val="32"/>
          <w:szCs w:val="32"/>
        </w:rPr>
        <w:t>设董事会办公室和6个专门工作委员会，</w:t>
      </w:r>
      <w:r>
        <w:rPr>
          <w:rFonts w:hint="default" w:ascii="Times New Roman" w:hAnsi="Times New Roman" w:eastAsia="仿宋_GB2312" w:cs="Times New Roman"/>
          <w:kern w:val="0"/>
          <w:sz w:val="32"/>
          <w:szCs w:val="32"/>
        </w:rPr>
        <w:t>分别为</w:t>
      </w:r>
      <w:r>
        <w:rPr>
          <w:rFonts w:hint="default" w:ascii="Times New Roman" w:hAnsi="Times New Roman" w:eastAsia="仿宋_GB2312" w:cs="Times New Roman"/>
          <w:color w:val="000000"/>
          <w:kern w:val="2"/>
          <w:sz w:val="32"/>
          <w:szCs w:val="32"/>
        </w:rPr>
        <w:t>发展战略与三农金融服务委员</w:t>
      </w:r>
      <w:r>
        <w:rPr>
          <w:rFonts w:hint="default" w:ascii="Times New Roman" w:hAnsi="Times New Roman" w:eastAsia="仿宋_GB2312" w:cs="Times New Roman"/>
          <w:color w:val="000000"/>
          <w:kern w:val="2"/>
          <w:sz w:val="32"/>
          <w:szCs w:val="32"/>
          <w:lang w:val="en-US" w:eastAsia="zh-CN"/>
        </w:rPr>
        <w:t>会</w:t>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kern w:val="0"/>
          <w:sz w:val="32"/>
          <w:szCs w:val="32"/>
        </w:rPr>
        <w:t>审计委员会、关联交易控制委员会、风险管理委员会、提名与薪酬委员会</w:t>
      </w:r>
      <w:r>
        <w:rPr>
          <w:rFonts w:hint="default" w:ascii="Times New Roman" w:hAnsi="Times New Roman" w:eastAsia="仿宋_GB2312" w:cs="Times New Roman"/>
          <w:kern w:val="0"/>
          <w:sz w:val="32"/>
          <w:szCs w:val="32"/>
          <w:lang w:eastAsia="zh-CN"/>
        </w:rPr>
        <w:t>、消费者权益保护委员会</w:t>
      </w:r>
      <w:r>
        <w:rPr>
          <w:rFonts w:hint="default" w:ascii="Times New Roman" w:hAnsi="Times New Roman" w:eastAsia="仿宋_GB2312" w:cs="Times New Roman"/>
          <w:kern w:val="0"/>
          <w:sz w:val="32"/>
          <w:szCs w:val="32"/>
        </w:rPr>
        <w:t>。监事</w:t>
      </w:r>
      <w:r>
        <w:rPr>
          <w:rFonts w:hint="default" w:ascii="Times New Roman" w:hAnsi="Times New Roman" w:eastAsia="仿宋_GB2312" w:cs="Times New Roman"/>
          <w:color w:val="000000"/>
          <w:sz w:val="32"/>
          <w:szCs w:val="32"/>
        </w:rPr>
        <w:t>会下设监事会办公室和2个专门委员会，分别是提名委员会和监督委员会。经营管理层下设</w:t>
      </w: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000000"/>
          <w:sz w:val="32"/>
          <w:szCs w:val="32"/>
        </w:rPr>
        <w:t>个职能部室，</w:t>
      </w:r>
      <w:r>
        <w:rPr>
          <w:rFonts w:hint="default" w:ascii="Times New Roman" w:hAnsi="Times New Roman" w:eastAsia="仿宋_GB2312" w:cs="Times New Roman"/>
          <w:sz w:val="32"/>
          <w:szCs w:val="32"/>
        </w:rPr>
        <w:t>下设营业网点</w:t>
      </w:r>
      <w:r>
        <w:rPr>
          <w:rFonts w:hint="default" w:ascii="Times New Roman" w:hAnsi="Times New Roman" w:eastAsia="仿宋_GB2312" w:cs="Times New Roman"/>
          <w:color w:val="000000"/>
          <w:sz w:val="32"/>
          <w:szCs w:val="32"/>
        </w:rPr>
        <w:t>24个营业机构</w:t>
      </w:r>
      <w:r>
        <w:rPr>
          <w:rFonts w:hint="default" w:ascii="Times New Roman" w:hAnsi="Times New Roman" w:eastAsia="仿宋_GB2312" w:cs="Times New Roman"/>
          <w:sz w:val="32"/>
          <w:szCs w:val="32"/>
        </w:rPr>
        <w:t>（含3个营销服务中心及1个特殊资产管理中心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，机构遍及贵定县各乡镇（街道办事处）。</w:t>
      </w:r>
    </w:p>
    <w:p>
      <w:pPr>
        <w:keepNext w:val="0"/>
        <w:keepLines w:val="0"/>
        <w:pageBreakBefore w:val="0"/>
        <w:kinsoku/>
        <w:overflowPunct/>
        <w:topLinePunct w:val="0"/>
        <w:bidi w:val="0"/>
        <w:spacing w:line="560" w:lineRule="exact"/>
        <w:ind w:right="0" w:firstLine="640" w:firstLineChars="200"/>
        <w:jc w:val="both"/>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）股东大会召开情况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本年度内共召开股东大会</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日召开贵州贵定农村商业银行股份有限公司</w:t>
      </w:r>
      <w:r>
        <w:rPr>
          <w:rFonts w:hint="default" w:ascii="Times New Roman" w:hAnsi="Times New Roman" w:eastAsia="仿宋_GB2312" w:cs="Times New Roman"/>
          <w:sz w:val="32"/>
          <w:szCs w:val="32"/>
          <w:highlight w:val="none"/>
          <w:lang w:val="en-US" w:eastAsia="zh-CN"/>
        </w:rPr>
        <w:t>2022</w:t>
      </w:r>
      <w:r>
        <w:rPr>
          <w:rFonts w:hint="default" w:ascii="Times New Roman" w:hAnsi="Times New Roman" w:eastAsia="仿宋_GB2312" w:cs="Times New Roman"/>
          <w:sz w:val="32"/>
          <w:szCs w:val="32"/>
        </w:rPr>
        <w:t>年度股东大会。会上审议了《贵州贵定农村商业银行股份有限公司第一届董事会工作报告》等</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个议题。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日召开贵州贵定农村商业银行股份有限公司202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第一次临时</w:t>
      </w:r>
      <w:r>
        <w:rPr>
          <w:rFonts w:hint="default" w:ascii="Times New Roman" w:hAnsi="Times New Roman" w:eastAsia="仿宋_GB2312" w:cs="Times New Roman"/>
          <w:sz w:val="32"/>
          <w:szCs w:val="32"/>
        </w:rPr>
        <w:t>股东大会。会上审议了《</w:t>
      </w:r>
      <w:r>
        <w:rPr>
          <w:rFonts w:hint="default" w:ascii="Times New Roman" w:hAnsi="Times New Roman" w:eastAsia="仿宋_GB2312" w:cs="Times New Roman"/>
          <w:sz w:val="32"/>
          <w:szCs w:val="32"/>
          <w:lang w:eastAsia="zh-CN"/>
        </w:rPr>
        <w:t>关于提请审议</w:t>
      </w:r>
      <w:r>
        <w:rPr>
          <w:rFonts w:hint="default" w:ascii="Times New Roman" w:hAnsi="Times New Roman" w:eastAsia="仿宋_GB2312" w:cs="Times New Roman"/>
          <w:sz w:val="32"/>
          <w:szCs w:val="32"/>
        </w:rPr>
        <w:t>贵州贵定农村商业银行股份有限公司</w:t>
      </w:r>
      <w:r>
        <w:rPr>
          <w:rFonts w:hint="default" w:ascii="Times New Roman" w:hAnsi="Times New Roman" w:eastAsia="仿宋_GB2312" w:cs="Times New Roman"/>
          <w:sz w:val="32"/>
          <w:szCs w:val="32"/>
          <w:lang w:eastAsia="zh-CN"/>
        </w:rPr>
        <w:t>章程（</w:t>
      </w:r>
      <w:r>
        <w:rPr>
          <w:rFonts w:hint="default" w:ascii="Times New Roman" w:hAnsi="Times New Roman" w:eastAsia="仿宋_GB2312" w:cs="Times New Roman"/>
          <w:sz w:val="32"/>
          <w:szCs w:val="32"/>
          <w:lang w:val="en-US" w:eastAsia="zh-CN"/>
        </w:rPr>
        <w:t>2023年修订版</w:t>
      </w:r>
      <w:r>
        <w:rPr>
          <w:rFonts w:hint="default" w:ascii="Times New Roman" w:hAnsi="Times New Roman" w:eastAsia="仿宋_GB2312" w:cs="Times New Roman"/>
          <w:sz w:val="32"/>
          <w:szCs w:val="32"/>
          <w:lang w:eastAsia="zh-CN"/>
        </w:rPr>
        <w:t>）的议案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kinsoku/>
        <w:overflowPunct/>
        <w:topLinePunct w:val="0"/>
        <w:bidi w:val="0"/>
        <w:spacing w:line="560" w:lineRule="exact"/>
        <w:ind w:left="0" w:leftChars="0" w:right="0" w:firstLine="640" w:firstLineChars="20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kern w:val="0"/>
          <w:sz w:val="32"/>
          <w:szCs w:val="32"/>
        </w:rPr>
        <w:t>董事会的构成及其工作情况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报告期末，有董事会成员</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人，其中职工董事</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人、外部董事</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人（含独立董事</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人）。董事会的各专门委员会严格按照《工作规则》履行职责，在报告期内，对一系列有关公司发展与管理中的重大问题进行了研究和决策。报告期内，共召开董事会会议</w:t>
      </w:r>
      <w:r>
        <w:rPr>
          <w:rFonts w:hint="default"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次。</w:t>
      </w:r>
    </w:p>
    <w:p>
      <w:pPr>
        <w:keepNext w:val="0"/>
        <w:keepLines w:val="0"/>
        <w:pageBreakBefore w:val="0"/>
        <w:kinsoku/>
        <w:overflowPunct/>
        <w:topLinePunct w:val="0"/>
        <w:bidi w:val="0"/>
        <w:spacing w:line="560" w:lineRule="exact"/>
        <w:ind w:left="0" w:leftChars="0" w:right="0" w:firstLine="640" w:firstLineChars="200"/>
        <w:jc w:val="both"/>
        <w:rPr>
          <w:rFonts w:hint="eastAsia" w:ascii="楷体_GB2312" w:hAnsi="楷体_GB2312" w:eastAsia="楷体_GB2312" w:cs="楷体_GB2312"/>
          <w:kern w:val="0"/>
          <w:sz w:val="32"/>
          <w:szCs w:val="32"/>
          <w:highlight w:val="none"/>
        </w:rPr>
      </w:pPr>
      <w:r>
        <w:rPr>
          <w:rFonts w:hint="eastAsia" w:ascii="楷体_GB2312" w:hAnsi="楷体_GB2312" w:eastAsia="楷体_GB2312" w:cs="楷体_GB2312"/>
          <w:kern w:val="0"/>
          <w:sz w:val="32"/>
          <w:szCs w:val="32"/>
          <w:highlight w:val="none"/>
        </w:rPr>
        <w:t>（</w:t>
      </w:r>
      <w:r>
        <w:rPr>
          <w:rFonts w:hint="eastAsia" w:ascii="楷体_GB2312" w:hAnsi="楷体_GB2312" w:eastAsia="楷体_GB2312" w:cs="楷体_GB2312"/>
          <w:kern w:val="0"/>
          <w:sz w:val="32"/>
          <w:szCs w:val="32"/>
          <w:highlight w:val="none"/>
          <w:lang w:val="en-US" w:eastAsia="zh-CN"/>
        </w:rPr>
        <w:t>三</w:t>
      </w:r>
      <w:r>
        <w:rPr>
          <w:rFonts w:hint="eastAsia" w:ascii="楷体_GB2312" w:hAnsi="楷体_GB2312" w:eastAsia="楷体_GB2312" w:cs="楷体_GB2312"/>
          <w:kern w:val="0"/>
          <w:sz w:val="32"/>
          <w:szCs w:val="32"/>
          <w:highlight w:val="none"/>
        </w:rPr>
        <w:t>）独立董事工作情况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本行独立董事刘沂江参加会议19次，徐丹参加会议14次，</w:t>
      </w:r>
    </w:p>
    <w:p>
      <w:pPr>
        <w:keepNext w:val="0"/>
        <w:keepLines w:val="0"/>
        <w:pageBreakBefore w:val="0"/>
        <w:kinsoku/>
        <w:overflowPunct/>
        <w:topLinePunct w:val="0"/>
        <w:bidi w:val="0"/>
        <w:spacing w:line="560" w:lineRule="exact"/>
        <w:ind w:right="0"/>
        <w:jc w:val="both"/>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罗蓉参加会议13次，报告期内，独立董事</w:t>
      </w:r>
      <w:r>
        <w:rPr>
          <w:rFonts w:hint="eastAsia" w:eastAsia="仿宋_GB2312" w:cs="Times New Roman"/>
          <w:bCs/>
          <w:color w:val="auto"/>
          <w:sz w:val="32"/>
          <w:szCs w:val="32"/>
          <w:lang w:val="en-US" w:eastAsia="zh-CN"/>
        </w:rPr>
        <w:t>均</w:t>
      </w:r>
      <w:r>
        <w:rPr>
          <w:rFonts w:hint="default" w:ascii="Times New Roman" w:hAnsi="Times New Roman" w:eastAsia="仿宋_GB2312" w:cs="Times New Roman"/>
          <w:bCs/>
          <w:color w:val="auto"/>
          <w:sz w:val="32"/>
          <w:szCs w:val="32"/>
        </w:rPr>
        <w:t>按照公司章程等有关规定认真履行工作职责。</w:t>
      </w:r>
    </w:p>
    <w:p>
      <w:pPr>
        <w:keepNext w:val="0"/>
        <w:keepLines w:val="0"/>
        <w:pageBreakBefore w:val="0"/>
        <w:kinsoku/>
        <w:overflowPunct/>
        <w:topLinePunct w:val="0"/>
        <w:bidi w:val="0"/>
        <w:spacing w:line="560" w:lineRule="exact"/>
        <w:ind w:left="0" w:leftChars="0" w:right="0" w:firstLine="640" w:firstLineChars="200"/>
        <w:jc w:val="both"/>
        <w:rPr>
          <w:rFonts w:hint="eastAsia" w:ascii="楷体_GB2312" w:hAnsi="楷体_GB2312" w:eastAsia="楷体_GB2312" w:cs="楷体_GB2312"/>
          <w:color w:val="auto"/>
          <w:kern w:val="0"/>
          <w:sz w:val="32"/>
          <w:szCs w:val="32"/>
          <w:lang w:eastAsia="zh-CN"/>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val="en-US" w:eastAsia="zh-CN"/>
        </w:rPr>
        <w:t>六</w:t>
      </w: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color w:val="auto"/>
          <w:kern w:val="0"/>
          <w:sz w:val="32"/>
          <w:szCs w:val="32"/>
        </w:rPr>
        <w:t>监事会的构成及其工作情况</w:t>
      </w:r>
      <w:r>
        <w:rPr>
          <w:rFonts w:hint="eastAsia" w:ascii="楷体_GB2312" w:hAnsi="楷体_GB2312" w:eastAsia="楷体_GB2312" w:cs="楷体_GB2312"/>
          <w:color w:val="auto"/>
          <w:kern w:val="0"/>
          <w:sz w:val="32"/>
          <w:szCs w:val="32"/>
          <w:lang w:val="en-US" w:eastAsia="zh-CN"/>
        </w:rPr>
        <w:t xml:space="preserve"> </w:t>
      </w:r>
    </w:p>
    <w:p>
      <w:pPr>
        <w:keepNext w:val="0"/>
        <w:keepLines w:val="0"/>
        <w:pageBreakBefore w:val="0"/>
        <w:widowControl/>
        <w:shd w:val="clear" w:color="auto" w:fill="FFFFFF"/>
        <w:tabs>
          <w:tab w:val="left" w:pos="6647"/>
        </w:tabs>
        <w:kinsoku/>
        <w:overflowPunct/>
        <w:topLinePunct w:val="0"/>
        <w:bidi w:val="0"/>
        <w:spacing w:line="560" w:lineRule="exact"/>
        <w:ind w:left="0" w:leftChars="0" w:right="0"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报告期末，有监事会成员7名，其中职工监事3名、</w:t>
      </w:r>
      <w:r>
        <w:rPr>
          <w:rFonts w:hint="default" w:ascii="Times New Roman" w:hAnsi="Times New Roman" w:eastAsia="仿宋_GB2312" w:cs="Times New Roman"/>
          <w:color w:val="auto"/>
          <w:sz w:val="32"/>
          <w:szCs w:val="32"/>
          <w:highlight w:val="none"/>
          <w:lang w:val="en-US" w:eastAsia="zh-CN"/>
        </w:rPr>
        <w:t>外部监事3名、</w:t>
      </w:r>
      <w:r>
        <w:rPr>
          <w:rFonts w:hint="default" w:ascii="Times New Roman" w:hAnsi="Times New Roman" w:eastAsia="仿宋_GB2312" w:cs="Times New Roman"/>
          <w:color w:val="auto"/>
          <w:sz w:val="32"/>
          <w:szCs w:val="32"/>
          <w:highlight w:val="none"/>
        </w:rPr>
        <w:t>股东监事</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名，全体监</w:t>
      </w:r>
      <w:r>
        <w:rPr>
          <w:rFonts w:hint="default" w:ascii="Times New Roman" w:hAnsi="Times New Roman" w:eastAsia="仿宋_GB2312" w:cs="Times New Roman"/>
          <w:color w:val="auto"/>
          <w:kern w:val="0"/>
          <w:sz w:val="32"/>
          <w:szCs w:val="32"/>
          <w:highlight w:val="none"/>
        </w:rPr>
        <w:t>事本着对股东、存款人和相关利益人高度负责的态度，积极工作，认真履行职责。报告期内，</w:t>
      </w:r>
      <w:r>
        <w:rPr>
          <w:rFonts w:hint="default" w:ascii="Times New Roman" w:hAnsi="Times New Roman" w:eastAsia="仿宋_GB2312" w:cs="Times New Roman"/>
          <w:color w:val="auto"/>
          <w:sz w:val="32"/>
          <w:szCs w:val="32"/>
          <w:highlight w:val="none"/>
        </w:rPr>
        <w:t>共召开监事会会议</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次。</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left="0" w:leftChars="0" w:right="0"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七</w:t>
      </w:r>
      <w:r>
        <w:rPr>
          <w:rFonts w:hint="eastAsia" w:ascii="楷体_GB2312" w:hAnsi="楷体_GB2312" w:eastAsia="楷体_GB2312" w:cs="楷体_GB2312"/>
          <w:kern w:val="0"/>
          <w:sz w:val="32"/>
          <w:szCs w:val="32"/>
        </w:rPr>
        <w:t>）董事、监事和高级管理人员情况</w:t>
      </w:r>
    </w:p>
    <w:p>
      <w:pPr>
        <w:keepNext w:val="0"/>
        <w:keepLines w:val="0"/>
        <w:pageBreakBefore w:val="0"/>
        <w:widowControl/>
        <w:shd w:val="clear" w:color="auto" w:fill="FFFFFF"/>
        <w:kinsoku/>
        <w:overflowPunct/>
        <w:topLinePunct w:val="0"/>
        <w:bidi w:val="0"/>
        <w:spacing w:line="560" w:lineRule="exact"/>
        <w:ind w:left="0" w:leftChars="0" w:right="0" w:firstLine="678" w:firstLineChars="212"/>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1.报告期末，董事、监事、高级管理人员基本情况</w:t>
      </w:r>
    </w:p>
    <w:tbl>
      <w:tblPr>
        <w:tblStyle w:val="6"/>
        <w:tblW w:w="8775" w:type="dxa"/>
        <w:tblInd w:w="162" w:type="dxa"/>
        <w:tblLayout w:type="autofit"/>
        <w:tblCellMar>
          <w:top w:w="0" w:type="dxa"/>
          <w:left w:w="108" w:type="dxa"/>
          <w:bottom w:w="0" w:type="dxa"/>
          <w:right w:w="108" w:type="dxa"/>
        </w:tblCellMar>
      </w:tblPr>
      <w:tblGrid>
        <w:gridCol w:w="1111"/>
        <w:gridCol w:w="839"/>
        <w:gridCol w:w="1695"/>
        <w:gridCol w:w="2805"/>
        <w:gridCol w:w="2325"/>
      </w:tblGrid>
      <w:tr>
        <w:tblPrEx>
          <w:tblCellMar>
            <w:top w:w="0" w:type="dxa"/>
            <w:left w:w="108" w:type="dxa"/>
            <w:bottom w:w="0" w:type="dxa"/>
            <w:right w:w="108" w:type="dxa"/>
          </w:tblCellMar>
        </w:tblPrEx>
        <w:trPr>
          <w:trHeight w:val="795" w:hRule="atLeast"/>
        </w:trPr>
        <w:tc>
          <w:tcPr>
            <w:tcW w:w="11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姓  名</w:t>
            </w:r>
          </w:p>
        </w:tc>
        <w:tc>
          <w:tcPr>
            <w:tcW w:w="839"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性别</w:t>
            </w:r>
          </w:p>
        </w:tc>
        <w:tc>
          <w:tcPr>
            <w:tcW w:w="169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学历</w:t>
            </w:r>
          </w:p>
        </w:tc>
        <w:tc>
          <w:tcPr>
            <w:tcW w:w="28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职  务</w:t>
            </w:r>
          </w:p>
        </w:tc>
        <w:tc>
          <w:tcPr>
            <w:tcW w:w="232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董事会担任职务</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梁松</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硕士</w:t>
            </w:r>
            <w:r>
              <w:rPr>
                <w:rFonts w:hint="default" w:ascii="Times New Roman" w:hAnsi="Times New Roman" w:eastAsia="仿宋_GB2312" w:cs="Times New Roman"/>
                <w:color w:val="000000"/>
                <w:kern w:val="0"/>
                <w:sz w:val="28"/>
                <w:szCs w:val="28"/>
                <w:lang w:eastAsia="zh-CN"/>
              </w:rPr>
              <w:t>研究生</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党委书记、董事长</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董事长</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曾洪</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硕士</w:t>
            </w:r>
            <w:r>
              <w:rPr>
                <w:rFonts w:hint="default" w:ascii="Times New Roman" w:hAnsi="Times New Roman" w:eastAsia="仿宋_GB2312" w:cs="Times New Roman"/>
                <w:color w:val="000000"/>
                <w:kern w:val="0"/>
                <w:sz w:val="28"/>
                <w:szCs w:val="28"/>
                <w:lang w:eastAsia="zh-CN"/>
              </w:rPr>
              <w:t>研究生</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党委副书记、行长</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副董事长</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罗龙超</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分理处主任</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董事会秘书</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刘沂江</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女</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硕士</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大学副教授兼律师</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独立董事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罗蓉</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女</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硕士</w:t>
            </w:r>
            <w:r>
              <w:rPr>
                <w:rFonts w:hint="default" w:ascii="Times New Roman" w:hAnsi="Times New Roman" w:eastAsia="仿宋_GB2312" w:cs="Times New Roman"/>
                <w:color w:val="000000"/>
                <w:kern w:val="0"/>
                <w:sz w:val="28"/>
                <w:szCs w:val="28"/>
                <w:lang w:eastAsia="zh-CN"/>
              </w:rPr>
              <w:t>研究生</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教授兼博士生导师</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独立董事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徐丹</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女</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硕士</w:t>
            </w:r>
            <w:r>
              <w:rPr>
                <w:rFonts w:hint="default" w:ascii="Times New Roman" w:hAnsi="Times New Roman" w:eastAsia="仿宋_GB2312" w:cs="Times New Roman"/>
                <w:color w:val="000000"/>
                <w:kern w:val="0"/>
                <w:sz w:val="28"/>
                <w:szCs w:val="28"/>
                <w:lang w:eastAsia="zh-CN"/>
              </w:rPr>
              <w:t>研究生</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副教授</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独立董事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何庆洪</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高中</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公司董事长、总经理</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谢志禄</w:t>
            </w:r>
          </w:p>
        </w:tc>
        <w:tc>
          <w:tcPr>
            <w:tcW w:w="839"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公司总经理</w:t>
            </w:r>
          </w:p>
        </w:tc>
        <w:tc>
          <w:tcPr>
            <w:tcW w:w="232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w:t>
            </w:r>
          </w:p>
        </w:tc>
      </w:tr>
      <w:tr>
        <w:tblPrEx>
          <w:tblCellMar>
            <w:top w:w="0" w:type="dxa"/>
            <w:left w:w="108" w:type="dxa"/>
            <w:bottom w:w="0" w:type="dxa"/>
            <w:right w:w="108" w:type="dxa"/>
          </w:tblCellMar>
        </w:tblPrEx>
        <w:trPr>
          <w:trHeight w:val="300" w:hRule="atLeast"/>
        </w:trPr>
        <w:tc>
          <w:tcPr>
            <w:tcW w:w="111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王昌俊</w:t>
            </w:r>
          </w:p>
        </w:tc>
        <w:tc>
          <w:tcPr>
            <w:tcW w:w="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初中</w:t>
            </w:r>
          </w:p>
        </w:tc>
        <w:tc>
          <w:tcPr>
            <w:tcW w:w="280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个体工商户</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w:t>
            </w:r>
          </w:p>
        </w:tc>
      </w:tr>
      <w:tr>
        <w:tblPrEx>
          <w:tblCellMar>
            <w:top w:w="0" w:type="dxa"/>
            <w:left w:w="108" w:type="dxa"/>
            <w:bottom w:w="0" w:type="dxa"/>
            <w:right w:w="108" w:type="dxa"/>
          </w:tblCellMar>
        </w:tblPrEx>
        <w:trPr>
          <w:trHeight w:val="300" w:hRule="atLeast"/>
        </w:trPr>
        <w:tc>
          <w:tcPr>
            <w:tcW w:w="1111"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林凤</w:t>
            </w:r>
          </w:p>
        </w:tc>
        <w:tc>
          <w:tcPr>
            <w:tcW w:w="839"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女</w:t>
            </w:r>
          </w:p>
        </w:tc>
        <w:tc>
          <w:tcPr>
            <w:tcW w:w="169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highlight w:val="none"/>
                <w:lang w:val="en-US" w:eastAsia="zh-CN"/>
              </w:rPr>
              <w:t>党委委员</w:t>
            </w:r>
            <w:r>
              <w:rPr>
                <w:rFonts w:hint="default" w:ascii="Times New Roman" w:hAnsi="Times New Roman" w:eastAsia="仿宋_GB2312" w:cs="Times New Roman"/>
                <w:color w:val="000000"/>
                <w:kern w:val="0"/>
                <w:sz w:val="28"/>
                <w:szCs w:val="28"/>
                <w:highlight w:val="none"/>
              </w:rPr>
              <w:t>、</w:t>
            </w:r>
            <w:r>
              <w:rPr>
                <w:rFonts w:hint="default" w:ascii="Times New Roman" w:hAnsi="Times New Roman" w:eastAsia="仿宋_GB2312" w:cs="Times New Roman"/>
                <w:color w:val="000000"/>
                <w:kern w:val="0"/>
                <w:sz w:val="28"/>
                <w:szCs w:val="28"/>
                <w:highlight w:val="none"/>
                <w:lang w:val="en-US" w:eastAsia="zh-CN"/>
              </w:rPr>
              <w:t>纪委书记、</w:t>
            </w:r>
            <w:r>
              <w:rPr>
                <w:rFonts w:hint="default" w:ascii="Times New Roman" w:hAnsi="Times New Roman" w:eastAsia="仿宋_GB2312" w:cs="Times New Roman"/>
                <w:color w:val="000000"/>
                <w:kern w:val="0"/>
                <w:sz w:val="28"/>
                <w:szCs w:val="28"/>
                <w:highlight w:val="none"/>
              </w:rPr>
              <w:t>监事长</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职工监事、监事长</w:t>
            </w:r>
          </w:p>
        </w:tc>
      </w:tr>
      <w:tr>
        <w:tblPrEx>
          <w:tblCellMar>
            <w:top w:w="0" w:type="dxa"/>
            <w:left w:w="108" w:type="dxa"/>
            <w:bottom w:w="0" w:type="dxa"/>
            <w:right w:w="108" w:type="dxa"/>
          </w:tblCellMar>
        </w:tblPrEx>
        <w:trPr>
          <w:trHeight w:val="285" w:hRule="atLeast"/>
        </w:trPr>
        <w:tc>
          <w:tcPr>
            <w:tcW w:w="1111"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陶志佳</w:t>
            </w:r>
          </w:p>
        </w:tc>
        <w:tc>
          <w:tcPr>
            <w:tcW w:w="839"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女</w:t>
            </w:r>
          </w:p>
        </w:tc>
        <w:tc>
          <w:tcPr>
            <w:tcW w:w="169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纪检监察室主任</w:t>
            </w:r>
          </w:p>
        </w:tc>
        <w:tc>
          <w:tcPr>
            <w:tcW w:w="232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职工监事</w:t>
            </w: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熊江龙</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大专</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工会副主席</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职工监事</w:t>
            </w: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金先贵</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大专</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公司总经理</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股东监事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李庭江</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eastAsia="zh-CN"/>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律所主任</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外部</w:t>
            </w:r>
            <w:r>
              <w:rPr>
                <w:rFonts w:hint="default" w:ascii="Times New Roman" w:hAnsi="Times New Roman" w:eastAsia="仿宋_GB2312" w:cs="Times New Roman"/>
                <w:color w:val="000000"/>
                <w:kern w:val="0"/>
                <w:sz w:val="28"/>
                <w:szCs w:val="28"/>
                <w:lang w:eastAsia="zh-CN"/>
              </w:rPr>
              <w:t>监事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宋培宇</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本科</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val="en-US" w:eastAsia="zh-CN"/>
              </w:rPr>
              <w:t>退休人员</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外部</w:t>
            </w:r>
            <w:r>
              <w:rPr>
                <w:rFonts w:hint="default" w:ascii="Times New Roman" w:hAnsi="Times New Roman" w:eastAsia="仿宋_GB2312" w:cs="Times New Roman"/>
                <w:color w:val="000000"/>
                <w:kern w:val="0"/>
                <w:sz w:val="28"/>
                <w:szCs w:val="28"/>
                <w:lang w:eastAsia="zh-CN"/>
              </w:rPr>
              <w:t>监事</w:t>
            </w:r>
          </w:p>
        </w:tc>
      </w:tr>
      <w:tr>
        <w:tblPrEx>
          <w:tblCellMar>
            <w:top w:w="0" w:type="dxa"/>
            <w:left w:w="108" w:type="dxa"/>
            <w:bottom w:w="0" w:type="dxa"/>
            <w:right w:w="108" w:type="dxa"/>
          </w:tblCellMar>
        </w:tblPrEx>
        <w:trPr>
          <w:trHeight w:val="300"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姚苑</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女</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本科</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highlight w:val="none"/>
                <w:lang w:val="en-US" w:eastAsia="zh-CN" w:bidi="ar-SA"/>
              </w:rPr>
            </w:pPr>
            <w:r>
              <w:rPr>
                <w:rFonts w:hint="default" w:ascii="Times New Roman" w:hAnsi="Times New Roman" w:eastAsia="仿宋_GB2312" w:cs="Times New Roman"/>
                <w:color w:val="000000"/>
                <w:kern w:val="0"/>
                <w:sz w:val="28"/>
                <w:szCs w:val="28"/>
                <w:highlight w:val="none"/>
                <w:lang w:val="en-US" w:eastAsia="zh-CN"/>
              </w:rPr>
              <w:t>律师</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外部</w:t>
            </w:r>
            <w:r>
              <w:rPr>
                <w:rFonts w:hint="default" w:ascii="Times New Roman" w:hAnsi="Times New Roman" w:eastAsia="仿宋_GB2312" w:cs="Times New Roman"/>
                <w:color w:val="000000"/>
                <w:kern w:val="0"/>
                <w:sz w:val="28"/>
                <w:szCs w:val="28"/>
                <w:lang w:eastAsia="zh-CN"/>
              </w:rPr>
              <w:t>监事</w:t>
            </w: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屈晓峰</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党委委员、副行长</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陈炜</w:t>
            </w:r>
          </w:p>
        </w:tc>
        <w:tc>
          <w:tcPr>
            <w:tcW w:w="839"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硕士研究生</w:t>
            </w:r>
          </w:p>
        </w:tc>
        <w:tc>
          <w:tcPr>
            <w:tcW w:w="28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党委委员、副行长</w:t>
            </w:r>
          </w:p>
        </w:tc>
        <w:tc>
          <w:tcPr>
            <w:tcW w:w="23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85" w:hRule="atLeast"/>
        </w:trPr>
        <w:tc>
          <w:tcPr>
            <w:tcW w:w="11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李芝锐</w:t>
            </w:r>
          </w:p>
        </w:tc>
        <w:tc>
          <w:tcPr>
            <w:tcW w:w="8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风险总监</w:t>
            </w:r>
          </w:p>
        </w:tc>
        <w:tc>
          <w:tcPr>
            <w:tcW w:w="23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85" w:hRule="atLeast"/>
        </w:trPr>
        <w:tc>
          <w:tcPr>
            <w:tcW w:w="11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肖建</w:t>
            </w:r>
          </w:p>
        </w:tc>
        <w:tc>
          <w:tcPr>
            <w:tcW w:w="8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男</w:t>
            </w:r>
          </w:p>
        </w:tc>
        <w:tc>
          <w:tcPr>
            <w:tcW w:w="16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本科</w:t>
            </w:r>
          </w:p>
        </w:tc>
        <w:tc>
          <w:tcPr>
            <w:tcW w:w="28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工会主席</w:t>
            </w:r>
          </w:p>
        </w:tc>
        <w:tc>
          <w:tcPr>
            <w:tcW w:w="23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85" w:hRule="atLeast"/>
        </w:trPr>
        <w:tc>
          <w:tcPr>
            <w:tcW w:w="11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宋洁</w:t>
            </w:r>
          </w:p>
        </w:tc>
        <w:tc>
          <w:tcPr>
            <w:tcW w:w="8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女</w:t>
            </w:r>
          </w:p>
        </w:tc>
        <w:tc>
          <w:tcPr>
            <w:tcW w:w="16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本科</w:t>
            </w:r>
          </w:p>
        </w:tc>
        <w:tc>
          <w:tcPr>
            <w:tcW w:w="28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计划财务</w:t>
            </w:r>
            <w:r>
              <w:rPr>
                <w:rFonts w:hint="default" w:ascii="Times New Roman" w:hAnsi="Times New Roman" w:eastAsia="仿宋_GB2312" w:cs="Times New Roman"/>
                <w:color w:val="000000"/>
                <w:kern w:val="0"/>
                <w:sz w:val="28"/>
                <w:szCs w:val="28"/>
                <w:lang w:eastAsia="zh-CN"/>
              </w:rPr>
              <w:t>部总经理</w:t>
            </w:r>
          </w:p>
        </w:tc>
        <w:tc>
          <w:tcPr>
            <w:tcW w:w="23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85" w:hRule="atLeast"/>
        </w:trPr>
        <w:tc>
          <w:tcPr>
            <w:tcW w:w="11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尤瑞</w:t>
            </w:r>
          </w:p>
        </w:tc>
        <w:tc>
          <w:tcPr>
            <w:tcW w:w="8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男</w:t>
            </w:r>
          </w:p>
        </w:tc>
        <w:tc>
          <w:tcPr>
            <w:tcW w:w="16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本科</w:t>
            </w:r>
          </w:p>
        </w:tc>
        <w:tc>
          <w:tcPr>
            <w:tcW w:w="28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稽核审计部临时负责人</w:t>
            </w:r>
          </w:p>
        </w:tc>
        <w:tc>
          <w:tcPr>
            <w:tcW w:w="23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85" w:hRule="atLeast"/>
        </w:trPr>
        <w:tc>
          <w:tcPr>
            <w:tcW w:w="111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舒建平</w:t>
            </w:r>
          </w:p>
        </w:tc>
        <w:tc>
          <w:tcPr>
            <w:tcW w:w="8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男</w:t>
            </w:r>
          </w:p>
        </w:tc>
        <w:tc>
          <w:tcPr>
            <w:tcW w:w="16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本科</w:t>
            </w:r>
          </w:p>
        </w:tc>
        <w:tc>
          <w:tcPr>
            <w:tcW w:w="280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合规风险部总经理</w:t>
            </w:r>
          </w:p>
        </w:tc>
        <w:tc>
          <w:tcPr>
            <w:tcW w:w="232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000000"/>
                <w:kern w:val="0"/>
                <w:sz w:val="28"/>
                <w:szCs w:val="28"/>
              </w:rPr>
            </w:pPr>
          </w:p>
        </w:tc>
      </w:tr>
    </w:tbl>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2.外部董事、监事单位任职情况</w:t>
      </w:r>
    </w:p>
    <w:tbl>
      <w:tblPr>
        <w:tblStyle w:val="6"/>
        <w:tblW w:w="8760" w:type="dxa"/>
        <w:tblInd w:w="177" w:type="dxa"/>
        <w:tblLayout w:type="autofit"/>
        <w:tblCellMar>
          <w:top w:w="0" w:type="dxa"/>
          <w:left w:w="108" w:type="dxa"/>
          <w:bottom w:w="0" w:type="dxa"/>
          <w:right w:w="108" w:type="dxa"/>
        </w:tblCellMar>
      </w:tblPr>
      <w:tblGrid>
        <w:gridCol w:w="1065"/>
        <w:gridCol w:w="1680"/>
        <w:gridCol w:w="3525"/>
        <w:gridCol w:w="2490"/>
      </w:tblGrid>
      <w:tr>
        <w:tblPrEx>
          <w:tblCellMar>
            <w:top w:w="0" w:type="dxa"/>
            <w:left w:w="108" w:type="dxa"/>
            <w:bottom w:w="0" w:type="dxa"/>
            <w:right w:w="108" w:type="dxa"/>
          </w:tblCellMar>
        </w:tblPrEx>
        <w:trPr>
          <w:trHeight w:val="765" w:hRule="atLeast"/>
        </w:trPr>
        <w:tc>
          <w:tcPr>
            <w:tcW w:w="106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姓名</w:t>
            </w:r>
          </w:p>
        </w:tc>
        <w:tc>
          <w:tcPr>
            <w:tcW w:w="168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在本行职务</w:t>
            </w:r>
          </w:p>
        </w:tc>
        <w:tc>
          <w:tcPr>
            <w:tcW w:w="352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单位名称</w:t>
            </w:r>
          </w:p>
        </w:tc>
        <w:tc>
          <w:tcPr>
            <w:tcW w:w="2490"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在单位担任的职务</w:t>
            </w:r>
          </w:p>
        </w:tc>
      </w:tr>
      <w:tr>
        <w:tblPrEx>
          <w:tblCellMar>
            <w:top w:w="0" w:type="dxa"/>
            <w:left w:w="108" w:type="dxa"/>
            <w:bottom w:w="0" w:type="dxa"/>
            <w:right w:w="108" w:type="dxa"/>
          </w:tblCellMar>
        </w:tblPrEx>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刘沂江</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独立董事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贵州大学、贵州宇泰律师事务所</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大学副教授兼律师</w:t>
            </w:r>
          </w:p>
        </w:tc>
      </w:tr>
      <w:tr>
        <w:trPr>
          <w:trHeight w:val="474"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罗蓉</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独立董事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贵州大学经济学院、贵州大学农林经济管理学科</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教授</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博士生导师</w:t>
            </w:r>
          </w:p>
        </w:tc>
      </w:tr>
      <w:tr>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徐丹</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rPr>
              <w:t>独立董事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val="en-US" w:eastAsia="zh-CN"/>
              </w:rPr>
              <w:t>贵州大学管理学院工商管理系</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lang w:val="en-US" w:eastAsia="zh-CN" w:bidi="ar-SA"/>
              </w:rPr>
            </w:pPr>
            <w:r>
              <w:rPr>
                <w:rFonts w:hint="default" w:ascii="Times New Roman" w:hAnsi="Times New Roman" w:eastAsia="仿宋_GB2312" w:cs="Times New Roman"/>
                <w:color w:val="000000"/>
                <w:kern w:val="0"/>
                <w:sz w:val="28"/>
                <w:szCs w:val="28"/>
                <w:lang w:eastAsia="zh-CN"/>
              </w:rPr>
              <w:t>副教授</w:t>
            </w:r>
          </w:p>
        </w:tc>
      </w:tr>
      <w:tr>
        <w:trPr>
          <w:trHeight w:val="300" w:hRule="atLeast"/>
        </w:trPr>
        <w:tc>
          <w:tcPr>
            <w:tcW w:w="1065"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何庆洪</w:t>
            </w:r>
          </w:p>
        </w:tc>
        <w:tc>
          <w:tcPr>
            <w:tcW w:w="168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w:t>
            </w:r>
          </w:p>
        </w:tc>
        <w:tc>
          <w:tcPr>
            <w:tcW w:w="3525"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贵州苗姑娘控股集团有限公司</w:t>
            </w:r>
          </w:p>
        </w:tc>
        <w:tc>
          <w:tcPr>
            <w:tcW w:w="249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董事长、总经理</w:t>
            </w:r>
          </w:p>
        </w:tc>
      </w:tr>
      <w:tr>
        <w:trPr>
          <w:trHeight w:val="300" w:hRule="atLeast"/>
        </w:trPr>
        <w:tc>
          <w:tcPr>
            <w:tcW w:w="1065"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谢志禄</w:t>
            </w:r>
          </w:p>
        </w:tc>
        <w:tc>
          <w:tcPr>
            <w:tcW w:w="1680"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w:t>
            </w:r>
          </w:p>
        </w:tc>
        <w:tc>
          <w:tcPr>
            <w:tcW w:w="3525" w:type="dxa"/>
            <w:tcBorders>
              <w:top w:val="single" w:color="auto" w:sz="4" w:space="0"/>
              <w:left w:val="nil"/>
              <w:bottom w:val="single" w:color="auto" w:sz="4"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贵州银鼎房地产开发有限公司</w:t>
            </w:r>
          </w:p>
        </w:tc>
        <w:tc>
          <w:tcPr>
            <w:tcW w:w="2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总经理</w:t>
            </w:r>
          </w:p>
        </w:tc>
      </w:tr>
      <w:tr>
        <w:trPr>
          <w:trHeight w:val="300" w:hRule="atLeast"/>
        </w:trPr>
        <w:tc>
          <w:tcPr>
            <w:tcW w:w="1065"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王昌俊</w:t>
            </w:r>
          </w:p>
        </w:tc>
        <w:tc>
          <w:tcPr>
            <w:tcW w:w="168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董事</w:t>
            </w:r>
          </w:p>
        </w:tc>
        <w:tc>
          <w:tcPr>
            <w:tcW w:w="3525"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个体工商户</w:t>
            </w:r>
          </w:p>
        </w:tc>
        <w:tc>
          <w:tcPr>
            <w:tcW w:w="2490" w:type="dxa"/>
            <w:tcBorders>
              <w:top w:val="single" w:color="auto" w:sz="4"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负责人</w:t>
            </w:r>
          </w:p>
        </w:tc>
      </w:tr>
      <w:tr>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金先贵</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股东</w:t>
            </w:r>
            <w:r>
              <w:rPr>
                <w:rFonts w:hint="default" w:ascii="Times New Roman" w:hAnsi="Times New Roman" w:eastAsia="仿宋_GB2312" w:cs="Times New Roman"/>
                <w:color w:val="000000"/>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贵州亿滕建设集团有限公司</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总经理</w:t>
            </w:r>
          </w:p>
        </w:tc>
      </w:tr>
      <w:tr>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李庭江</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外部</w:t>
            </w:r>
            <w:r>
              <w:rPr>
                <w:rFonts w:hint="default" w:ascii="Times New Roman" w:hAnsi="Times New Roman" w:eastAsia="仿宋_GB2312" w:cs="Times New Roman"/>
                <w:color w:val="000000"/>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贵州正苍律师事务所</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主任</w:t>
            </w:r>
          </w:p>
        </w:tc>
      </w:tr>
      <w:tr>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宋培宇</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外部</w:t>
            </w:r>
            <w:r>
              <w:rPr>
                <w:rFonts w:hint="default" w:ascii="Times New Roman" w:hAnsi="Times New Roman" w:eastAsia="仿宋_GB2312" w:cs="Times New Roman"/>
                <w:color w:val="000000"/>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无</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退休人员</w:t>
            </w:r>
          </w:p>
        </w:tc>
      </w:tr>
      <w:tr>
        <w:trPr>
          <w:trHeight w:val="300" w:hRule="atLeast"/>
        </w:trPr>
        <w:tc>
          <w:tcPr>
            <w:tcW w:w="106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姚苑</w:t>
            </w:r>
          </w:p>
        </w:tc>
        <w:tc>
          <w:tcPr>
            <w:tcW w:w="168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外部</w:t>
            </w:r>
            <w:r>
              <w:rPr>
                <w:rFonts w:hint="default" w:ascii="Times New Roman" w:hAnsi="Times New Roman" w:eastAsia="仿宋_GB2312" w:cs="Times New Roman"/>
                <w:color w:val="000000"/>
                <w:kern w:val="0"/>
                <w:sz w:val="28"/>
                <w:szCs w:val="28"/>
                <w:highlight w:val="none"/>
              </w:rPr>
              <w:t>监事</w:t>
            </w:r>
          </w:p>
        </w:tc>
        <w:tc>
          <w:tcPr>
            <w:tcW w:w="352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贵州正苍律师事务所</w:t>
            </w:r>
          </w:p>
        </w:tc>
        <w:tc>
          <w:tcPr>
            <w:tcW w:w="249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lang w:val="en-US" w:eastAsia="zh-CN"/>
              </w:rPr>
              <w:t>律师</w:t>
            </w:r>
          </w:p>
        </w:tc>
      </w:tr>
    </w:tbl>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八</w:t>
      </w:r>
      <w:r>
        <w:rPr>
          <w:rFonts w:hint="eastAsia" w:ascii="楷体_GB2312" w:hAnsi="楷体_GB2312" w:eastAsia="楷体_GB2312" w:cs="楷体_GB2312"/>
          <w:color w:val="auto"/>
          <w:kern w:val="0"/>
          <w:sz w:val="32"/>
          <w:szCs w:val="32"/>
          <w:highlight w:val="none"/>
        </w:rPr>
        <w:t>）薪酬制度及执行情况</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薪酬结构与确定。薪酬管理的范围、对象为高级管理人员、合同制员工（含内退人员）。本行高级管理人员的薪酬由基本年薪、绩效年薪构成；合同制员工由基本薪酬、绩效薪酬构成；内退人员由基本薪酬构成。</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2.高级管理人员及员工基本薪酬按月支付，绩效薪酬按月预发、按月或按季考核、年度清算支付方式。</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highlight w:val="none"/>
        </w:rPr>
        <w:t>根据《省联社办公室关于印发贵州省农村信用社行社工资管理规定的通知》（黔农信办发〔2023〕30号）及《省联社办公室关于印发贵州省农村信用社行社高级管理人员薪酬管理办法的通知》（黔农信办发〔2023〕31号）的规定比例计提发放。</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九</w:t>
      </w:r>
      <w:r>
        <w:rPr>
          <w:rFonts w:hint="eastAsia" w:ascii="楷体_GB2312" w:hAnsi="楷体_GB2312" w:eastAsia="楷体_GB2312" w:cs="楷体_GB2312"/>
          <w:color w:val="auto"/>
          <w:sz w:val="32"/>
          <w:szCs w:val="32"/>
          <w:highlight w:val="none"/>
        </w:rPr>
        <w:t>）员工、</w:t>
      </w:r>
      <w:r>
        <w:rPr>
          <w:rFonts w:hint="eastAsia" w:ascii="楷体_GB2312" w:hAnsi="楷体_GB2312" w:eastAsia="楷体_GB2312" w:cs="楷体_GB2312"/>
          <w:color w:val="auto"/>
          <w:kern w:val="0"/>
          <w:sz w:val="32"/>
          <w:szCs w:val="32"/>
          <w:highlight w:val="none"/>
        </w:rPr>
        <w:t>部门与分支机构情况</w:t>
      </w:r>
    </w:p>
    <w:p>
      <w:pPr>
        <w:keepNext w:val="0"/>
        <w:keepLines w:val="0"/>
        <w:pageBreakBefore w:val="0"/>
        <w:widowControl/>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1.员工情况。报告期末，</w:t>
      </w:r>
      <w:r>
        <w:rPr>
          <w:rFonts w:hint="default" w:ascii="Times New Roman" w:hAnsi="Times New Roman" w:eastAsia="仿宋_GB2312" w:cs="Times New Roman"/>
          <w:color w:val="auto"/>
          <w:sz w:val="32"/>
          <w:szCs w:val="32"/>
          <w:highlight w:val="none"/>
        </w:rPr>
        <w:t>共有员工219人（在岗合同制职工212人、内退职工7人），系统内调入3人，系统内调出1人，辞职4人，解除劳动合同1人，退休5人。其中：硕士2人，占0.91%；本科184人，占84.02%；大专24人，占10.96%；中专及以下9人，占4.11%。有专业技术职务的69人（其中：初级职称59人，中级职称10人），占31.51%。</w:t>
      </w:r>
    </w:p>
    <w:p>
      <w:pPr>
        <w:keepNext w:val="0"/>
        <w:keepLines w:val="0"/>
        <w:pageBreakBefore w:val="0"/>
        <w:widowControl/>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2.部门与分支机构设置情况。报告期末，共设置</w:t>
      </w:r>
      <w:r>
        <w:rPr>
          <w:rFonts w:hint="default" w:ascii="Times New Roman" w:hAnsi="Times New Roman" w:eastAsia="仿宋_GB2312" w:cs="Times New Roman"/>
          <w:color w:val="auto"/>
          <w:sz w:val="32"/>
          <w:szCs w:val="32"/>
          <w:highlight w:val="none"/>
        </w:rPr>
        <w:t>10个职能部门，分别是：业务发展部（行长办公室、普惠金融部、乡村振兴部、绿色金融部、网络金融部、数据管理部等合署办公）、合规风险部（消费者权益保护部、反洗钱监测分析中心、法律事务部等合署办公）、稽核审计部、财务管理部（资负管理部、资金同业部等合署办公） 、运营服务部（运营管理部、客户服务部、事后监督中心等合署办公）、信息科技部、综合办公室（党委办公室、董事会办公室、党委宣传部、基建办公室、工会等合署办公）、人力资源部（党委组织部、团委等合署办公）、纪律检查室（监事会办公室合署办公）、安全保卫部（远程监控中心合署办公），下设营业网点24个营业机构（含3 个营销服务中心）及1个特殊资产管理中心。其中：营业部（含小微企业金融服务中心）1个，支行6个，分理处17个。</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通过“三会分设、三权分离、三长分开、有效制约、协调发展”，走出了一条权责明确、管理科学、分工协作、相互制约的新路子。</w:t>
      </w:r>
    </w:p>
    <w:p>
      <w:pPr>
        <w:keepNext w:val="0"/>
        <w:keepLines w:val="0"/>
        <w:pageBreakBefore w:val="0"/>
        <w:kinsoku/>
        <w:overflowPunct/>
        <w:topLinePunct w:val="0"/>
        <w:autoSpaceDE w:val="0"/>
        <w:autoSpaceDN w:val="0"/>
        <w:bidi w:val="0"/>
        <w:adjustRightInd w:val="0"/>
        <w:spacing w:line="560" w:lineRule="exact"/>
        <w:ind w:left="0" w:leftChars="0" w:right="0"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四、经营情况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（一）财务基本情况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1.资产情况。至202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年末，本行资产总额为</w:t>
      </w:r>
      <w:r>
        <w:rPr>
          <w:rFonts w:hint="default" w:ascii="Times New Roman" w:hAnsi="Times New Roman" w:eastAsia="仿宋_GB2312" w:cs="Times New Roman"/>
          <w:color w:val="auto"/>
          <w:sz w:val="32"/>
          <w:szCs w:val="32"/>
          <w:highlight w:val="none"/>
          <w:lang w:val="en-US" w:eastAsia="zh-CN"/>
        </w:rPr>
        <w:t>651791.27</w:t>
      </w:r>
      <w:r>
        <w:rPr>
          <w:rFonts w:hint="default" w:ascii="Times New Roman" w:hAnsi="Times New Roman" w:eastAsia="仿宋_GB2312" w:cs="Times New Roman"/>
          <w:color w:val="auto"/>
          <w:sz w:val="32"/>
          <w:szCs w:val="32"/>
          <w:highlight w:val="none"/>
        </w:rPr>
        <w:t>万元，较年初增加</w:t>
      </w:r>
      <w:r>
        <w:rPr>
          <w:rFonts w:hint="default" w:ascii="Times New Roman" w:hAnsi="Times New Roman" w:eastAsia="仿宋_GB2312" w:cs="Times New Roman"/>
          <w:color w:val="auto"/>
          <w:sz w:val="32"/>
          <w:szCs w:val="32"/>
          <w:highlight w:val="none"/>
          <w:lang w:val="en-US" w:eastAsia="zh-CN"/>
        </w:rPr>
        <w:t>24072.1</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3.83</w:t>
      </w:r>
      <w:r>
        <w:rPr>
          <w:rFonts w:hint="default" w:ascii="Times New Roman" w:hAnsi="Times New Roman" w:eastAsia="仿宋_GB2312" w:cs="Times New Roman"/>
          <w:color w:val="auto"/>
          <w:sz w:val="32"/>
          <w:szCs w:val="32"/>
          <w:highlight w:val="none"/>
        </w:rPr>
        <w:t>%，其中：各项贷款余额</w:t>
      </w:r>
      <w:r>
        <w:rPr>
          <w:rFonts w:hint="default" w:ascii="Times New Roman" w:hAnsi="Times New Roman" w:eastAsia="仿宋_GB2312" w:cs="Times New Roman"/>
          <w:color w:val="auto"/>
          <w:sz w:val="32"/>
          <w:szCs w:val="32"/>
          <w:highlight w:val="none"/>
          <w:lang w:val="en-US" w:eastAsia="zh-CN"/>
        </w:rPr>
        <w:t>432226.79</w:t>
      </w:r>
      <w:r>
        <w:rPr>
          <w:rFonts w:hint="default" w:ascii="Times New Roman" w:hAnsi="Times New Roman" w:eastAsia="仿宋_GB2312" w:cs="Times New Roman"/>
          <w:color w:val="auto"/>
          <w:sz w:val="32"/>
          <w:szCs w:val="32"/>
          <w:highlight w:val="none"/>
        </w:rPr>
        <w:t>万元，较年初增加</w:t>
      </w:r>
      <w:r>
        <w:rPr>
          <w:rFonts w:hint="default" w:ascii="Times New Roman" w:hAnsi="Times New Roman" w:eastAsia="仿宋_GB2312" w:cs="Times New Roman"/>
          <w:color w:val="auto"/>
          <w:sz w:val="32"/>
          <w:szCs w:val="32"/>
          <w:highlight w:val="none"/>
          <w:lang w:val="en-US" w:eastAsia="zh-CN"/>
        </w:rPr>
        <w:t>18705.09</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4.52</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2.负债情况。至202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年末，本行负债总额</w:t>
      </w:r>
      <w:r>
        <w:rPr>
          <w:rFonts w:hint="default" w:ascii="Times New Roman" w:hAnsi="Times New Roman" w:eastAsia="仿宋_GB2312" w:cs="Times New Roman"/>
          <w:color w:val="auto"/>
          <w:sz w:val="32"/>
          <w:szCs w:val="32"/>
          <w:highlight w:val="none"/>
          <w:lang w:val="en-US" w:eastAsia="zh-CN"/>
        </w:rPr>
        <w:t>589972.81</w:t>
      </w:r>
      <w:r>
        <w:rPr>
          <w:rFonts w:hint="default" w:ascii="Times New Roman" w:hAnsi="Times New Roman" w:eastAsia="仿宋_GB2312" w:cs="Times New Roman"/>
          <w:color w:val="auto"/>
          <w:sz w:val="32"/>
          <w:szCs w:val="32"/>
          <w:highlight w:val="none"/>
        </w:rPr>
        <w:t>万元，较年初增加</w:t>
      </w:r>
      <w:r>
        <w:rPr>
          <w:rFonts w:hint="default" w:ascii="Times New Roman" w:hAnsi="Times New Roman" w:eastAsia="仿宋_GB2312" w:cs="Times New Roman"/>
          <w:color w:val="auto"/>
          <w:sz w:val="32"/>
          <w:szCs w:val="32"/>
          <w:highlight w:val="none"/>
          <w:lang w:val="en-US" w:eastAsia="zh-CN"/>
        </w:rPr>
        <w:t>20225.03</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3.55</w:t>
      </w:r>
      <w:r>
        <w:rPr>
          <w:rFonts w:hint="default" w:ascii="Times New Roman" w:hAnsi="Times New Roman" w:eastAsia="仿宋_GB2312" w:cs="Times New Roman"/>
          <w:color w:val="auto"/>
          <w:sz w:val="32"/>
          <w:szCs w:val="32"/>
          <w:highlight w:val="none"/>
        </w:rPr>
        <w:t>%，其中：各项存款余额</w:t>
      </w:r>
      <w:r>
        <w:rPr>
          <w:rFonts w:hint="default" w:ascii="Times New Roman" w:hAnsi="Times New Roman" w:eastAsia="仿宋_GB2312" w:cs="Times New Roman"/>
          <w:color w:val="auto"/>
          <w:sz w:val="32"/>
          <w:szCs w:val="32"/>
          <w:highlight w:val="none"/>
          <w:lang w:val="en-US" w:eastAsia="zh-CN"/>
        </w:rPr>
        <w:t>505757.72</w:t>
      </w:r>
      <w:r>
        <w:rPr>
          <w:rFonts w:hint="default" w:ascii="Times New Roman" w:hAnsi="Times New Roman" w:eastAsia="仿宋_GB2312" w:cs="Times New Roman"/>
          <w:color w:val="auto"/>
          <w:sz w:val="32"/>
          <w:szCs w:val="32"/>
          <w:highlight w:val="none"/>
        </w:rPr>
        <w:t>万元，较年初增加</w:t>
      </w:r>
      <w:r>
        <w:rPr>
          <w:rFonts w:hint="default" w:ascii="Times New Roman" w:hAnsi="Times New Roman" w:eastAsia="仿宋_GB2312" w:cs="Times New Roman"/>
          <w:color w:val="auto"/>
          <w:sz w:val="32"/>
          <w:szCs w:val="32"/>
          <w:highlight w:val="none"/>
          <w:lang w:val="en-US" w:eastAsia="zh-CN"/>
        </w:rPr>
        <w:t>59089.87</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13.23</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3.所有者权益情况。至202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年末，本行所有者权益总额</w:t>
      </w:r>
      <w:r>
        <w:rPr>
          <w:rFonts w:hint="default" w:ascii="Times New Roman" w:hAnsi="Times New Roman" w:eastAsia="仿宋_GB2312" w:cs="Times New Roman"/>
          <w:color w:val="auto"/>
          <w:sz w:val="32"/>
          <w:szCs w:val="32"/>
          <w:highlight w:val="none"/>
          <w:lang w:val="en-US" w:eastAsia="zh-CN"/>
        </w:rPr>
        <w:t>61818.45</w:t>
      </w:r>
      <w:r>
        <w:rPr>
          <w:rFonts w:hint="default" w:ascii="Times New Roman" w:hAnsi="Times New Roman" w:eastAsia="仿宋_GB2312" w:cs="Times New Roman"/>
          <w:color w:val="auto"/>
          <w:sz w:val="32"/>
          <w:szCs w:val="32"/>
          <w:highlight w:val="none"/>
        </w:rPr>
        <w:t>万元，较年初增加</w:t>
      </w:r>
      <w:r>
        <w:rPr>
          <w:rFonts w:hint="default" w:ascii="Times New Roman" w:hAnsi="Times New Roman" w:eastAsia="仿宋_GB2312" w:cs="Times New Roman"/>
          <w:color w:val="auto"/>
          <w:sz w:val="32"/>
          <w:szCs w:val="32"/>
          <w:highlight w:val="none"/>
          <w:lang w:val="en-US" w:eastAsia="zh-CN"/>
        </w:rPr>
        <w:t>3847.08</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6.64</w:t>
      </w:r>
      <w:r>
        <w:rPr>
          <w:rFonts w:hint="default" w:ascii="Times New Roman" w:hAnsi="Times New Roman" w:eastAsia="仿宋_GB2312" w:cs="Times New Roman"/>
          <w:color w:val="auto"/>
          <w:sz w:val="32"/>
          <w:szCs w:val="32"/>
          <w:highlight w:val="none"/>
        </w:rPr>
        <w:t>%。其中股本金余额为28000万元，与上年持平。</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kern w:val="0"/>
          <w:sz w:val="32"/>
          <w:szCs w:val="32"/>
          <w:highlight w:val="none"/>
        </w:rPr>
        <w:t>财务收支情况。</w:t>
      </w:r>
      <w:r>
        <w:rPr>
          <w:rFonts w:hint="default" w:ascii="Times New Roman" w:hAnsi="Times New Roman" w:eastAsia="仿宋_GB2312" w:cs="Times New Roman"/>
          <w:color w:val="auto"/>
          <w:sz w:val="32"/>
          <w:szCs w:val="32"/>
          <w:highlight w:val="none"/>
        </w:rPr>
        <w:t>至202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年末，本行实现各项收入</w:t>
      </w:r>
      <w:r>
        <w:rPr>
          <w:rFonts w:hint="default" w:ascii="Times New Roman" w:hAnsi="Times New Roman" w:eastAsia="仿宋_GB2312" w:cs="Times New Roman"/>
          <w:color w:val="auto"/>
          <w:sz w:val="32"/>
          <w:szCs w:val="32"/>
          <w:highlight w:val="none"/>
          <w:lang w:val="en-US" w:eastAsia="zh-CN"/>
        </w:rPr>
        <w:t>36567.57</w:t>
      </w:r>
      <w:r>
        <w:rPr>
          <w:rFonts w:hint="default" w:ascii="Times New Roman" w:hAnsi="Times New Roman" w:eastAsia="仿宋_GB2312" w:cs="Times New Roman"/>
          <w:snapToGrid w:val="0"/>
          <w:color w:val="auto"/>
          <w:kern w:val="0"/>
          <w:sz w:val="32"/>
          <w:szCs w:val="32"/>
          <w:highlight w:val="none"/>
        </w:rPr>
        <w:t>元，同比增加</w:t>
      </w:r>
      <w:r>
        <w:rPr>
          <w:rFonts w:hint="default" w:ascii="Times New Roman" w:hAnsi="Times New Roman" w:eastAsia="仿宋_GB2312" w:cs="Times New Roman"/>
          <w:snapToGrid w:val="0"/>
          <w:color w:val="auto"/>
          <w:kern w:val="0"/>
          <w:sz w:val="32"/>
          <w:szCs w:val="32"/>
          <w:highlight w:val="none"/>
          <w:lang w:val="en-US" w:eastAsia="zh-CN"/>
        </w:rPr>
        <w:t>1189.12</w:t>
      </w:r>
      <w:r>
        <w:rPr>
          <w:rFonts w:hint="default" w:ascii="Times New Roman" w:hAnsi="Times New Roman" w:eastAsia="仿宋_GB2312" w:cs="Times New Roman"/>
          <w:snapToGrid w:val="0"/>
          <w:color w:val="auto"/>
          <w:kern w:val="0"/>
          <w:sz w:val="32"/>
          <w:szCs w:val="32"/>
          <w:highlight w:val="none"/>
        </w:rPr>
        <w:t>万元，增幅</w:t>
      </w:r>
      <w:r>
        <w:rPr>
          <w:rFonts w:hint="default" w:ascii="Times New Roman" w:hAnsi="Times New Roman" w:eastAsia="仿宋_GB2312" w:cs="Times New Roman"/>
          <w:snapToGrid w:val="0"/>
          <w:color w:val="auto"/>
          <w:kern w:val="0"/>
          <w:sz w:val="32"/>
          <w:szCs w:val="32"/>
          <w:highlight w:val="none"/>
          <w:lang w:val="en-US" w:eastAsia="zh-CN"/>
        </w:rPr>
        <w:t>3.36</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rPr>
        <w:t>；各项总支出</w:t>
      </w:r>
      <w:r>
        <w:rPr>
          <w:rFonts w:hint="default" w:ascii="Times New Roman" w:hAnsi="Times New Roman" w:eastAsia="仿宋_GB2312" w:cs="Times New Roman"/>
          <w:color w:val="auto"/>
          <w:sz w:val="32"/>
          <w:szCs w:val="32"/>
          <w:highlight w:val="none"/>
          <w:lang w:val="en-US" w:eastAsia="zh-CN"/>
        </w:rPr>
        <w:t>30143.07</w:t>
      </w:r>
      <w:r>
        <w:rPr>
          <w:rFonts w:hint="default" w:ascii="Times New Roman" w:hAnsi="Times New Roman" w:eastAsia="仿宋_GB2312" w:cs="Times New Roman"/>
          <w:color w:val="auto"/>
          <w:sz w:val="32"/>
          <w:szCs w:val="32"/>
          <w:highlight w:val="none"/>
        </w:rPr>
        <w:t>万元，同比增加</w:t>
      </w:r>
      <w:r>
        <w:rPr>
          <w:rFonts w:hint="default" w:ascii="Times New Roman" w:hAnsi="Times New Roman" w:eastAsia="仿宋_GB2312" w:cs="Times New Roman"/>
          <w:color w:val="auto"/>
          <w:sz w:val="32"/>
          <w:szCs w:val="32"/>
          <w:highlight w:val="none"/>
          <w:lang w:val="en-US" w:eastAsia="zh-CN"/>
        </w:rPr>
        <w:t>1058.83</w:t>
      </w:r>
      <w:r>
        <w:rPr>
          <w:rFonts w:hint="default" w:ascii="Times New Roman" w:hAnsi="Times New Roman" w:eastAsia="仿宋_GB2312" w:cs="Times New Roman"/>
          <w:color w:val="auto"/>
          <w:sz w:val="32"/>
          <w:szCs w:val="32"/>
          <w:highlight w:val="none"/>
        </w:rPr>
        <w:t>万元，增幅</w:t>
      </w:r>
      <w:r>
        <w:rPr>
          <w:rFonts w:hint="default" w:ascii="Times New Roman" w:hAnsi="Times New Roman" w:eastAsia="仿宋_GB2312" w:cs="Times New Roman"/>
          <w:color w:val="auto"/>
          <w:sz w:val="32"/>
          <w:szCs w:val="32"/>
          <w:highlight w:val="none"/>
          <w:lang w:val="en-US" w:eastAsia="zh-CN"/>
        </w:rPr>
        <w:t>3.64</w:t>
      </w:r>
      <w:r>
        <w:rPr>
          <w:rFonts w:hint="default" w:ascii="Times New Roman" w:hAnsi="Times New Roman" w:eastAsia="仿宋_GB2312" w:cs="Times New Roman"/>
          <w:color w:val="auto"/>
          <w:sz w:val="32"/>
          <w:szCs w:val="32"/>
          <w:highlight w:val="none"/>
        </w:rPr>
        <w:t>%，实现利润总额</w:t>
      </w:r>
      <w:r>
        <w:rPr>
          <w:rFonts w:hint="default" w:ascii="Times New Roman" w:hAnsi="Times New Roman" w:eastAsia="仿宋_GB2312" w:cs="Times New Roman"/>
          <w:color w:val="auto"/>
          <w:sz w:val="32"/>
          <w:szCs w:val="32"/>
          <w:highlight w:val="none"/>
          <w:lang w:val="en-US" w:eastAsia="zh-CN"/>
        </w:rPr>
        <w:t>6424.50</w:t>
      </w:r>
      <w:r>
        <w:rPr>
          <w:rFonts w:hint="default" w:ascii="Times New Roman" w:hAnsi="Times New Roman" w:eastAsia="仿宋_GB2312" w:cs="Times New Roman"/>
          <w:color w:val="auto"/>
          <w:sz w:val="32"/>
          <w:szCs w:val="32"/>
          <w:highlight w:val="none"/>
        </w:rPr>
        <w:t>万元，按规定计提企业所得税</w:t>
      </w:r>
      <w:r>
        <w:rPr>
          <w:rFonts w:hint="default" w:ascii="Times New Roman" w:hAnsi="Times New Roman" w:eastAsia="仿宋_GB2312" w:cs="Times New Roman"/>
          <w:color w:val="auto"/>
          <w:sz w:val="32"/>
          <w:szCs w:val="32"/>
          <w:highlight w:val="none"/>
          <w:lang w:val="en-US" w:eastAsia="zh-CN"/>
        </w:rPr>
        <w:t>2053.49</w:t>
      </w:r>
      <w:r>
        <w:rPr>
          <w:rFonts w:hint="default" w:ascii="Times New Roman" w:hAnsi="Times New Roman" w:eastAsia="仿宋_GB2312" w:cs="Times New Roman"/>
          <w:color w:val="auto"/>
          <w:sz w:val="32"/>
          <w:szCs w:val="32"/>
          <w:highlight w:val="none"/>
        </w:rPr>
        <w:t>万元，净利润</w:t>
      </w:r>
      <w:r>
        <w:rPr>
          <w:rFonts w:hint="default" w:ascii="Times New Roman" w:hAnsi="Times New Roman" w:eastAsia="仿宋_GB2312" w:cs="Times New Roman"/>
          <w:color w:val="auto"/>
          <w:sz w:val="32"/>
          <w:szCs w:val="32"/>
          <w:highlight w:val="none"/>
          <w:lang w:val="en-US" w:eastAsia="zh-CN"/>
        </w:rPr>
        <w:t>4371.01</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eastAsia" w:ascii="楷体_GB2312" w:hAnsi="楷体_GB2312" w:eastAsia="楷体_GB2312" w:cs="楷体_GB2312"/>
          <w:color w:val="auto"/>
          <w:kern w:val="0"/>
          <w:sz w:val="32"/>
          <w:szCs w:val="32"/>
          <w:highlight w:val="yellow"/>
          <w:lang w:eastAsia="zh-CN"/>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二</w:t>
      </w:r>
      <w:r>
        <w:rPr>
          <w:rFonts w:hint="eastAsia" w:ascii="楷体_GB2312" w:hAnsi="楷体_GB2312" w:eastAsia="楷体_GB2312" w:cs="楷体_GB2312"/>
          <w:color w:val="auto"/>
          <w:kern w:val="0"/>
          <w:sz w:val="32"/>
          <w:szCs w:val="32"/>
        </w:rPr>
        <w:t>）主要产品或服务市场占有情况</w:t>
      </w:r>
    </w:p>
    <w:p>
      <w:pPr>
        <w:keepNext w:val="0"/>
        <w:keepLines w:val="0"/>
        <w:pageBreakBefore w:val="0"/>
        <w:widowControl/>
        <w:shd w:val="clear" w:color="auto" w:fill="FFFFFF"/>
        <w:kinsoku/>
        <w:overflowPunct/>
        <w:topLinePunct w:val="0"/>
        <w:bidi w:val="0"/>
        <w:spacing w:line="560" w:lineRule="exact"/>
        <w:ind w:left="0" w:leftChars="0" w:right="0" w:firstLine="641"/>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根据贵定县人民银行数据统计，报告期末本行存贷</w:t>
      </w:r>
      <w:r>
        <w:rPr>
          <w:rFonts w:hint="default" w:ascii="Times New Roman" w:hAnsi="Times New Roman" w:eastAsia="仿宋_GB2312" w:cs="Times New Roman"/>
          <w:kern w:val="0"/>
          <w:sz w:val="32"/>
          <w:szCs w:val="32"/>
        </w:rPr>
        <w:t>款总额在本地金融机构中的市场份额与排名如下：</w:t>
      </w:r>
    </w:p>
    <w:tbl>
      <w:tblPr>
        <w:tblStyle w:val="6"/>
        <w:tblW w:w="0" w:type="auto"/>
        <w:tblInd w:w="12" w:type="dxa"/>
        <w:tblLayout w:type="autofit"/>
        <w:tblCellMar>
          <w:top w:w="0" w:type="dxa"/>
          <w:left w:w="0" w:type="dxa"/>
          <w:bottom w:w="0" w:type="dxa"/>
          <w:right w:w="0" w:type="dxa"/>
        </w:tblCellMar>
      </w:tblPr>
      <w:tblGrid>
        <w:gridCol w:w="2685"/>
        <w:gridCol w:w="4230"/>
        <w:gridCol w:w="1887"/>
      </w:tblGrid>
      <w:tr>
        <w:tblPrEx>
          <w:tblCellMar>
            <w:top w:w="0" w:type="dxa"/>
            <w:left w:w="0" w:type="dxa"/>
            <w:bottom w:w="0" w:type="dxa"/>
            <w:right w:w="0" w:type="dxa"/>
          </w:tblCellMar>
        </w:tblPrEx>
        <w:tc>
          <w:tcPr>
            <w:tcW w:w="268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项目</w:t>
            </w:r>
          </w:p>
        </w:tc>
        <w:tc>
          <w:tcPr>
            <w:tcW w:w="42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市场份额</w:t>
            </w:r>
          </w:p>
        </w:tc>
        <w:tc>
          <w:tcPr>
            <w:tcW w:w="1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排名</w:t>
            </w:r>
          </w:p>
        </w:tc>
      </w:tr>
      <w:tr>
        <w:tblPrEx>
          <w:tblCellMar>
            <w:top w:w="0" w:type="dxa"/>
            <w:left w:w="0" w:type="dxa"/>
            <w:bottom w:w="0" w:type="dxa"/>
            <w:right w:w="0" w:type="dxa"/>
          </w:tblCellMar>
        </w:tblPrEx>
        <w:tc>
          <w:tcPr>
            <w:tcW w:w="268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存款总额</w:t>
            </w:r>
          </w:p>
        </w:tc>
        <w:tc>
          <w:tcPr>
            <w:tcW w:w="42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47.74</w:t>
            </w:r>
            <w:r>
              <w:rPr>
                <w:rFonts w:hint="default" w:ascii="Times New Roman" w:hAnsi="Times New Roman" w:eastAsia="仿宋_GB2312" w:cs="Times New Roman"/>
                <w:color w:val="auto"/>
                <w:kern w:val="0"/>
                <w:sz w:val="28"/>
                <w:szCs w:val="28"/>
                <w:highlight w:val="none"/>
              </w:rPr>
              <w:t>%</w:t>
            </w:r>
          </w:p>
        </w:tc>
        <w:tc>
          <w:tcPr>
            <w:tcW w:w="1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第一</w:t>
            </w:r>
          </w:p>
        </w:tc>
      </w:tr>
      <w:tr>
        <w:tblPrEx>
          <w:tblCellMar>
            <w:top w:w="0" w:type="dxa"/>
            <w:left w:w="0" w:type="dxa"/>
            <w:bottom w:w="0" w:type="dxa"/>
            <w:right w:w="0" w:type="dxa"/>
          </w:tblCellMar>
        </w:tblPrEx>
        <w:tc>
          <w:tcPr>
            <w:tcW w:w="268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贷款总额</w:t>
            </w:r>
          </w:p>
        </w:tc>
        <w:tc>
          <w:tcPr>
            <w:tcW w:w="42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34.93</w:t>
            </w:r>
            <w:r>
              <w:rPr>
                <w:rFonts w:hint="default" w:ascii="Times New Roman" w:hAnsi="Times New Roman" w:eastAsia="仿宋_GB2312" w:cs="Times New Roman"/>
                <w:color w:val="auto"/>
                <w:kern w:val="0"/>
                <w:sz w:val="28"/>
                <w:szCs w:val="28"/>
                <w:highlight w:val="none"/>
              </w:rPr>
              <w:t>%</w:t>
            </w:r>
          </w:p>
        </w:tc>
        <w:tc>
          <w:tcPr>
            <w:tcW w:w="1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第一</w:t>
            </w:r>
          </w:p>
        </w:tc>
      </w:tr>
    </w:tbl>
    <w:p>
      <w:pPr>
        <w:keepNext w:val="0"/>
        <w:keepLines w:val="0"/>
        <w:pageBreakBefore w:val="0"/>
        <w:widowControl/>
        <w:shd w:val="clear" w:color="auto" w:fill="FFFFFF"/>
        <w:kinsoku/>
        <w:overflowPunct/>
        <w:topLinePunct w:val="0"/>
        <w:bidi w:val="0"/>
        <w:spacing w:line="560" w:lineRule="exact"/>
        <w:ind w:right="0" w:firstLine="640" w:firstLineChars="200"/>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rPr>
        <w:t>）本行主要业务情况</w:t>
      </w:r>
    </w:p>
    <w:p>
      <w:pPr>
        <w:keepNext w:val="0"/>
        <w:keepLines w:val="0"/>
        <w:pageBreakBefore w:val="0"/>
        <w:widowControl/>
        <w:shd w:val="clear" w:color="auto" w:fill="FFFFFF"/>
        <w:kinsoku/>
        <w:overflowPunct/>
        <w:topLinePunct w:val="0"/>
        <w:bidi w:val="0"/>
        <w:spacing w:line="560" w:lineRule="exact"/>
        <w:ind w:right="0"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1.贷款主要行业分布情况</w:t>
      </w:r>
    </w:p>
    <w:p>
      <w:pPr>
        <w:keepNext w:val="0"/>
        <w:keepLines w:val="0"/>
        <w:pageBreakBefore w:val="0"/>
        <w:widowControl/>
        <w:shd w:val="clear" w:color="auto" w:fill="FFFFFF"/>
        <w:kinsoku/>
        <w:overflowPunct/>
        <w:topLinePunct w:val="0"/>
        <w:bidi w:val="0"/>
        <w:spacing w:line="560" w:lineRule="exact"/>
        <w:ind w:left="0" w:leftChars="0" w:right="0" w:firstLine="616"/>
        <w:jc w:val="righ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单位：人民币万元、％</w:t>
      </w:r>
    </w:p>
    <w:tbl>
      <w:tblPr>
        <w:tblStyle w:val="6"/>
        <w:tblW w:w="8829" w:type="dxa"/>
        <w:tblInd w:w="108" w:type="dxa"/>
        <w:tblLayout w:type="fixed"/>
        <w:tblCellMar>
          <w:top w:w="0" w:type="dxa"/>
          <w:left w:w="108" w:type="dxa"/>
          <w:bottom w:w="0" w:type="dxa"/>
          <w:right w:w="108" w:type="dxa"/>
        </w:tblCellMar>
      </w:tblPr>
      <w:tblGrid>
        <w:gridCol w:w="3420"/>
        <w:gridCol w:w="2700"/>
        <w:gridCol w:w="2709"/>
      </w:tblGrid>
      <w:tr>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行业种类</w:t>
            </w:r>
          </w:p>
        </w:tc>
        <w:tc>
          <w:tcPr>
            <w:tcW w:w="27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202</w:t>
            </w:r>
            <w:r>
              <w:rPr>
                <w:rFonts w:hint="eastAsia" w:eastAsia="仿宋_GB2312" w:cs="Times New Roman"/>
                <w:b/>
                <w:bCs/>
                <w:color w:val="auto"/>
                <w:kern w:val="0"/>
                <w:sz w:val="28"/>
                <w:szCs w:val="28"/>
                <w:highlight w:val="none"/>
                <w:lang w:val="en-US" w:eastAsia="zh-CN"/>
              </w:rPr>
              <w:t>3</w:t>
            </w:r>
            <w:r>
              <w:rPr>
                <w:rFonts w:hint="default" w:ascii="Times New Roman" w:hAnsi="Times New Roman" w:eastAsia="仿宋_GB2312" w:cs="Times New Roman"/>
                <w:b/>
                <w:bCs/>
                <w:color w:val="auto"/>
                <w:kern w:val="0"/>
                <w:sz w:val="28"/>
                <w:szCs w:val="28"/>
                <w:highlight w:val="none"/>
              </w:rPr>
              <w:t>年末余额</w:t>
            </w:r>
          </w:p>
        </w:tc>
        <w:tc>
          <w:tcPr>
            <w:tcW w:w="27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占贷款总额比例（%）</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农、林、牧、渔业</w:t>
            </w:r>
          </w:p>
        </w:tc>
        <w:tc>
          <w:tcPr>
            <w:tcW w:w="2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151521.37</w:t>
            </w:r>
          </w:p>
        </w:tc>
        <w:tc>
          <w:tcPr>
            <w:tcW w:w="27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35.</w:t>
            </w:r>
            <w:r>
              <w:rPr>
                <w:rFonts w:hint="default" w:ascii="Times New Roman" w:hAnsi="Times New Roman" w:eastAsia="仿宋_GB2312" w:cs="Times New Roman"/>
                <w:color w:val="auto"/>
                <w:sz w:val="28"/>
                <w:szCs w:val="28"/>
                <w:highlight w:val="none"/>
                <w:lang w:val="en-US" w:eastAsia="zh-CN"/>
              </w:rPr>
              <w:t>06</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批发和零售业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48911.79</w:t>
            </w:r>
          </w:p>
        </w:tc>
        <w:tc>
          <w:tcPr>
            <w:tcW w:w="2709"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11.</w:t>
            </w:r>
            <w:r>
              <w:rPr>
                <w:rFonts w:hint="default" w:ascii="Times New Roman" w:hAnsi="Times New Roman" w:eastAsia="仿宋_GB2312" w:cs="Times New Roman"/>
                <w:color w:val="auto"/>
                <w:sz w:val="28"/>
                <w:szCs w:val="28"/>
                <w:highlight w:val="none"/>
                <w:lang w:val="en-US" w:eastAsia="zh-CN"/>
              </w:rPr>
              <w:t>32</w:t>
            </w:r>
          </w:p>
        </w:tc>
      </w:tr>
      <w:tr>
        <w:tblPrEx>
          <w:tblCellMar>
            <w:top w:w="0" w:type="dxa"/>
            <w:left w:w="108" w:type="dxa"/>
            <w:bottom w:w="0" w:type="dxa"/>
            <w:right w:w="108" w:type="dxa"/>
          </w:tblCellMar>
        </w:tblPrEx>
        <w:trPr>
          <w:trHeight w:val="352"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制造业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22965.16</w:t>
            </w:r>
          </w:p>
        </w:tc>
        <w:tc>
          <w:tcPr>
            <w:tcW w:w="2709"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val="en-US" w:eastAsia="zh-CN"/>
              </w:rPr>
              <w:t>32</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建筑业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21881.57</w:t>
            </w:r>
          </w:p>
        </w:tc>
        <w:tc>
          <w:tcPr>
            <w:tcW w:w="2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w:t>
            </w:r>
            <w:r>
              <w:rPr>
                <w:rFonts w:hint="default" w:ascii="Times New Roman" w:hAnsi="Times New Roman" w:eastAsia="仿宋_GB2312" w:cs="Times New Roman"/>
                <w:color w:val="auto"/>
                <w:kern w:val="0"/>
                <w:sz w:val="28"/>
                <w:szCs w:val="28"/>
                <w:highlight w:val="none"/>
                <w:lang w:val="en-US" w:eastAsia="zh-CN"/>
              </w:rPr>
              <w:t>06</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住宿及餐饮业</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16149.83</w:t>
            </w:r>
          </w:p>
        </w:tc>
        <w:tc>
          <w:tcPr>
            <w:tcW w:w="2709"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74</w:t>
            </w:r>
          </w:p>
        </w:tc>
      </w:tr>
      <w:tr>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2700"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261429.70</w:t>
            </w:r>
          </w:p>
        </w:tc>
        <w:tc>
          <w:tcPr>
            <w:tcW w:w="270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60.49</w:t>
            </w:r>
          </w:p>
        </w:tc>
      </w:tr>
    </w:tbl>
    <w:p>
      <w:pPr>
        <w:keepNext w:val="0"/>
        <w:keepLines w:val="0"/>
        <w:pageBreakBefore w:val="0"/>
        <w:kinsoku/>
        <w:overflowPunct/>
        <w:topLinePunct w:val="0"/>
        <w:bidi w:val="0"/>
        <w:snapToGrid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kern w:val="0"/>
          <w:sz w:val="32"/>
          <w:szCs w:val="32"/>
          <w:highlight w:val="none"/>
        </w:rPr>
        <w:t>贷款五级分类情况</w:t>
      </w:r>
    </w:p>
    <w:p>
      <w:pPr>
        <w:keepNext w:val="0"/>
        <w:keepLines w:val="0"/>
        <w:pageBreakBefore w:val="0"/>
        <w:widowControl/>
        <w:shd w:val="clear" w:color="auto" w:fill="FFFFFF"/>
        <w:kinsoku/>
        <w:overflowPunct/>
        <w:topLinePunct w:val="0"/>
        <w:bidi w:val="0"/>
        <w:spacing w:line="560" w:lineRule="exact"/>
        <w:ind w:left="0" w:leftChars="0" w:right="0" w:firstLine="616"/>
        <w:jc w:val="righ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单位：人民币万元、％</w:t>
      </w:r>
    </w:p>
    <w:tbl>
      <w:tblPr>
        <w:tblStyle w:val="6"/>
        <w:tblW w:w="8814" w:type="dxa"/>
        <w:tblInd w:w="108" w:type="dxa"/>
        <w:tblLayout w:type="fixed"/>
        <w:tblCellMar>
          <w:top w:w="0" w:type="dxa"/>
          <w:left w:w="108" w:type="dxa"/>
          <w:bottom w:w="0" w:type="dxa"/>
          <w:right w:w="108" w:type="dxa"/>
        </w:tblCellMar>
      </w:tblPr>
      <w:tblGrid>
        <w:gridCol w:w="2340"/>
        <w:gridCol w:w="3600"/>
        <w:gridCol w:w="2874"/>
      </w:tblGrid>
      <w:tr>
        <w:tblPrEx>
          <w:tblCellMar>
            <w:top w:w="0" w:type="dxa"/>
            <w:left w:w="108" w:type="dxa"/>
            <w:bottom w:w="0" w:type="dxa"/>
            <w:right w:w="108" w:type="dxa"/>
          </w:tblCellMar>
        </w:tblPrEx>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202</w:t>
            </w:r>
            <w:r>
              <w:rPr>
                <w:rFonts w:hint="eastAsia"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rPr>
              <w:t>年末余额</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占比（%）</w:t>
            </w:r>
          </w:p>
        </w:tc>
      </w:tr>
      <w:tr>
        <w:tblPrEx>
          <w:tblCellMar>
            <w:top w:w="0" w:type="dxa"/>
            <w:left w:w="108" w:type="dxa"/>
            <w:bottom w:w="0" w:type="dxa"/>
            <w:right w:w="108" w:type="dxa"/>
          </w:tblCellMar>
        </w:tblPrEx>
        <w:trPr>
          <w:trHeight w:val="285" w:hRule="atLeast"/>
        </w:trPr>
        <w:tc>
          <w:tcPr>
            <w:tcW w:w="234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正常</w:t>
            </w:r>
          </w:p>
        </w:tc>
        <w:tc>
          <w:tcPr>
            <w:tcW w:w="3600" w:type="dxa"/>
            <w:tcBorders>
              <w:top w:val="nil"/>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387507.88</w:t>
            </w:r>
          </w:p>
        </w:tc>
        <w:tc>
          <w:tcPr>
            <w:tcW w:w="2874"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89.65</w:t>
            </w:r>
          </w:p>
        </w:tc>
      </w:tr>
      <w:tr>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关注</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38118.96</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8.82</w:t>
            </w:r>
          </w:p>
        </w:tc>
      </w:tr>
      <w:tr>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次级</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9053.18</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2.09</w:t>
            </w:r>
          </w:p>
        </w:tc>
      </w:tr>
      <w:tr>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可疑</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5604.44</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w:t>
            </w:r>
            <w:r>
              <w:rPr>
                <w:rFonts w:hint="default" w:ascii="Times New Roman" w:hAnsi="Times New Roman" w:eastAsia="仿宋_GB2312" w:cs="Times New Roman"/>
                <w:color w:val="auto"/>
                <w:kern w:val="0"/>
                <w:sz w:val="28"/>
                <w:szCs w:val="28"/>
                <w:highlight w:val="none"/>
                <w:lang w:val="en-US" w:eastAsia="zh-CN"/>
              </w:rPr>
              <w:t>30</w:t>
            </w:r>
          </w:p>
        </w:tc>
      </w:tr>
      <w:tr>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损失</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0.5</w:t>
            </w:r>
            <w:r>
              <w:rPr>
                <w:rFonts w:hint="default" w:ascii="Times New Roman" w:hAnsi="Times New Roman" w:eastAsia="仿宋_GB2312" w:cs="Times New Roman"/>
                <w:color w:val="auto"/>
                <w:sz w:val="28"/>
                <w:szCs w:val="28"/>
                <w:highlight w:val="none"/>
                <w:lang w:val="en-US" w:eastAsia="zh-CN"/>
              </w:rPr>
              <w:t>2</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0.00</w:t>
            </w:r>
          </w:p>
        </w:tc>
      </w:tr>
      <w:tr>
        <w:trPr>
          <w:trHeight w:val="285" w:hRule="atLeast"/>
        </w:trPr>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贷款合计</w:t>
            </w:r>
          </w:p>
        </w:tc>
        <w:tc>
          <w:tcPr>
            <w:tcW w:w="3600" w:type="dxa"/>
            <w:tcBorders>
              <w:top w:val="single" w:color="auto" w:sz="4" w:space="0"/>
              <w:left w:val="nil"/>
              <w:bottom w:val="single" w:color="auto" w:sz="4" w:space="0"/>
              <w:right w:val="single" w:color="auto" w:sz="4" w:space="0"/>
            </w:tcBorders>
            <w:noWrap/>
            <w:vAlign w:val="center"/>
          </w:tcPr>
          <w:p>
            <w:pPr>
              <w:keepNext w:val="0"/>
              <w:keepLines w:val="0"/>
              <w:pageBreakBefore w:val="0"/>
              <w:kinsoku/>
              <w:overflowPunct/>
              <w:topLinePunct w:val="0"/>
              <w:bidi w:val="0"/>
              <w:spacing w:line="560" w:lineRule="exact"/>
              <w:ind w:left="0" w:leftChars="0" w:right="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432226.79</w:t>
            </w:r>
          </w:p>
        </w:tc>
        <w:tc>
          <w:tcPr>
            <w:tcW w:w="287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100</w:t>
            </w:r>
          </w:p>
        </w:tc>
      </w:tr>
    </w:tbl>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本行始终坚持质量、效益与速度并重的原则，积极拓展贷款市场，有效防范信贷风险，在信贷投放实行指标管理的情况下，不断调优信贷结构，强化信贷基础管理，加大不良</w:t>
      </w:r>
      <w:r>
        <w:rPr>
          <w:rFonts w:hint="default" w:ascii="Times New Roman" w:hAnsi="Times New Roman" w:eastAsia="仿宋_GB2312" w:cs="Times New Roman"/>
          <w:color w:val="auto"/>
          <w:sz w:val="32"/>
          <w:szCs w:val="32"/>
          <w:highlight w:val="none"/>
        </w:rPr>
        <w:t>贷款清收处置力度，报告期末五级分类</w:t>
      </w:r>
      <w:r>
        <w:rPr>
          <w:rFonts w:hint="default" w:ascii="Times New Roman" w:hAnsi="Times New Roman" w:eastAsia="仿宋_GB2312" w:cs="Times New Roman"/>
          <w:color w:val="auto"/>
          <w:sz w:val="32"/>
          <w:szCs w:val="32"/>
          <w:highlight w:val="none"/>
          <w:lang w:val="en-US" w:eastAsia="zh-CN"/>
        </w:rPr>
        <w:t>14658.14</w:t>
      </w:r>
      <w:r>
        <w:rPr>
          <w:rFonts w:hint="default" w:ascii="Times New Roman" w:hAnsi="Times New Roman" w:eastAsia="仿宋_GB2312" w:cs="Times New Roman"/>
          <w:color w:val="auto"/>
          <w:sz w:val="32"/>
          <w:szCs w:val="32"/>
          <w:highlight w:val="none"/>
        </w:rPr>
        <w:t>万元,较年初下降</w:t>
      </w:r>
      <w:r>
        <w:rPr>
          <w:rFonts w:hint="default" w:ascii="Times New Roman" w:hAnsi="Times New Roman" w:eastAsia="仿宋_GB2312" w:cs="Times New Roman"/>
          <w:color w:val="auto"/>
          <w:sz w:val="32"/>
          <w:szCs w:val="32"/>
          <w:highlight w:val="none"/>
          <w:lang w:val="en-US" w:eastAsia="zh-CN"/>
        </w:rPr>
        <w:t>1378.50</w:t>
      </w:r>
      <w:r>
        <w:rPr>
          <w:rFonts w:hint="default" w:ascii="Times New Roman" w:hAnsi="Times New Roman" w:eastAsia="仿宋_GB2312" w:cs="Times New Roman"/>
          <w:color w:val="auto"/>
          <w:sz w:val="32"/>
          <w:szCs w:val="32"/>
          <w:highlight w:val="none"/>
        </w:rPr>
        <w:t>万元。</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3.风险准备情况</w:t>
      </w:r>
    </w:p>
    <w:p>
      <w:pPr>
        <w:keepNext w:val="0"/>
        <w:keepLines w:val="0"/>
        <w:pageBreakBefore w:val="0"/>
        <w:widowControl/>
        <w:shd w:val="clear" w:color="auto" w:fill="FFFFFF"/>
        <w:kinsoku/>
        <w:overflowPunct/>
        <w:topLinePunct w:val="0"/>
        <w:bidi w:val="0"/>
        <w:spacing w:line="560" w:lineRule="exact"/>
        <w:ind w:left="0" w:leftChars="0" w:right="0" w:firstLine="560" w:firstLineChars="200"/>
        <w:jc w:val="right"/>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单位：人民币万元</w:t>
      </w:r>
    </w:p>
    <w:tbl>
      <w:tblPr>
        <w:tblStyle w:val="6"/>
        <w:tblW w:w="4842" w:type="pct"/>
        <w:tblInd w:w="132" w:type="dxa"/>
        <w:tblLayout w:type="autofit"/>
        <w:tblCellMar>
          <w:top w:w="0" w:type="dxa"/>
          <w:left w:w="108" w:type="dxa"/>
          <w:bottom w:w="0" w:type="dxa"/>
          <w:right w:w="108" w:type="dxa"/>
        </w:tblCellMar>
      </w:tblPr>
      <w:tblGrid>
        <w:gridCol w:w="4155"/>
        <w:gridCol w:w="2505"/>
        <w:gridCol w:w="2115"/>
      </w:tblGrid>
      <w:tr>
        <w:tblPrEx>
          <w:tblCellMar>
            <w:top w:w="0" w:type="dxa"/>
            <w:left w:w="108" w:type="dxa"/>
            <w:bottom w:w="0" w:type="dxa"/>
            <w:right w:w="108" w:type="dxa"/>
          </w:tblCellMar>
        </w:tblPrEx>
        <w:trPr>
          <w:trHeight w:val="450" w:hRule="atLeast"/>
        </w:trPr>
        <w:tc>
          <w:tcPr>
            <w:tcW w:w="2367" w:type="pct"/>
            <w:tcBorders>
              <w:top w:val="single" w:color="auto" w:sz="8" w:space="0"/>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项目</w:t>
            </w:r>
          </w:p>
        </w:tc>
        <w:tc>
          <w:tcPr>
            <w:tcW w:w="1427" w:type="pct"/>
            <w:tcBorders>
              <w:top w:val="single" w:color="auto" w:sz="8" w:space="0"/>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年初数</w:t>
            </w:r>
          </w:p>
        </w:tc>
        <w:tc>
          <w:tcPr>
            <w:tcW w:w="1205" w:type="pct"/>
            <w:tcBorders>
              <w:top w:val="single" w:color="auto" w:sz="8" w:space="0"/>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报告期末</w:t>
            </w:r>
          </w:p>
        </w:tc>
      </w:tr>
      <w:tr>
        <w:tblPrEx>
          <w:tblCellMar>
            <w:top w:w="0" w:type="dxa"/>
            <w:left w:w="108" w:type="dxa"/>
            <w:bottom w:w="0" w:type="dxa"/>
            <w:right w:w="108" w:type="dxa"/>
          </w:tblCellMar>
        </w:tblPrEx>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信贷资产损失准备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27500.88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25805.45</w:t>
            </w:r>
          </w:p>
        </w:tc>
      </w:tr>
      <w:tr>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坏账准备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165.72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165.72 </w:t>
            </w:r>
          </w:p>
        </w:tc>
      </w:tr>
      <w:tr>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抵债资产减值准备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370.20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370.20 </w:t>
            </w:r>
          </w:p>
        </w:tc>
      </w:tr>
      <w:tr>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长期股权投资减值准备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0.00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0.00 </w:t>
            </w:r>
          </w:p>
        </w:tc>
      </w:tr>
      <w:tr>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固定资产减值准备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201.46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201.46 </w:t>
            </w:r>
          </w:p>
        </w:tc>
      </w:tr>
      <w:tr>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在建工程减值准备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13.75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13.75 </w:t>
            </w:r>
          </w:p>
        </w:tc>
      </w:tr>
      <w:tr>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无形资产减值准备</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12.79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12.79 </w:t>
            </w:r>
          </w:p>
        </w:tc>
      </w:tr>
      <w:tr>
        <w:trPr>
          <w:trHeight w:val="450" w:hRule="atLeast"/>
        </w:trPr>
        <w:tc>
          <w:tcPr>
            <w:tcW w:w="2367" w:type="pct"/>
            <w:tcBorders>
              <w:top w:val="nil"/>
              <w:left w:val="single" w:color="auto" w:sz="8" w:space="0"/>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合计</w:t>
            </w:r>
          </w:p>
        </w:tc>
        <w:tc>
          <w:tcPr>
            <w:tcW w:w="1427"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27709.52 </w:t>
            </w:r>
          </w:p>
        </w:tc>
        <w:tc>
          <w:tcPr>
            <w:tcW w:w="1205" w:type="pct"/>
            <w:tcBorders>
              <w:top w:val="nil"/>
              <w:left w:val="nil"/>
              <w:bottom w:val="single" w:color="auto" w:sz="8" w:space="0"/>
              <w:right w:val="single" w:color="auto" w:sz="8" w:space="0"/>
            </w:tcBorders>
            <w:shd w:val="clear" w:color="000000" w:fill="FFFFFF"/>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 xml:space="preserve">28264.80 </w:t>
            </w:r>
          </w:p>
        </w:tc>
      </w:tr>
    </w:tbl>
    <w:p>
      <w:pPr>
        <w:keepNext w:val="0"/>
        <w:keepLines w:val="0"/>
        <w:pageBreakBefore w:val="0"/>
        <w:widowControl/>
        <w:shd w:val="clear" w:color="auto" w:fill="FFFFFF"/>
        <w:kinsoku/>
        <w:overflowPunct/>
        <w:topLinePunct w:val="0"/>
        <w:bidi w:val="0"/>
        <w:spacing w:line="560" w:lineRule="exact"/>
        <w:ind w:left="0" w:leftChars="0" w:right="0"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4.主要监管指标情况</w:t>
      </w:r>
    </w:p>
    <w:tbl>
      <w:tblPr>
        <w:tblStyle w:val="6"/>
        <w:tblW w:w="4849" w:type="pct"/>
        <w:tblInd w:w="132" w:type="dxa"/>
        <w:tblLayout w:type="autofit"/>
        <w:tblCellMar>
          <w:top w:w="0" w:type="dxa"/>
          <w:left w:w="108" w:type="dxa"/>
          <w:bottom w:w="0" w:type="dxa"/>
          <w:right w:w="108" w:type="dxa"/>
        </w:tblCellMar>
      </w:tblPr>
      <w:tblGrid>
        <w:gridCol w:w="4140"/>
        <w:gridCol w:w="2711"/>
        <w:gridCol w:w="1936"/>
      </w:tblGrid>
      <w:tr>
        <w:tblPrEx>
          <w:tblCellMar>
            <w:top w:w="0" w:type="dxa"/>
            <w:left w:w="108" w:type="dxa"/>
            <w:bottom w:w="0" w:type="dxa"/>
            <w:right w:w="108" w:type="dxa"/>
          </w:tblCellMar>
        </w:tblPrEx>
        <w:trPr>
          <w:trHeight w:val="285" w:hRule="atLeast"/>
        </w:trPr>
        <w:tc>
          <w:tcPr>
            <w:tcW w:w="2355" w:type="pct"/>
            <w:tcBorders>
              <w:top w:val="single" w:color="000000" w:sz="4" w:space="0"/>
              <w:left w:val="single" w:color="000000" w:sz="4" w:space="0"/>
              <w:bottom w:val="single" w:color="auto"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主要核心监管指标</w:t>
            </w:r>
          </w:p>
        </w:tc>
        <w:tc>
          <w:tcPr>
            <w:tcW w:w="1542" w:type="pct"/>
            <w:tcBorders>
              <w:top w:val="single" w:color="000000" w:sz="4" w:space="0"/>
              <w:left w:val="nil"/>
              <w:bottom w:val="single" w:color="auto"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年末实际值</w:t>
            </w:r>
          </w:p>
        </w:tc>
        <w:tc>
          <w:tcPr>
            <w:tcW w:w="1101" w:type="pct"/>
            <w:tcBorders>
              <w:top w:val="single" w:color="000000" w:sz="4" w:space="0"/>
              <w:left w:val="nil"/>
              <w:bottom w:val="single" w:color="auto"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b/>
                <w:bCs/>
                <w:color w:val="auto"/>
                <w:kern w:val="0"/>
                <w:sz w:val="28"/>
                <w:szCs w:val="28"/>
                <w:highlight w:val="none"/>
              </w:rPr>
            </w:pPr>
            <w:r>
              <w:rPr>
                <w:rFonts w:hint="default" w:ascii="Times New Roman" w:hAnsi="Times New Roman" w:eastAsia="仿宋_GB2312" w:cs="Times New Roman"/>
                <w:b/>
                <w:bCs/>
                <w:color w:val="auto"/>
                <w:kern w:val="0"/>
                <w:sz w:val="28"/>
                <w:szCs w:val="28"/>
                <w:highlight w:val="none"/>
              </w:rPr>
              <w:t>监管标准</w:t>
            </w:r>
          </w:p>
        </w:tc>
      </w:tr>
      <w:tr>
        <w:tblPrEx>
          <w:tblCellMar>
            <w:top w:w="0" w:type="dxa"/>
            <w:left w:w="108" w:type="dxa"/>
            <w:bottom w:w="0" w:type="dxa"/>
            <w:right w:w="108" w:type="dxa"/>
          </w:tblCellMar>
        </w:tblPrEx>
        <w:trPr>
          <w:trHeight w:val="285" w:hRule="atLeast"/>
        </w:trPr>
        <w:tc>
          <w:tcPr>
            <w:tcW w:w="2355" w:type="pct"/>
            <w:tcBorders>
              <w:top w:val="single" w:color="auto" w:sz="4" w:space="0"/>
              <w:left w:val="single" w:color="auto" w:sz="4" w:space="0"/>
              <w:bottom w:val="single" w:color="auto"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流动性比例</w:t>
            </w:r>
          </w:p>
        </w:tc>
        <w:tc>
          <w:tcPr>
            <w:tcW w:w="1542" w:type="pct"/>
            <w:tcBorders>
              <w:top w:val="single" w:color="auto" w:sz="4" w:space="0"/>
              <w:left w:val="nil"/>
              <w:bottom w:val="single" w:color="auto"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47.97</w:t>
            </w:r>
            <w:r>
              <w:rPr>
                <w:rFonts w:hint="default" w:ascii="Times New Roman" w:hAnsi="Times New Roman" w:eastAsia="仿宋_GB2312" w:cs="Times New Roman"/>
                <w:color w:val="auto"/>
                <w:kern w:val="0"/>
                <w:sz w:val="28"/>
                <w:szCs w:val="28"/>
                <w:highlight w:val="none"/>
              </w:rPr>
              <w:t>%</w:t>
            </w:r>
          </w:p>
        </w:tc>
        <w:tc>
          <w:tcPr>
            <w:tcW w:w="1101" w:type="pct"/>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≧25%</w:t>
            </w:r>
          </w:p>
        </w:tc>
      </w:tr>
      <w:tr>
        <w:trPr>
          <w:trHeight w:val="285" w:hRule="atLeast"/>
        </w:trPr>
        <w:tc>
          <w:tcPr>
            <w:tcW w:w="2355" w:type="pct"/>
            <w:tcBorders>
              <w:top w:val="single" w:color="auto" w:sz="4" w:space="0"/>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存贷比</w:t>
            </w:r>
          </w:p>
        </w:tc>
        <w:tc>
          <w:tcPr>
            <w:tcW w:w="1542" w:type="pct"/>
            <w:tcBorders>
              <w:top w:val="single" w:color="auto" w:sz="4" w:space="0"/>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72.69</w:t>
            </w:r>
            <w:r>
              <w:rPr>
                <w:rFonts w:hint="default" w:ascii="Times New Roman" w:hAnsi="Times New Roman" w:eastAsia="仿宋_GB2312" w:cs="Times New Roman"/>
                <w:color w:val="auto"/>
                <w:kern w:val="0"/>
                <w:sz w:val="28"/>
                <w:szCs w:val="28"/>
                <w:highlight w:val="none"/>
              </w:rPr>
              <w:t>%</w:t>
            </w:r>
          </w:p>
        </w:tc>
        <w:tc>
          <w:tcPr>
            <w:tcW w:w="1101" w:type="pct"/>
            <w:tcBorders>
              <w:top w:val="single" w:color="auto" w:sz="4" w:space="0"/>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≦75%</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不良贷款率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3.</w:t>
            </w:r>
            <w:r>
              <w:rPr>
                <w:rFonts w:hint="default" w:ascii="Times New Roman" w:hAnsi="Times New Roman" w:eastAsia="仿宋_GB2312" w:cs="Times New Roman"/>
                <w:color w:val="auto"/>
                <w:kern w:val="0"/>
                <w:sz w:val="28"/>
                <w:szCs w:val="28"/>
                <w:highlight w:val="none"/>
                <w:lang w:val="en-US" w:eastAsia="zh-CN"/>
              </w:rPr>
              <w:t>40</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≦5%</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非同业单一客户贷款集中度</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w:t>
            </w:r>
            <w:r>
              <w:rPr>
                <w:rFonts w:hint="default" w:ascii="Times New Roman" w:hAnsi="Times New Roman" w:eastAsia="仿宋_GB2312" w:cs="Times New Roman"/>
                <w:color w:val="auto"/>
                <w:kern w:val="0"/>
                <w:sz w:val="28"/>
                <w:szCs w:val="28"/>
                <w:highlight w:val="none"/>
                <w:lang w:val="en-US" w:eastAsia="zh-CN"/>
              </w:rPr>
              <w:t>4</w:t>
            </w:r>
            <w:r>
              <w:rPr>
                <w:rFonts w:hint="default" w:ascii="Times New Roman" w:hAnsi="Times New Roman" w:eastAsia="仿宋_GB2312" w:cs="Times New Roman"/>
                <w:color w:val="auto"/>
                <w:kern w:val="0"/>
                <w:sz w:val="28"/>
                <w:szCs w:val="28"/>
                <w:highlight w:val="none"/>
              </w:rPr>
              <w:t>3%</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非同业单一客户风险暴露集中度</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w:t>
            </w:r>
            <w:r>
              <w:rPr>
                <w:rFonts w:hint="default" w:ascii="Times New Roman" w:hAnsi="Times New Roman" w:eastAsia="仿宋_GB2312" w:cs="Times New Roman"/>
                <w:color w:val="auto"/>
                <w:kern w:val="0"/>
                <w:sz w:val="28"/>
                <w:szCs w:val="28"/>
                <w:highlight w:val="none"/>
                <w:lang w:val="en-US" w:eastAsia="zh-CN"/>
              </w:rPr>
              <w:t>14</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资产利润率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0.</w:t>
            </w:r>
            <w:r>
              <w:rPr>
                <w:rFonts w:hint="default" w:ascii="Times New Roman" w:hAnsi="Times New Roman" w:eastAsia="仿宋_GB2312" w:cs="Times New Roman"/>
                <w:color w:val="auto"/>
                <w:kern w:val="0"/>
                <w:sz w:val="28"/>
                <w:szCs w:val="28"/>
                <w:highlight w:val="none"/>
                <w:lang w:val="en-US" w:eastAsia="zh-CN"/>
              </w:rPr>
              <w:t>6</w:t>
            </w:r>
            <w:r>
              <w:rPr>
                <w:rFonts w:hint="default" w:ascii="Times New Roman" w:hAnsi="Times New Roman" w:eastAsia="仿宋_GB2312" w:cs="Times New Roman"/>
                <w:color w:val="auto"/>
                <w:kern w:val="0"/>
                <w:sz w:val="28"/>
                <w:szCs w:val="28"/>
                <w:highlight w:val="none"/>
              </w:rPr>
              <w:t>8%</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≧0.6%</w:t>
            </w:r>
          </w:p>
        </w:tc>
      </w:tr>
      <w:tr>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资本利润率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7.30</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≧11%</w:t>
            </w:r>
          </w:p>
        </w:tc>
      </w:tr>
      <w:tr>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资本充足率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w:t>
            </w:r>
            <w:r>
              <w:rPr>
                <w:rFonts w:hint="default" w:ascii="Times New Roman" w:hAnsi="Times New Roman" w:eastAsia="仿宋_GB2312" w:cs="Times New Roman"/>
                <w:color w:val="auto"/>
                <w:kern w:val="0"/>
                <w:sz w:val="28"/>
                <w:szCs w:val="28"/>
                <w:highlight w:val="none"/>
                <w:lang w:val="en-US" w:eastAsia="zh-CN"/>
              </w:rPr>
              <w:t>72</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≧10.5%</w:t>
            </w:r>
          </w:p>
        </w:tc>
      </w:tr>
      <w:tr>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一级资本充足率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14.</w:t>
            </w:r>
            <w:r>
              <w:rPr>
                <w:rFonts w:hint="default" w:ascii="Times New Roman" w:hAnsi="Times New Roman" w:eastAsia="仿宋_GB2312" w:cs="Times New Roman"/>
                <w:color w:val="auto"/>
                <w:kern w:val="0"/>
                <w:sz w:val="28"/>
                <w:szCs w:val="28"/>
                <w:highlight w:val="none"/>
                <w:lang w:val="en-US" w:eastAsia="zh-CN"/>
              </w:rPr>
              <w:t>62</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≧8.5%</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核心一级资本充足率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14.</w:t>
            </w:r>
            <w:r>
              <w:rPr>
                <w:rFonts w:hint="default" w:ascii="Times New Roman" w:hAnsi="Times New Roman" w:eastAsia="仿宋_GB2312" w:cs="Times New Roman"/>
                <w:color w:val="auto"/>
                <w:kern w:val="0"/>
                <w:sz w:val="28"/>
                <w:szCs w:val="28"/>
                <w:highlight w:val="none"/>
                <w:lang w:val="en-US" w:eastAsia="zh-CN"/>
              </w:rPr>
              <w:t>62</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≧7.5%</w:t>
            </w:r>
          </w:p>
        </w:tc>
      </w:tr>
      <w:tr>
        <w:trPr>
          <w:trHeight w:val="34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拨备覆盖率</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17</w:t>
            </w:r>
            <w:r>
              <w:rPr>
                <w:rFonts w:hint="default" w:ascii="Times New Roman" w:hAnsi="Times New Roman" w:eastAsia="仿宋_GB2312" w:cs="Times New Roman"/>
                <w:color w:val="auto"/>
                <w:kern w:val="0"/>
                <w:sz w:val="28"/>
                <w:szCs w:val="28"/>
                <w:highlight w:val="none"/>
                <w:lang w:val="en-US" w:eastAsia="zh-CN"/>
              </w:rPr>
              <w:t>5.52</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≧150%</w:t>
            </w:r>
          </w:p>
        </w:tc>
      </w:tr>
      <w:tr>
        <w:trPr>
          <w:trHeight w:val="285" w:hRule="atLeast"/>
        </w:trPr>
        <w:tc>
          <w:tcPr>
            <w:tcW w:w="2355" w:type="pct"/>
            <w:tcBorders>
              <w:top w:val="nil"/>
              <w:left w:val="single" w:color="000000" w:sz="4" w:space="0"/>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拨贷比</w:t>
            </w:r>
          </w:p>
        </w:tc>
        <w:tc>
          <w:tcPr>
            <w:tcW w:w="1542"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lang w:val="en-US" w:eastAsia="zh-CN"/>
              </w:rPr>
              <w:t>5.97</w:t>
            </w:r>
            <w:r>
              <w:rPr>
                <w:rFonts w:hint="default" w:ascii="Times New Roman" w:hAnsi="Times New Roman" w:eastAsia="仿宋_GB2312" w:cs="Times New Roman"/>
                <w:color w:val="auto"/>
                <w:kern w:val="0"/>
                <w:sz w:val="28"/>
                <w:szCs w:val="28"/>
                <w:highlight w:val="none"/>
              </w:rPr>
              <w:t>%</w:t>
            </w:r>
          </w:p>
        </w:tc>
        <w:tc>
          <w:tcPr>
            <w:tcW w:w="1101" w:type="pct"/>
            <w:tcBorders>
              <w:top w:val="nil"/>
              <w:left w:val="nil"/>
              <w:bottom w:val="single" w:color="000000" w:sz="4" w:space="0"/>
              <w:right w:val="single" w:color="000000" w:sz="4" w:space="0"/>
            </w:tcBorders>
            <w:shd w:val="clear" w:color="000000" w:fill="FFFFFF"/>
            <w:noWrap/>
            <w:vAlign w:val="center"/>
          </w:tcPr>
          <w:p>
            <w:pPr>
              <w:keepNext w:val="0"/>
              <w:keepLines w:val="0"/>
              <w:pageBreakBefore w:val="0"/>
              <w:widowControl/>
              <w:kinsoku/>
              <w:overflowPunct/>
              <w:topLinePunct w:val="0"/>
              <w:bidi w:val="0"/>
              <w:spacing w:line="560" w:lineRule="exact"/>
              <w:ind w:left="0" w:leftChars="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≧2.5%</w:t>
            </w:r>
          </w:p>
        </w:tc>
      </w:tr>
    </w:tbl>
    <w:p>
      <w:pPr>
        <w:keepNext w:val="0"/>
        <w:keepLines w:val="0"/>
        <w:pageBreakBefore w:val="0"/>
        <w:widowControl/>
        <w:kinsoku/>
        <w:overflowPunct/>
        <w:topLinePunct w:val="0"/>
        <w:bidi w:val="0"/>
        <w:spacing w:line="560" w:lineRule="exact"/>
        <w:ind w:left="0" w:leftChars="0" w:right="0" w:firstLine="640" w:firstLineChars="200"/>
        <w:jc w:val="both"/>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val="en-US" w:eastAsia="zh-CN"/>
        </w:rPr>
        <w:t>四</w:t>
      </w:r>
      <w:r>
        <w:rPr>
          <w:rFonts w:hint="eastAsia" w:ascii="楷体_GB2312" w:hAnsi="楷体_GB2312" w:eastAsia="楷体_GB2312" w:cs="楷体_GB2312"/>
          <w:bCs/>
          <w:color w:val="auto"/>
          <w:sz w:val="32"/>
          <w:szCs w:val="32"/>
          <w:highlight w:val="none"/>
        </w:rPr>
        <w:t>）普惠小微企业金融服务情况</w:t>
      </w:r>
    </w:p>
    <w:p>
      <w:pPr>
        <w:keepNext w:val="0"/>
        <w:keepLines w:val="0"/>
        <w:pageBreakBefore w:val="0"/>
        <w:widowControl/>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1.网点建设。本行设有小微企业金融服务中心，主要负责全辖区内的小微企业金融服务；设有个体工商户金融服务中心，专职服务个体工商户和小微企业主，确保普惠小微企业金融服务不留空白。</w:t>
      </w:r>
    </w:p>
    <w:p>
      <w:pPr>
        <w:keepNext w:val="0"/>
        <w:keepLines w:val="0"/>
        <w:pageBreakBefore w:val="0"/>
        <w:widowControl/>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2.信贷投放。报告期末，本行各项贷款余额43.22亿元，较年初增加1.87亿元，增速</w:t>
      </w:r>
      <w:r>
        <w:rPr>
          <w:rFonts w:hint="default" w:ascii="Times New Roman" w:hAnsi="Times New Roman" w:eastAsia="仿宋_GB2312" w:cs="Times New Roman"/>
          <w:bCs/>
          <w:color w:val="auto"/>
          <w:sz w:val="32"/>
          <w:szCs w:val="32"/>
          <w:highlight w:val="none"/>
          <w:lang w:val="en-US" w:eastAsia="zh-CN"/>
        </w:rPr>
        <w:t>4.52</w:t>
      </w:r>
      <w:r>
        <w:rPr>
          <w:rFonts w:hint="default" w:ascii="Times New Roman" w:hAnsi="Times New Roman" w:eastAsia="仿宋_GB2312" w:cs="Times New Roman"/>
          <w:bCs/>
          <w:color w:val="auto"/>
          <w:sz w:val="32"/>
          <w:szCs w:val="32"/>
          <w:highlight w:val="none"/>
        </w:rPr>
        <w:t>%；普惠小微企业贷款余额</w:t>
      </w:r>
      <w:r>
        <w:rPr>
          <w:rFonts w:hint="default" w:ascii="Times New Roman" w:hAnsi="Times New Roman" w:eastAsia="仿宋_GB2312" w:cs="Times New Roman"/>
          <w:bCs/>
          <w:color w:val="auto"/>
          <w:sz w:val="32"/>
          <w:szCs w:val="32"/>
          <w:highlight w:val="none"/>
          <w:lang w:val="en-US" w:eastAsia="zh-CN"/>
        </w:rPr>
        <w:t>139059</w:t>
      </w:r>
      <w:r>
        <w:rPr>
          <w:rFonts w:hint="default" w:ascii="Times New Roman" w:hAnsi="Times New Roman" w:eastAsia="仿宋_GB2312" w:cs="Times New Roman"/>
          <w:bCs/>
          <w:color w:val="auto"/>
          <w:sz w:val="32"/>
          <w:szCs w:val="32"/>
          <w:highlight w:val="none"/>
        </w:rPr>
        <w:t>万元，较年初增加</w:t>
      </w:r>
      <w:r>
        <w:rPr>
          <w:rFonts w:hint="default" w:ascii="Times New Roman" w:hAnsi="Times New Roman" w:eastAsia="仿宋_GB2312" w:cs="Times New Roman"/>
          <w:bCs/>
          <w:color w:val="auto"/>
          <w:sz w:val="32"/>
          <w:szCs w:val="32"/>
          <w:highlight w:val="none"/>
          <w:lang w:val="en-US" w:eastAsia="zh-CN"/>
        </w:rPr>
        <w:t>12154</w:t>
      </w:r>
      <w:r>
        <w:rPr>
          <w:rFonts w:hint="default" w:ascii="Times New Roman" w:hAnsi="Times New Roman" w:eastAsia="仿宋_GB2312" w:cs="Times New Roman"/>
          <w:bCs/>
          <w:color w:val="auto"/>
          <w:sz w:val="32"/>
          <w:szCs w:val="32"/>
          <w:highlight w:val="none"/>
        </w:rPr>
        <w:t>万元，增速9.</w:t>
      </w:r>
      <w:r>
        <w:rPr>
          <w:rFonts w:hint="default" w:ascii="Times New Roman" w:hAnsi="Times New Roman" w:eastAsia="仿宋_GB2312" w:cs="Times New Roman"/>
          <w:bCs/>
          <w:color w:val="auto"/>
          <w:sz w:val="32"/>
          <w:szCs w:val="32"/>
          <w:highlight w:val="none"/>
          <w:lang w:val="en-US" w:eastAsia="zh-CN"/>
        </w:rPr>
        <w:t>58</w:t>
      </w:r>
      <w:r>
        <w:rPr>
          <w:rFonts w:hint="default" w:ascii="Times New Roman" w:hAnsi="Times New Roman" w:eastAsia="仿宋_GB2312" w:cs="Times New Roman"/>
          <w:bCs/>
          <w:color w:val="auto"/>
          <w:sz w:val="32"/>
          <w:szCs w:val="32"/>
          <w:highlight w:val="none"/>
        </w:rPr>
        <w:t>%；普惠小微企业贷款增速高于各项贷款增速</w:t>
      </w:r>
      <w:r>
        <w:rPr>
          <w:rFonts w:hint="default" w:ascii="Times New Roman" w:hAnsi="Times New Roman" w:eastAsia="仿宋_GB2312" w:cs="Times New Roman"/>
          <w:bCs/>
          <w:color w:val="auto"/>
          <w:sz w:val="32"/>
          <w:szCs w:val="32"/>
          <w:highlight w:val="none"/>
          <w:lang w:val="en-US" w:eastAsia="zh-CN"/>
        </w:rPr>
        <w:t>5.06</w:t>
      </w:r>
      <w:r>
        <w:rPr>
          <w:rFonts w:hint="default" w:ascii="Times New Roman" w:hAnsi="Times New Roman" w:eastAsia="仿宋_GB2312" w:cs="Times New Roman"/>
          <w:bCs/>
          <w:color w:val="auto"/>
          <w:sz w:val="32"/>
          <w:szCs w:val="32"/>
          <w:highlight w:val="none"/>
        </w:rPr>
        <w:t>个百分点，普惠小微企业贷款</w:t>
      </w:r>
      <w:r>
        <w:rPr>
          <w:rFonts w:hint="default" w:ascii="Times New Roman" w:hAnsi="Times New Roman" w:eastAsia="仿宋_GB2312" w:cs="Times New Roman"/>
          <w:bCs/>
          <w:color w:val="auto"/>
          <w:sz w:val="32"/>
          <w:szCs w:val="32"/>
          <w:highlight w:val="none"/>
          <w:lang w:val="en-US" w:eastAsia="zh-CN"/>
        </w:rPr>
        <w:t>5741</w:t>
      </w:r>
      <w:r>
        <w:rPr>
          <w:rFonts w:hint="default" w:ascii="Times New Roman" w:hAnsi="Times New Roman" w:eastAsia="仿宋_GB2312" w:cs="Times New Roman"/>
          <w:bCs/>
          <w:color w:val="auto"/>
          <w:sz w:val="32"/>
          <w:szCs w:val="32"/>
          <w:highlight w:val="none"/>
        </w:rPr>
        <w:t>户，高于上年普惠小微企业贷款</w:t>
      </w:r>
      <w:r>
        <w:rPr>
          <w:rFonts w:hint="default" w:ascii="Times New Roman" w:hAnsi="Times New Roman" w:eastAsia="仿宋_GB2312" w:cs="Times New Roman"/>
          <w:bCs/>
          <w:color w:val="auto"/>
          <w:sz w:val="32"/>
          <w:szCs w:val="32"/>
          <w:highlight w:val="none"/>
          <w:lang w:val="en-US" w:eastAsia="zh-CN"/>
        </w:rPr>
        <w:t>893</w:t>
      </w:r>
      <w:r>
        <w:rPr>
          <w:rFonts w:hint="default" w:ascii="Times New Roman" w:hAnsi="Times New Roman" w:eastAsia="仿宋_GB2312" w:cs="Times New Roman"/>
          <w:bCs/>
          <w:color w:val="auto"/>
          <w:sz w:val="32"/>
          <w:szCs w:val="32"/>
          <w:highlight w:val="none"/>
        </w:rPr>
        <w:t>户。</w:t>
      </w:r>
    </w:p>
    <w:p>
      <w:pPr>
        <w:keepNext w:val="0"/>
        <w:keepLines w:val="0"/>
        <w:pageBreakBefore w:val="0"/>
        <w:widowControl/>
        <w:kinsoku/>
        <w:overflowPunct/>
        <w:topLinePunct w:val="0"/>
        <w:bidi w:val="0"/>
        <w:spacing w:line="560" w:lineRule="exact"/>
        <w:ind w:left="0" w:leftChars="0" w:right="0" w:firstLine="640" w:firstLineChars="200"/>
        <w:jc w:val="both"/>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rPr>
        <w:t>（</w:t>
      </w:r>
      <w:r>
        <w:rPr>
          <w:rFonts w:hint="eastAsia" w:ascii="楷体_GB2312" w:hAnsi="楷体_GB2312" w:eastAsia="楷体_GB2312" w:cs="楷体_GB2312"/>
          <w:bCs/>
          <w:color w:val="auto"/>
          <w:sz w:val="32"/>
          <w:szCs w:val="32"/>
          <w:highlight w:val="none"/>
          <w:lang w:val="en-US" w:eastAsia="zh-CN"/>
        </w:rPr>
        <w:t>五</w:t>
      </w:r>
      <w:r>
        <w:rPr>
          <w:rFonts w:hint="eastAsia" w:ascii="楷体_GB2312" w:hAnsi="楷体_GB2312" w:eastAsia="楷体_GB2312" w:cs="楷体_GB2312"/>
          <w:bCs/>
          <w:color w:val="auto"/>
          <w:sz w:val="32"/>
          <w:szCs w:val="32"/>
          <w:highlight w:val="none"/>
        </w:rPr>
        <w:t>）绿色信贷投放情况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行作为本地金融服务的主力军，坚持服务三农、服务小微、服务社区的宗旨，勇担社会经济责任，根据《中国人民银行办公厅关于推进绿色金融改革创新试验区金融机构环境信息披露工作的通知》要求，本行深入贯彻落实碳达峰、碳中和重大决策部署，深耕绿色金融，突出“绿色”发展导向，积极推进绿色普惠金融。</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报告期末，本行绿色贷款余额1512万元，主要投向节能环保产业3</w:t>
      </w:r>
      <w:r>
        <w:rPr>
          <w:rFonts w:hint="default" w:ascii="Times New Roman" w:hAnsi="Times New Roman" w:eastAsia="仿宋_GB2312" w:cs="Times New Roman"/>
          <w:color w:val="auto"/>
          <w:kern w:val="0"/>
          <w:sz w:val="32"/>
          <w:szCs w:val="32"/>
          <w:highlight w:val="none"/>
          <w:lang w:val="en-US" w:eastAsia="zh-CN"/>
        </w:rPr>
        <w:t>58</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23.68</w:t>
      </w:r>
      <w:r>
        <w:rPr>
          <w:rFonts w:hint="default" w:ascii="Times New Roman" w:hAnsi="Times New Roman" w:eastAsia="仿宋_GB2312" w:cs="Times New Roman"/>
          <w:color w:val="auto"/>
          <w:kern w:val="0"/>
          <w:sz w:val="32"/>
          <w:szCs w:val="32"/>
          <w:highlight w:val="none"/>
        </w:rPr>
        <w:t>%）、生态环境产业</w:t>
      </w:r>
      <w:r>
        <w:rPr>
          <w:rFonts w:hint="default" w:ascii="Times New Roman" w:hAnsi="Times New Roman" w:eastAsia="仿宋_GB2312" w:cs="Times New Roman"/>
          <w:color w:val="auto"/>
          <w:kern w:val="0"/>
          <w:sz w:val="32"/>
          <w:szCs w:val="32"/>
          <w:highlight w:val="none"/>
          <w:lang w:val="en-US" w:eastAsia="zh-CN"/>
        </w:rPr>
        <w:t>1154</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76.32</w:t>
      </w:r>
      <w:r>
        <w:rPr>
          <w:rFonts w:hint="default" w:ascii="Times New Roman" w:hAnsi="Times New Roman" w:eastAsia="仿宋_GB2312" w:cs="Times New Roman"/>
          <w:color w:val="auto"/>
          <w:kern w:val="0"/>
          <w:sz w:val="32"/>
          <w:szCs w:val="32"/>
          <w:highlight w:val="none"/>
        </w:rPr>
        <w:t>%）。按照银保监会《绿色信贷项目节能减排量测算指引》中节能减排量测算要求，202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年绿色信贷环境效益节约标准煤</w:t>
      </w:r>
      <w:r>
        <w:rPr>
          <w:rFonts w:hint="default" w:ascii="Times New Roman" w:hAnsi="Times New Roman" w:eastAsia="仿宋_GB2312" w:cs="Times New Roman"/>
          <w:color w:val="auto"/>
          <w:kern w:val="0"/>
          <w:sz w:val="32"/>
          <w:szCs w:val="32"/>
          <w:highlight w:val="none"/>
          <w:lang w:val="en-US" w:eastAsia="zh-CN"/>
        </w:rPr>
        <w:t>126</w:t>
      </w:r>
      <w:r>
        <w:rPr>
          <w:rFonts w:hint="default" w:ascii="Times New Roman" w:hAnsi="Times New Roman" w:eastAsia="仿宋_GB2312" w:cs="Times New Roman"/>
          <w:color w:val="auto"/>
          <w:kern w:val="0"/>
          <w:sz w:val="32"/>
          <w:szCs w:val="32"/>
          <w:highlight w:val="none"/>
        </w:rPr>
        <w:t>吨，二氧化碳减排量</w:t>
      </w:r>
      <w:r>
        <w:rPr>
          <w:rFonts w:hint="default" w:ascii="Times New Roman" w:hAnsi="Times New Roman" w:eastAsia="仿宋_GB2312" w:cs="Times New Roman"/>
          <w:color w:val="auto"/>
          <w:kern w:val="0"/>
          <w:sz w:val="32"/>
          <w:szCs w:val="32"/>
          <w:highlight w:val="none"/>
          <w:lang w:val="en-US" w:eastAsia="zh-CN"/>
        </w:rPr>
        <w:t>327</w:t>
      </w:r>
      <w:r>
        <w:rPr>
          <w:rFonts w:hint="default" w:ascii="Times New Roman" w:hAnsi="Times New Roman" w:eastAsia="仿宋_GB2312" w:cs="Times New Roman"/>
          <w:color w:val="auto"/>
          <w:kern w:val="0"/>
          <w:sz w:val="32"/>
          <w:szCs w:val="32"/>
          <w:highlight w:val="none"/>
        </w:rPr>
        <w:t>吨。</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六</w:t>
      </w:r>
      <w:r>
        <w:rPr>
          <w:rFonts w:hint="eastAsia" w:ascii="楷体_GB2312" w:hAnsi="楷体_GB2312" w:eastAsia="楷体_GB2312" w:cs="楷体_GB2312"/>
          <w:color w:val="auto"/>
          <w:kern w:val="0"/>
          <w:sz w:val="32"/>
          <w:szCs w:val="32"/>
          <w:highlight w:val="none"/>
        </w:rPr>
        <w:t>）投资情况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年末，本行入股省联社30.00万元。</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七</w:t>
      </w:r>
      <w:r>
        <w:rPr>
          <w:rFonts w:hint="eastAsia" w:ascii="楷体_GB2312" w:hAnsi="楷体_GB2312" w:eastAsia="楷体_GB2312" w:cs="楷体_GB2312"/>
          <w:color w:val="auto"/>
          <w:kern w:val="0"/>
          <w:sz w:val="32"/>
          <w:szCs w:val="32"/>
          <w:highlight w:val="none"/>
        </w:rPr>
        <w:t>）利润分配情况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年末，本行实现利润总额</w:t>
      </w:r>
      <w:r>
        <w:rPr>
          <w:rFonts w:hint="default" w:ascii="Times New Roman" w:hAnsi="Times New Roman" w:eastAsia="仿宋_GB2312" w:cs="Times New Roman"/>
          <w:color w:val="auto"/>
          <w:sz w:val="32"/>
          <w:szCs w:val="32"/>
          <w:highlight w:val="none"/>
          <w:lang w:val="en-US" w:eastAsia="zh-CN"/>
        </w:rPr>
        <w:t>6424.50</w:t>
      </w:r>
      <w:r>
        <w:rPr>
          <w:rFonts w:hint="default" w:ascii="Times New Roman" w:hAnsi="Times New Roman" w:eastAsia="仿宋_GB2312" w:cs="Times New Roman"/>
          <w:color w:val="auto"/>
          <w:sz w:val="32"/>
          <w:szCs w:val="32"/>
          <w:highlight w:val="none"/>
        </w:rPr>
        <w:t>万元，按规定计提企业所得税</w:t>
      </w:r>
      <w:r>
        <w:rPr>
          <w:rFonts w:hint="default" w:ascii="Times New Roman" w:hAnsi="Times New Roman" w:eastAsia="仿宋_GB2312" w:cs="Times New Roman"/>
          <w:color w:val="auto"/>
          <w:sz w:val="32"/>
          <w:szCs w:val="32"/>
          <w:highlight w:val="none"/>
          <w:lang w:val="en-US" w:eastAsia="zh-CN"/>
        </w:rPr>
        <w:t>2053.49</w:t>
      </w:r>
      <w:r>
        <w:rPr>
          <w:rFonts w:hint="default" w:ascii="Times New Roman" w:hAnsi="Times New Roman" w:eastAsia="仿宋_GB2312" w:cs="Times New Roman"/>
          <w:color w:val="auto"/>
          <w:sz w:val="32"/>
          <w:szCs w:val="32"/>
          <w:highlight w:val="none"/>
        </w:rPr>
        <w:t>万元，净利润</w:t>
      </w:r>
      <w:r>
        <w:rPr>
          <w:rFonts w:hint="default" w:ascii="Times New Roman" w:hAnsi="Times New Roman" w:eastAsia="仿宋_GB2312" w:cs="Times New Roman"/>
          <w:color w:val="auto"/>
          <w:sz w:val="32"/>
          <w:szCs w:val="32"/>
          <w:highlight w:val="none"/>
          <w:lang w:val="en-US" w:eastAsia="zh-CN"/>
        </w:rPr>
        <w:t>4371.01</w:t>
      </w:r>
      <w:r>
        <w:rPr>
          <w:rFonts w:hint="default" w:ascii="Times New Roman" w:hAnsi="Times New Roman" w:eastAsia="仿宋_GB2312" w:cs="Times New Roman"/>
          <w:color w:val="auto"/>
          <w:sz w:val="32"/>
          <w:szCs w:val="32"/>
          <w:highlight w:val="none"/>
        </w:rPr>
        <w:t>万元，根据《金融财务规则》、《贵州省农村信用社利润分配管理办法》（黔农信办发〔2020〕38 号）及《贵州贵定农村商业银行股份有限公司章程》等规定，分配如下：1.202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年12月31日按10%提取法定盈余公积金</w:t>
      </w:r>
      <w:r>
        <w:rPr>
          <w:rFonts w:hint="default" w:ascii="Times New Roman" w:hAnsi="Times New Roman" w:eastAsia="仿宋_GB2312" w:cs="Times New Roman"/>
          <w:color w:val="auto"/>
          <w:sz w:val="32"/>
          <w:szCs w:val="32"/>
          <w:highlight w:val="none"/>
          <w:lang w:val="en-US" w:eastAsia="zh-CN"/>
        </w:rPr>
        <w:t>437.10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.留存未分配利</w:t>
      </w:r>
      <w:r>
        <w:rPr>
          <w:rFonts w:hint="default" w:ascii="Times New Roman" w:hAnsi="Times New Roman" w:eastAsia="仿宋_GB2312" w:cs="Times New Roman"/>
          <w:color w:val="auto"/>
          <w:sz w:val="32"/>
          <w:szCs w:val="32"/>
          <w:highlight w:val="none"/>
          <w:lang w:val="en-US" w:eastAsia="zh-CN"/>
        </w:rPr>
        <w:t>润10227.06</w:t>
      </w:r>
      <w:r>
        <w:rPr>
          <w:rFonts w:hint="default" w:ascii="Times New Roman" w:hAnsi="Times New Roman" w:eastAsia="仿宋_GB2312" w:cs="Times New Roman"/>
          <w:color w:val="auto"/>
          <w:sz w:val="32"/>
          <w:szCs w:val="32"/>
          <w:highlight w:val="none"/>
        </w:rPr>
        <w:t>万元。</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五、风险管理情况</w:t>
      </w:r>
    </w:p>
    <w:p>
      <w:pPr>
        <w:keepNext w:val="0"/>
        <w:keepLines w:val="0"/>
        <w:pageBreakBefore w:val="0"/>
        <w:tabs>
          <w:tab w:val="left" w:pos="630"/>
        </w:tabs>
        <w:kinsoku/>
        <w:overflowPunct/>
        <w:topLinePunct w:val="0"/>
        <w:bidi w:val="0"/>
        <w:spacing w:line="560" w:lineRule="exact"/>
        <w:ind w:left="0" w:leftChars="0" w:right="0" w:firstLine="640" w:firstLineChars="200"/>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（一）风险管理情况</w:t>
      </w:r>
    </w:p>
    <w:tbl>
      <w:tblPr>
        <w:tblStyle w:val="6"/>
        <w:tblW w:w="8880" w:type="dxa"/>
        <w:tblInd w:w="72" w:type="dxa"/>
        <w:tblLayout w:type="fixed"/>
        <w:tblCellMar>
          <w:top w:w="0" w:type="dxa"/>
          <w:left w:w="108" w:type="dxa"/>
          <w:bottom w:w="0" w:type="dxa"/>
          <w:right w:w="108" w:type="dxa"/>
        </w:tblCellMar>
      </w:tblPr>
      <w:tblGrid>
        <w:gridCol w:w="8880"/>
      </w:tblGrid>
      <w:tr>
        <w:tblPrEx>
          <w:tblCellMar>
            <w:top w:w="0" w:type="dxa"/>
            <w:left w:w="108" w:type="dxa"/>
            <w:bottom w:w="0" w:type="dxa"/>
            <w:right w:w="108" w:type="dxa"/>
          </w:tblCellMar>
        </w:tblPrEx>
        <w:trPr>
          <w:trHeight w:val="285" w:hRule="atLeast"/>
        </w:trPr>
        <w:tc>
          <w:tcPr>
            <w:tcW w:w="8880" w:type="dxa"/>
            <w:tcBorders>
              <w:top w:val="nil"/>
              <w:left w:val="nil"/>
              <w:bottom w:val="nil"/>
              <w:right w:val="nil"/>
            </w:tcBorders>
            <w:noWrap/>
            <w:vAlign w:val="bottom"/>
          </w:tcPr>
          <w:p>
            <w:pPr>
              <w:keepNext w:val="0"/>
              <w:keepLines w:val="0"/>
              <w:pageBreakBefore w:val="0"/>
              <w:tabs>
                <w:tab w:val="left" w:pos="630"/>
              </w:tabs>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信用风险管理情况。2023年，本行通过加强各类风险排查和重点行业、重点领域的风险防范，强化信用风险、流动性风险和信息科技风险监控，不断提高风险精细化管理水平，并进一步梳理、修改、完善信贷管理的各项规章制度</w:t>
            </w:r>
          </w:p>
          <w:p>
            <w:pPr>
              <w:keepNext w:val="0"/>
              <w:keepLines w:val="0"/>
              <w:pageBreakBefore w:val="0"/>
              <w:widowControl/>
              <w:kinsoku/>
              <w:overflowPunct/>
              <w:topLinePunct w:val="0"/>
              <w:bidi w:val="0"/>
              <w:spacing w:line="560" w:lineRule="exact"/>
              <w:ind w:left="0" w:leftChars="0" w:right="0"/>
              <w:jc w:val="both"/>
              <w:rPr>
                <w:rFonts w:hint="default" w:ascii="Times New Roman" w:hAnsi="Times New Roman" w:eastAsia="仿宋_GB2312" w:cs="Times New Roman"/>
                <w:color w:val="auto"/>
                <w:kern w:val="0"/>
                <w:sz w:val="32"/>
                <w:szCs w:val="32"/>
                <w:highlight w:val="none"/>
              </w:rPr>
            </w:pPr>
          </w:p>
        </w:tc>
      </w:tr>
    </w:tbl>
    <w:p>
      <w:pPr>
        <w:keepNext w:val="0"/>
        <w:keepLines w:val="0"/>
        <w:pageBreakBefore w:val="0"/>
        <w:kinsoku/>
        <w:overflowPunct/>
        <w:topLinePunct w:val="0"/>
        <w:bidi w:val="0"/>
        <w:spacing w:line="560" w:lineRule="exact"/>
        <w:ind w:right="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2.流动性风险管理情况。</w:t>
      </w:r>
      <w:r>
        <w:rPr>
          <w:rFonts w:hint="default" w:ascii="Times New Roman" w:hAnsi="Times New Roman" w:eastAsia="仿宋_GB2312" w:cs="Times New Roman"/>
          <w:color w:val="auto"/>
          <w:sz w:val="32"/>
          <w:szCs w:val="32"/>
          <w:highlight w:val="none"/>
        </w:rPr>
        <w:t>为最大限度地减少因流动性原因产生的支付风险及突发事件给本行造成的经济和声誉损失，维护金融稳定和广大客户的利益，确保本行稳健发展，本行以适度控制存量、适时调节流量为目标，每个季度由相关部门根据当前情况对流动性风险开展压力测试，为本行流动性指标提前预警。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年全年的运行态势表明，本行流动性情况正常，各项监管指标均保持达标。在降准、降息等宏观政策调整时，能从容地应对，未出现流动性风险。</w:t>
      </w:r>
    </w:p>
    <w:p>
      <w:pPr>
        <w:keepNext w:val="0"/>
        <w:keepLines w:val="0"/>
        <w:pageBreakBefore w:val="0"/>
        <w:tabs>
          <w:tab w:val="left" w:pos="630"/>
        </w:tabs>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3.</w:t>
      </w:r>
      <w:r>
        <w:rPr>
          <w:rFonts w:hint="default" w:ascii="Times New Roman" w:hAnsi="Times New Roman" w:eastAsia="仿宋_GB2312" w:cs="Times New Roman"/>
          <w:color w:val="auto"/>
          <w:sz w:val="32"/>
          <w:szCs w:val="32"/>
          <w:highlight w:val="none"/>
        </w:rPr>
        <w:t>市场风险管理情况。针对市场风险，本行进一步建立完善市场风险管控机制，将市场风险控制在可承受的合理范围内，实现经风险调整收益率最大化。根据业务发展需求、自身风险控制能力和市场风险外部形势，确定主要业务限额标准。按照各类债权投资的预期损失计提减值拨备，审慎制定处置方案，对重大风险事件执行全行统一处置策略，满足新资本协议达标要求和市场风险管理的监管要求。同时，本行明确了市场风险管理职责分工，加强对市场风险</w:t>
      </w:r>
      <w:r>
        <w:rPr>
          <w:rFonts w:hint="default" w:ascii="Times New Roman" w:hAnsi="Times New Roman" w:eastAsia="仿宋_GB2312" w:cs="Times New Roman"/>
          <w:color w:val="auto"/>
          <w:spacing w:val="-6"/>
          <w:sz w:val="32"/>
          <w:szCs w:val="32"/>
          <w:highlight w:val="none"/>
        </w:rPr>
        <w:t>的识别、计量、监测和控制能力；按照收益覆盖风险的原则，进一步完善利率定价机制，切实防范利率风险；积极关注各类金融市场变化尤其是债券等价格敏感型业务，依法合规拓展资金市场业务</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操作风险管理情况。本行建立了常态化操作风险管理机制，覆盖重点业务、重点环节和重要岗位，通过开展各类专业培训和考试、完善各条线规章制度、加强信息科技系统应用、业务条线部门强化检查监督等有效措施，持续提高员工素质、强化内部流程控制。一是严格执行会计运营主管委派、强制休假、定期轮岗等制度。充分运用会计运营主管现场监督作用，重点关注现金出纳管理、账户管理、重要空白凭证管理、银企对账管理、授权管理、业务印章管理和金库等领域的风险，强化会计操作风险事前防范和事中管理。二是加强信贷部门的监督力度，对贷款发放合法性、合规性、完整性和有效性审查，规范合同、档案、章证和抵质押品管理。三是加强信息系统日常维护。及时发现问题，消除隐患，把网络和系统故障率降到最低水平。对系统信息录入的全面性和准确性进行考核。四是加强对资金业务的操作风险管理。严格执行交易规则、持仓限额及止损点等内控制度，对涉及交易活动的前、中、后台严格进行分离。实时监控持仓量等异动信息，严禁越权操作和以不良主观进行交易。定期审查交易记录，及时评估交易系统的风险管理有效性。五是重点关注自助设备交易风险防范。运用系统和人工多维度监控，加强自助设备安全防范措施，及时处理自助设备突发事件，做好应急预案。</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5.声誉风险</w:t>
      </w:r>
      <w:r>
        <w:rPr>
          <w:rFonts w:hint="default" w:ascii="Times New Roman" w:hAnsi="Times New Roman" w:eastAsia="仿宋_GB2312" w:cs="Times New Roman"/>
          <w:color w:val="auto"/>
          <w:sz w:val="32"/>
          <w:szCs w:val="32"/>
          <w:highlight w:val="none"/>
        </w:rPr>
        <w:t>管理情况</w:t>
      </w:r>
      <w:r>
        <w:rPr>
          <w:rFonts w:hint="default" w:ascii="Times New Roman" w:hAnsi="Times New Roman" w:eastAsia="仿宋_GB2312" w:cs="Times New Roman"/>
          <w:color w:val="auto"/>
          <w:kern w:val="0"/>
          <w:sz w:val="32"/>
          <w:szCs w:val="32"/>
          <w:highlight w:val="none"/>
        </w:rPr>
        <w:t>。本行能够积极研判社会舆情走势，重点关注可能导致声誉风险的各类隐患，提前准备应对预案，提升应对能力。按照分类处置、定人定责的要求，将省联社96688投诉、政府热线、各类微博、论坛等网络舆情的日常工作分配到人，做到连续监测、及时反馈。接到投诉事项后，第一时间转至相关条线处理，并及时回复。加强制度建设，严格执行舆情处置管理办法，明确责任、范围、处理途径、时限要求等规定。建立健全投诉台账，对每一条投诉事项坚持在接收时及时做好电子档案登记，并根据后续处置情况补充相关内容。制定实施了《贵州贵定农村商业银行股份有限公司声誉风险管理办法(试行)》（贵农商发〔2021〕129号）、《贵州贵定农村商业银行股份有限公司网络舆情管理办法》（贵农商发〔2022〕108号）等制度，对处置流程、方法作了细致要求，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年未发生影响声誉的重大负面信息风险事件。</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（二）风险控制情况</w:t>
      </w:r>
    </w:p>
    <w:p>
      <w:pPr>
        <w:keepNext w:val="0"/>
        <w:keepLines w:val="0"/>
        <w:pageBreakBefore w:val="0"/>
        <w:kinsoku/>
        <w:overflowPunct/>
        <w:topLinePunct w:val="0"/>
        <w:bidi w:val="0"/>
        <w:spacing w:line="560" w:lineRule="exact"/>
        <w:ind w:left="0" w:leftChars="0" w:right="0" w:firstLine="627" w:firstLineChars="196"/>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风险管理组织架构。本行已建立组织架构健全、职责边界清晰的风险管理组织架构，明确董事会、监事会、高级管理层、业务部门、风险管理部门和内审部门在风险管理中的职责分工。风险管理制度体系覆盖信用风险、操作风险、市场风险、流动性风险、战略风险、声誉风险、信息科技风险等各类风险。本行合规风险部为全行全面风险管理牵头部门，相关业务部门为各类风险管理责任部门，稽核审计部对相关业务部门和风险管理部门履职情况定期或不定期审计。基层各网点负责人为本单位风险管理直接责任人，按要求定期向风险管理部门、单位负责人报告本单位业务开展和风险管理状况，构建风险管理双向沟通汇报机制。</w:t>
      </w:r>
    </w:p>
    <w:p>
      <w:pPr>
        <w:keepNext w:val="0"/>
        <w:keepLines w:val="0"/>
        <w:pageBreakBefore w:val="0"/>
        <w:kinsoku/>
        <w:overflowPunct/>
        <w:topLinePunct w:val="0"/>
        <w:bidi w:val="0"/>
        <w:spacing w:line="560" w:lineRule="exact"/>
        <w:ind w:left="0" w:leftChars="0" w:right="0" w:firstLine="627" w:firstLineChars="196"/>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风险管理政策和程序。本行制定了包括信用风险、操作风险、市场风险、流动性风险、声誉风险、信息科技风险等主要类别风险管理策略文件，能够有效评估和管理各类风险。建立了统一的覆盖各业务条线和分支机构的风险报告制度，明确相应的职责、路线、频率、时间和质量要求。</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3.内部控制和全面审计情况。</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（1）内部控制情况。</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行根据《公司法》《商业银行法》《银行业监督管理法》《商业银行内部控制指引》等相关法律法规规章的要求，针对各项业务活动和管理活动的风险点，建立并执行标准统一的业务流程和管理流程，制定专门的流程管理或内控管理手册，在加大业务市场拓展的同时，始终将内控制度建设作为“生命线工程”来抓，不断完善公司治理结构和内部控制制度，努力实现对各项业务经营管理全方位覆盖和全过程控制。报告期内，各职能部室根据业务发展和经营管理需要新建制度39个，废止、修订制度59个，为有效防范风险提供了制度保障。</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（2）全面审计情况。</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本行稽核审计部通过加强审计队伍建设，改进和完善稽核方法，探索内部稽核的新思路和新举措，重点围绕执规执纪、合规守法经营、内控制度落实和规范管理、防范风险等开展稽核审计，不断提高稽核效率和质量。一年来共开展反洗钱、关联交易、消费者权益保护、案件防控工作等各种专项审计</w:t>
      </w:r>
      <w:r>
        <w:rPr>
          <w:rFonts w:hint="default" w:ascii="Times New Roman" w:hAnsi="Times New Roman" w:eastAsia="仿宋_GB2312" w:cs="Times New Roman"/>
          <w:color w:val="auto"/>
          <w:kern w:val="0"/>
          <w:sz w:val="32"/>
          <w:szCs w:val="32"/>
          <w:highlight w:val="none"/>
          <w:lang w:val="en-US" w:eastAsia="zh-CN"/>
        </w:rPr>
        <w:t>12</w:t>
      </w:r>
      <w:r>
        <w:rPr>
          <w:rFonts w:hint="default" w:ascii="Times New Roman" w:hAnsi="Times New Roman" w:eastAsia="仿宋_GB2312" w:cs="Times New Roman"/>
          <w:color w:val="auto"/>
          <w:kern w:val="0"/>
          <w:sz w:val="32"/>
          <w:szCs w:val="32"/>
          <w:highlight w:val="none"/>
        </w:rPr>
        <w:t>项，完成重要岗位人员的离任（岗）审计</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8人次</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shd w:val="clear" w:color="auto" w:fill="FFFFFF"/>
        <w:kinsoku/>
        <w:overflowPunct/>
        <w:topLinePunct w:val="0"/>
        <w:bidi w:val="0"/>
        <w:spacing w:line="560" w:lineRule="exact"/>
        <w:ind w:left="0" w:leftChars="0" w:right="0" w:firstLine="627" w:firstLineChars="196"/>
        <w:jc w:val="both"/>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（三）采用的风险评估及计量方法</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本行严格按照《企业会计准则第22号-金融工具确认和计量》《企业会计准则第23号-金融资产转移》和《企业会计准则第37号-金融工具列报》等规定开展金融资产减值确认、计量、预测与管理等工作。</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rPr>
        <w:t>六、年度重要事项</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楷体_GB2312" w:cs="Times New Roman"/>
          <w:bCs/>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（一）</w:t>
      </w:r>
      <w:r>
        <w:rPr>
          <w:rFonts w:hint="default" w:ascii="Times New Roman" w:hAnsi="Times New Roman" w:eastAsia="楷体_GB2312" w:cs="Times New Roman"/>
          <w:bCs/>
          <w:color w:val="auto"/>
          <w:sz w:val="32"/>
          <w:szCs w:val="32"/>
          <w:highlight w:val="none"/>
        </w:rPr>
        <w:t>法律诉讼事项</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报告期末，本行存在正常业务中发生的法律诉讼事项，至2023年底针对不良贷款的诉讼案件共81件。</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kern w:val="0"/>
          <w:sz w:val="32"/>
          <w:szCs w:val="32"/>
          <w:highlight w:val="none"/>
        </w:rPr>
        <w:t>（二）关联交易情况及全部关联度</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的关联方主要包括持有本行5%以上股份的股东、董监事会成员、高级管理人员、网点负责人以及总行具有授信、资产转移、资金使用、采购等核心业务审批或决策权的人员，以上所述人员控制的企业及近亲属和近亲属控制的企业，本行持股比例达到5%以上的股东4户，持股总额7739.51万股，持股总比例27.64%。</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与关联方的关联交易主要是授信业务，没有资产转移、提供服务和其他关联交易，报告期内本行向上述关联方提供资金支持46笔、金额2374.26万元。其中向持股5%以上的非自然股东及其关联方提供资金支持7笔、金额1470.79万元；向董监事会成员及其关联方提供资金支持3笔、金额307万元；向高级管理人员、网点负责人以及总行具有授信、资产转移、资金使用、采购等核心业务审批或决策权的人员及其关联方提供资金支持36笔、金额596.47万元。</w:t>
      </w:r>
    </w:p>
    <w:p>
      <w:pPr>
        <w:keepNext w:val="0"/>
        <w:keepLines w:val="0"/>
        <w:pageBreakBefore w:val="0"/>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报告期末，本行的资本净额为65532.91万元，关联方最大单户授信余额4868.9万元，占资本净额比例为7.43%，未超过本行资本净额的10%；本行全部关联方的授信余额为15839.86万元，占资本净额比例为23.71%，未超过本行资本净额的50%。</w:t>
      </w:r>
    </w:p>
    <w:p>
      <w:pPr>
        <w:keepNext w:val="0"/>
        <w:keepLines w:val="0"/>
        <w:pageBreakBefore w:val="0"/>
        <w:kinsoku/>
        <w:overflowPunct/>
        <w:topLinePunct w:val="0"/>
        <w:bidi w:val="0"/>
        <w:spacing w:line="560" w:lineRule="exact"/>
        <w:ind w:left="0" w:leftChars="0" w:right="0" w:firstLine="640" w:firstLineChars="200"/>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color w:val="auto"/>
          <w:kern w:val="0"/>
          <w:sz w:val="32"/>
          <w:szCs w:val="32"/>
          <w:highlight w:val="none"/>
        </w:rPr>
        <w:t>（三）</w:t>
      </w:r>
      <w:r>
        <w:rPr>
          <w:rFonts w:hint="eastAsia" w:ascii="楷体_GB2312" w:hAnsi="楷体_GB2312" w:eastAsia="楷体_GB2312" w:cs="楷体_GB2312"/>
          <w:bCs/>
          <w:color w:val="auto"/>
          <w:sz w:val="32"/>
          <w:szCs w:val="32"/>
          <w:highlight w:val="none"/>
        </w:rPr>
        <w:t>责任追究情况</w:t>
      </w:r>
    </w:p>
    <w:p>
      <w:pPr>
        <w:keepNext w:val="0"/>
        <w:keepLines w:val="0"/>
        <w:pageBreakBefore w:val="0"/>
        <w:kinsoku/>
        <w:overflowPunct/>
        <w:topLinePunct w:val="0"/>
        <w:bidi w:val="0"/>
        <w:spacing w:line="560" w:lineRule="exact"/>
        <w:ind w:left="0" w:leftChars="0" w:righ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一年来，针对检查发现的问题，本行稽核审计部门分别下达整改通知书，要求各基层网点逐条逐款落实整改。上交整改报告率100%。本行对</w:t>
      </w:r>
      <w:r>
        <w:rPr>
          <w:rFonts w:hint="default" w:ascii="Times New Roman" w:hAnsi="Times New Roman" w:eastAsia="仿宋_GB2312" w:cs="Times New Roman"/>
          <w:color w:val="auto"/>
          <w:sz w:val="32"/>
          <w:szCs w:val="32"/>
          <w:highlight w:val="none"/>
          <w:lang w:val="en-US" w:eastAsia="zh-CN"/>
        </w:rPr>
        <w:t>各种违规违纪行为</w:t>
      </w:r>
      <w:r>
        <w:rPr>
          <w:rFonts w:hint="default" w:ascii="Times New Roman" w:hAnsi="Times New Roman" w:eastAsia="仿宋_GB2312" w:cs="Times New Roman"/>
          <w:color w:val="auto"/>
          <w:sz w:val="32"/>
          <w:szCs w:val="32"/>
          <w:highlight w:val="none"/>
        </w:rPr>
        <w:t>，发现一起、处理一起，202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年度共处理</w:t>
      </w:r>
      <w:r>
        <w:rPr>
          <w:rFonts w:hint="default" w:ascii="Times New Roman" w:hAnsi="Times New Roman" w:eastAsia="仿宋_GB2312" w:cs="Times New Roman"/>
          <w:color w:val="auto"/>
          <w:sz w:val="32"/>
          <w:szCs w:val="32"/>
          <w:highlight w:val="none"/>
          <w:lang w:val="en-US" w:eastAsia="zh-CN"/>
        </w:rPr>
        <w:t>366</w:t>
      </w:r>
      <w:r>
        <w:rPr>
          <w:rFonts w:hint="default" w:ascii="Times New Roman" w:hAnsi="Times New Roman" w:eastAsia="仿宋_GB2312" w:cs="Times New Roman"/>
          <w:color w:val="auto"/>
          <w:sz w:val="32"/>
          <w:szCs w:val="32"/>
          <w:highlight w:val="none"/>
        </w:rPr>
        <w:t>人次。</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（四）重大案件、重大差错、其它损失情况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报告期内，本行无重大案件、重大差错、其它损失等情况。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（五）公司、公司董事会及高级管理人员变更及接受处罚情况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rPr>
        <w:t>报告期内，</w:t>
      </w:r>
      <w:r>
        <w:rPr>
          <w:rFonts w:hint="default" w:ascii="Times New Roman" w:hAnsi="Times New Roman" w:eastAsia="仿宋_GB2312" w:cs="Times New Roman"/>
          <w:kern w:val="2"/>
          <w:sz w:val="32"/>
          <w:szCs w:val="32"/>
          <w:highlight w:val="none"/>
          <w:lang w:eastAsia="zh-CN"/>
        </w:rPr>
        <w:t>本行董事会及高级管理人员无处罚情况。</w:t>
      </w:r>
      <w:r>
        <w:rPr>
          <w:rFonts w:hint="default" w:ascii="Times New Roman" w:hAnsi="Times New Roman" w:eastAsia="仿宋_GB2312" w:cs="Times New Roman"/>
          <w:kern w:val="2"/>
          <w:sz w:val="32"/>
          <w:szCs w:val="32"/>
          <w:highlight w:val="none"/>
        </w:rPr>
        <w:t>本行及本行董事会、高级管理人员变动</w:t>
      </w:r>
      <w:r>
        <w:rPr>
          <w:rFonts w:hint="default" w:ascii="Times New Roman" w:hAnsi="Times New Roman" w:eastAsia="仿宋_GB2312" w:cs="Times New Roman"/>
          <w:kern w:val="2"/>
          <w:sz w:val="32"/>
          <w:szCs w:val="32"/>
          <w:highlight w:val="none"/>
          <w:lang w:eastAsia="zh-CN"/>
        </w:rPr>
        <w:t>3</w:t>
      </w:r>
      <w:r>
        <w:rPr>
          <w:rFonts w:hint="default" w:ascii="Times New Roman" w:hAnsi="Times New Roman" w:eastAsia="仿宋_GB2312" w:cs="Times New Roman"/>
          <w:kern w:val="2"/>
          <w:sz w:val="32"/>
          <w:szCs w:val="32"/>
          <w:highlight w:val="none"/>
        </w:rPr>
        <w:t>人。</w:t>
      </w:r>
      <w:r>
        <w:rPr>
          <w:rFonts w:hint="default" w:ascii="Times New Roman" w:hAnsi="Times New Roman" w:eastAsia="仿宋_GB2312" w:cs="Times New Roman"/>
          <w:kern w:val="2"/>
          <w:sz w:val="32"/>
          <w:szCs w:val="32"/>
          <w:highlight w:val="none"/>
          <w:lang w:val="en-US" w:eastAsia="zh-CN"/>
        </w:rPr>
        <w:t>2023年5月26日召开贵定农商银行2022年度股东大会，大会审议通过关于提请审议《贵州贵定农村商业银行股份有限公司第二届董事会非职工董事人员名单的议案》，选举新增徐丹、罗蓉为贵州贵定农村商业银行股份有限公司第二届董事会独立董事。</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eastAsia="zh-CN"/>
        </w:rPr>
        <w:t>5</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eastAsia="zh-CN"/>
        </w:rPr>
        <w:t>2</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日召开贵定农商银行第</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届董事会第</w:t>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次会议，审议通过了《关于选举梁松为贵州贵定农村商业银行股份有限公司第二届董事会董事长的提案》</w:t>
      </w:r>
      <w:r>
        <w:rPr>
          <w:rFonts w:hint="default" w:ascii="Times New Roman" w:hAnsi="Times New Roman" w:eastAsia="仿宋_GB2312" w:cs="Times New Roman"/>
          <w:sz w:val="32"/>
          <w:szCs w:val="32"/>
          <w:highlight w:val="none"/>
          <w:lang w:eastAsia="zh-CN"/>
        </w:rPr>
        <w:t>，选举梁松为</w:t>
      </w:r>
      <w:r>
        <w:rPr>
          <w:rFonts w:hint="default" w:ascii="Times New Roman" w:hAnsi="Times New Roman" w:eastAsia="仿宋_GB2312" w:cs="Times New Roman"/>
          <w:sz w:val="32"/>
          <w:szCs w:val="32"/>
          <w:highlight w:val="none"/>
        </w:rPr>
        <w:t>贵州贵定农村商业银行股份有限公司第二届董事会董事长</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eastAsia"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sz w:val="32"/>
          <w:szCs w:val="32"/>
          <w:highlight w:val="none"/>
        </w:rPr>
        <w:t>（六）法人股东转让情况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报告期内，本行无法人股转让情况。</w:t>
      </w:r>
    </w:p>
    <w:p>
      <w:pPr>
        <w:keepNext w:val="0"/>
        <w:keepLines w:val="0"/>
        <w:pageBreakBefore w:val="0"/>
        <w:widowControl/>
        <w:shd w:val="clear" w:color="auto" w:fill="FFFFFF"/>
        <w:kinsoku/>
        <w:overflowPunct/>
        <w:topLinePunct w:val="0"/>
        <w:bidi w:val="0"/>
        <w:spacing w:line="560" w:lineRule="exact"/>
        <w:ind w:left="0" w:leftChars="0" w:right="0" w:firstLine="640"/>
        <w:jc w:val="both"/>
        <w:rPr>
          <w:rFonts w:hint="eastAsia" w:ascii="楷体_GB2312" w:hAnsi="楷体_GB2312" w:eastAsia="楷体_GB2312" w:cs="楷体_GB2312"/>
          <w:color w:val="auto"/>
          <w:sz w:val="32"/>
          <w:szCs w:val="32"/>
          <w:highlight w:val="yellow"/>
          <w:lang w:val="en-US" w:eastAsia="zh-CN"/>
        </w:rPr>
      </w:pPr>
      <w:r>
        <w:rPr>
          <w:rFonts w:hint="eastAsia" w:ascii="楷体_GB2312" w:hAnsi="楷体_GB2312" w:eastAsia="楷体_GB2312" w:cs="楷体_GB2312"/>
          <w:color w:val="auto"/>
          <w:sz w:val="32"/>
          <w:szCs w:val="32"/>
          <w:highlight w:val="none"/>
        </w:rPr>
        <w:t>（七）消费者权益保护情况</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行将贯彻落实消保规章的要求纳入日常运营体系，推行诚信建设承诺制度，探索构建员工承诺、践诺、验诺和逐级包保、逐级负责的诚信管理体系。把维护农信形象、做好金融服务与切实保护金融消费者合法权益紧密结合，维护金融安全与稳定、促进社会公平正义和社会和谐。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年，本行坚持以客户为中心服务理念，切实规范金融消费者合法权益保护，202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 xml:space="preserve">年度未发生与金融消费者权益保护相关的突发事件及负面舆情，未发生违反法律法规、虚假宣传、误导或欺骗消费者而引发的大规模投诉或群体性突发事件，未发生客户金融信息泄露、滥用或不正当方式收集信息事件。 </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员工教育情况。年初制定了2023年金融消费者权益员工教育培训计划。开展了消费者权益保护工作专题培训，参训人员涵盖本行高级管理层和基层网点员工，培训能够推动消保工作开展，促进工作人员消保知识与能力提升。</w:t>
      </w:r>
    </w:p>
    <w:p>
      <w:pPr>
        <w:keepNext w:val="0"/>
        <w:keepLines w:val="0"/>
        <w:pageBreakBefore w:val="0"/>
        <w:widowControl/>
        <w:kinsoku/>
        <w:wordWrap w:val="0"/>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金融知识普及情况。积极参与人民银行贵定县支行组织的“3.15”金融消费者权益日、“普及金融知识万里行”、“金融知识普及月”等宣传活动，并自行组织了500余次“金融夜校”等活动，惠及金融消费者2万人次，通过“贵定农商银行”公众号推送金融知识</w:t>
      </w:r>
      <w:r>
        <w:rPr>
          <w:rFonts w:hint="default"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篇。</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3.投诉管理情况。本年度未发生投诉事件。</w:t>
      </w:r>
    </w:p>
    <w:p>
      <w:pPr>
        <w:keepNext w:val="0"/>
        <w:keepLines w:val="0"/>
        <w:pageBreakBefore w:val="0"/>
        <w:widowControl/>
        <w:shd w:val="clear" w:color="auto" w:fill="FFFFFF"/>
        <w:kinsoku/>
        <w:overflowPunct/>
        <w:topLinePunct w:val="0"/>
        <w:bidi w:val="0"/>
        <w:spacing w:line="560" w:lineRule="exact"/>
        <w:ind w:left="0" w:leftChars="0" w:right="0" w:firstLine="640" w:firstLineChars="200"/>
        <w:jc w:val="both"/>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（八）其他方面</w:t>
      </w:r>
    </w:p>
    <w:p>
      <w:pPr>
        <w:keepNext w:val="0"/>
        <w:keepLines w:val="0"/>
        <w:pageBreakBefore w:val="0"/>
        <w:kinsoku/>
        <w:overflowPunct/>
        <w:topLinePunct w:val="0"/>
        <w:bidi w:val="0"/>
        <w:spacing w:line="560" w:lineRule="exact"/>
        <w:ind w:left="0" w:leftChars="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1.乡村振兴担当有为。</w:t>
      </w:r>
      <w:r>
        <w:rPr>
          <w:rFonts w:hint="default" w:ascii="Times New Roman" w:hAnsi="Times New Roman" w:eastAsia="仿宋_GB2312" w:cs="Times New Roman"/>
          <w:color w:val="auto"/>
          <w:kern w:val="0"/>
          <w:sz w:val="32"/>
          <w:szCs w:val="32"/>
          <w:highlight w:val="none"/>
          <w:lang w:bidi="ar"/>
        </w:rPr>
        <w:t>一是助力村集体经济发展。2022年3月份以来，贵定农商行以生猪养殖产业链为核心，创新开展“公司＋合作社＋农户＋N”的金融服务模式，助力村集体经济创收。截至2023年底，已经有23个村集体经济合作社参与到龙头企业发展生猪养殖，村集体合作社利润收入达389万元，同时，引导村级合作社自发成立村级“互助金”，帮助化解村级不良贷款，优化信用环境，2023年通过1.2万元村级“互助金”化解不良贷款26万元，在信用环境打造上进行了大胆的探索。二是推进金融服务融入基层治理。依托贵定县“一中心一张网十联户”基层治理机制，以“网格员+联户长+客户经理”为抓手，划分39个网格，按整格推进方式，解决金融服务难问题，为农村基层治理与社会信用体系建设融合，进行了积极的探索，并得到黔南州委、州政府主要领导的充分肯定和认可。目前，线上贷款半小时即可办结，担保类贷款三个工作日内办结，并将限时服务承诺张榜公示，接受监督，真正做到贷款像取款一样方便。三是推进信贷产品创新。围绕产业振兴，为新型农业经营主体量身打造了“金牛贷”、“商易贷”等5个信贷产品;为村集体经济订制“振兴贷”，授信95家，金额2.85亿元；定制“黔农医保贷”产品，发放“医保贷”1073户，为1800余人解决医保费用问题；推出“水权贷”，发放全省首笔“取水权”质押贷款，被人民银行总行纳入典型案例。四是提升外出务工人员金融服务。按照“能识别、能联系、能服务、能持续”原则，建立完善农民工信息数据库。围绕农民工存款组织、贷款投放、不良清收、社保卡激活等，加大考核奖惩力度。目前，外出务工人员信息更新7.35万户，信息更新率达100%；贷款金额18.4亿元，较年初增长0.33亿元；存款6.97亿元，较年初增长0.27亿元</w:t>
      </w:r>
      <w:r>
        <w:rPr>
          <w:rFonts w:hint="default" w:ascii="Times New Roman" w:hAnsi="Times New Roman" w:eastAsia="仿宋_GB2312" w:cs="Times New Roman"/>
          <w:color w:val="auto"/>
          <w:sz w:val="32"/>
          <w:szCs w:val="32"/>
          <w:highlight w:val="none"/>
        </w:rPr>
        <w:t>。</w:t>
      </w: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案防安保扎实推进。一是持续开展案件防控工作。严格落实案防责任，年初由董事长与经营班子，行长与部室（网点）负责人、部室（网点）负责人与员工层层签订“案防责任书”，将案件防控责任落实到人。根据监管部门及省联社的案件风险排查工作要求及本年度案件风险排查计划，开展案件风险排查工作。2023年完成所有网点（含中心）的信贷、会计、电子银行、安全保卫等方面的检查，对全辖212名员工开展异常行为排查，建立员工异常行为台账。二是全面开展反腐倡廉工作。认真对照上级党委的有关要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落实党风廉政建设和反腐败工作。深入推进反腐倡廉教育和金融廉洁文化建设，签订目标责任书、上专题廉政党课、开展“一案一整改”等持续压实全面从严治党。组织各支部、各职能部门签订党风廉政建设和反腐败工作责任书41份，组织全行员工签订“职工个人廉洁自律承诺书”219份，按季开展员工异常行为排查，推动党风廉政建设向全行各层面不断延伸。组织开展全员廉洁从业风险点排查，不断提高廉洁自律意识和自我约束能力，从思想源头上防范违规违纪事件的发生。三是扎实开展安全保卫工作。印发了《贵州贵定农村商业银行股份有限公司2023 年安全保卫工作检查方案的通知》，对全辖所有网点、离行式自助银行按季开展安全保卫工作检查，检查覆盖面100%。</w:t>
      </w: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党建引领明显提升。充分发挥党建引领作用，以基层党支部的规范化建设为抓手，坚持从严从实抓基础、抓标准、抓长效，进一步规范基层党支部的组织、队伍、活动、制度、保障等建设，发挥党支部战斗堡垒作用和党员先锋模范作用；开展“党建+金融”助力乡村振兴工作，持续深化“三级联建”机制，从贵定农商</w:t>
      </w:r>
      <w:r>
        <w:rPr>
          <w:rFonts w:hint="default" w:ascii="Times New Roman" w:hAnsi="Times New Roman" w:eastAsia="仿宋_GB2312" w:cs="Times New Roman"/>
          <w:color w:val="auto"/>
          <w:sz w:val="32"/>
          <w:szCs w:val="32"/>
          <w:highlight w:val="none"/>
          <w:lang w:val="en-US" w:eastAsia="zh-CN"/>
        </w:rPr>
        <w:t>银</w:t>
      </w:r>
      <w:r>
        <w:rPr>
          <w:rFonts w:hint="default" w:ascii="Times New Roman" w:hAnsi="Times New Roman" w:eastAsia="仿宋_GB2312" w:cs="Times New Roman"/>
          <w:color w:val="auto"/>
          <w:sz w:val="32"/>
          <w:szCs w:val="32"/>
          <w:highlight w:val="none"/>
        </w:rPr>
        <w:t>行选派46名综合素质高、熟悉农业农村和金融业务的党员干部职工到镇（街道）担任金融副镇长（副主任）、到村担任金融干部，覆盖全县8个镇（街）、38个行政村，为各镇（街道）提供金融政策、融资贷款、项目咨询等金融服务，进一步提升“党建引领业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助力乡村振兴”工作质效，将贵州农信“十四五”发展战略规划落实落细，以点带面破解农村金融服务中存在的问题，打造农村诚信环境，构建以人为核心的普惠金融体系，破解农村金融服务难题，提升百姓的获得感、幸福感。</w:t>
      </w: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640" w:firstLineChars="200"/>
        <w:jc w:val="right"/>
        <w:textAlignment w:val="baseline"/>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贵州贵定农村商业银行股份有限公司</w:t>
      </w:r>
    </w:p>
    <w:p>
      <w:pPr>
        <w:keepNext w:val="0"/>
        <w:keepLines w:val="0"/>
        <w:pageBreakBefore w:val="0"/>
        <w:kinsoku/>
        <w:overflowPunct/>
        <w:topLinePunct w:val="0"/>
        <w:bidi w:val="0"/>
        <w:spacing w:line="560" w:lineRule="exact"/>
        <w:ind w:right="0"/>
        <w:jc w:val="right"/>
        <w:textAlignment w:val="baseline"/>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2024年4月30日</w:t>
      </w: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640" w:firstLineChars="200"/>
        <w:jc w:val="center"/>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p>
    <w:p>
      <w:pPr>
        <w:keepNext w:val="0"/>
        <w:keepLines w:val="0"/>
        <w:pageBreakBefore w:val="0"/>
        <w:kinsoku/>
        <w:overflowPunct/>
        <w:topLinePunct w:val="0"/>
        <w:bidi w:val="0"/>
        <w:spacing w:line="560" w:lineRule="exact"/>
        <w:ind w:left="0" w:leftChars="0" w:right="0" w:firstLine="4960" w:firstLineChars="1550"/>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4960" w:firstLineChars="1550"/>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4960" w:firstLineChars="1550"/>
        <w:rPr>
          <w:rFonts w:hint="default" w:ascii="Times New Roman" w:hAnsi="Times New Roman" w:eastAsia="仿宋_GB2312" w:cs="Times New Roman"/>
          <w:color w:val="auto"/>
          <w:sz w:val="32"/>
          <w:szCs w:val="32"/>
          <w:highlight w:val="none"/>
        </w:rPr>
      </w:pPr>
    </w:p>
    <w:p>
      <w:pPr>
        <w:keepNext w:val="0"/>
        <w:keepLines w:val="0"/>
        <w:pageBreakBefore w:val="0"/>
        <w:kinsoku/>
        <w:overflowPunct/>
        <w:topLinePunct w:val="0"/>
        <w:bidi w:val="0"/>
        <w:spacing w:line="560" w:lineRule="exact"/>
        <w:ind w:left="0" w:leftChars="0" w:right="0" w:firstLine="640" w:firstLineChars="200"/>
        <w:textAlignment w:val="baseline"/>
        <w:rPr>
          <w:rFonts w:hint="default" w:ascii="Times New Roman" w:hAnsi="Times New Roman" w:eastAsia="楷体_GB2312" w:cs="Times New Roman"/>
          <w:color w:val="auto"/>
          <w:sz w:val="32"/>
          <w:szCs w:val="32"/>
          <w:highlight w:val="none"/>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BD"/>
    <w:rsid w:val="00012EB5"/>
    <w:rsid w:val="00031929"/>
    <w:rsid w:val="00043FA1"/>
    <w:rsid w:val="000670EA"/>
    <w:rsid w:val="000F0928"/>
    <w:rsid w:val="001541C7"/>
    <w:rsid w:val="00157406"/>
    <w:rsid w:val="001818EB"/>
    <w:rsid w:val="001A048A"/>
    <w:rsid w:val="001A3F01"/>
    <w:rsid w:val="001C773C"/>
    <w:rsid w:val="001D401E"/>
    <w:rsid w:val="001E54FE"/>
    <w:rsid w:val="001F5F50"/>
    <w:rsid w:val="00232C1B"/>
    <w:rsid w:val="00262C46"/>
    <w:rsid w:val="00267F51"/>
    <w:rsid w:val="0028373B"/>
    <w:rsid w:val="002D576B"/>
    <w:rsid w:val="00317342"/>
    <w:rsid w:val="003215ED"/>
    <w:rsid w:val="003C2ABE"/>
    <w:rsid w:val="003C7A86"/>
    <w:rsid w:val="00437CC5"/>
    <w:rsid w:val="004F3FC4"/>
    <w:rsid w:val="00503F8F"/>
    <w:rsid w:val="005827B4"/>
    <w:rsid w:val="005956D2"/>
    <w:rsid w:val="005D32C3"/>
    <w:rsid w:val="005D593B"/>
    <w:rsid w:val="00606AC3"/>
    <w:rsid w:val="00670628"/>
    <w:rsid w:val="006A7606"/>
    <w:rsid w:val="006B58AF"/>
    <w:rsid w:val="006D61CC"/>
    <w:rsid w:val="006E1AB1"/>
    <w:rsid w:val="00703B94"/>
    <w:rsid w:val="007365C5"/>
    <w:rsid w:val="007601B9"/>
    <w:rsid w:val="00764BCB"/>
    <w:rsid w:val="007A3A80"/>
    <w:rsid w:val="007B0BFF"/>
    <w:rsid w:val="00807304"/>
    <w:rsid w:val="00847441"/>
    <w:rsid w:val="008B49F3"/>
    <w:rsid w:val="00924D80"/>
    <w:rsid w:val="009410BF"/>
    <w:rsid w:val="00975295"/>
    <w:rsid w:val="00995702"/>
    <w:rsid w:val="009B3E82"/>
    <w:rsid w:val="009B60CD"/>
    <w:rsid w:val="009D503F"/>
    <w:rsid w:val="009F5AE3"/>
    <w:rsid w:val="00A211DD"/>
    <w:rsid w:val="00A44269"/>
    <w:rsid w:val="00A74BF8"/>
    <w:rsid w:val="00AA72E9"/>
    <w:rsid w:val="00AB1556"/>
    <w:rsid w:val="00AC00B7"/>
    <w:rsid w:val="00AC514B"/>
    <w:rsid w:val="00AE739F"/>
    <w:rsid w:val="00AF27F2"/>
    <w:rsid w:val="00B03961"/>
    <w:rsid w:val="00B157B1"/>
    <w:rsid w:val="00B4211C"/>
    <w:rsid w:val="00B5740F"/>
    <w:rsid w:val="00BB100D"/>
    <w:rsid w:val="00BF099F"/>
    <w:rsid w:val="00BF67C2"/>
    <w:rsid w:val="00C02A10"/>
    <w:rsid w:val="00C02E1D"/>
    <w:rsid w:val="00C44542"/>
    <w:rsid w:val="00C8147F"/>
    <w:rsid w:val="00C859D3"/>
    <w:rsid w:val="00C9428E"/>
    <w:rsid w:val="00D15A37"/>
    <w:rsid w:val="00D60C7B"/>
    <w:rsid w:val="00D72196"/>
    <w:rsid w:val="00DA7D06"/>
    <w:rsid w:val="00DC49A4"/>
    <w:rsid w:val="00DD1F99"/>
    <w:rsid w:val="00E368A6"/>
    <w:rsid w:val="00E4325D"/>
    <w:rsid w:val="00E51DBD"/>
    <w:rsid w:val="00E52A0D"/>
    <w:rsid w:val="00EB00CA"/>
    <w:rsid w:val="00EC69E5"/>
    <w:rsid w:val="00ED29B3"/>
    <w:rsid w:val="00EF5E54"/>
    <w:rsid w:val="00F326C6"/>
    <w:rsid w:val="00F97727"/>
    <w:rsid w:val="00FA2436"/>
    <w:rsid w:val="01032278"/>
    <w:rsid w:val="018F2168"/>
    <w:rsid w:val="01B60BCD"/>
    <w:rsid w:val="01CC004B"/>
    <w:rsid w:val="041A6C17"/>
    <w:rsid w:val="0490333A"/>
    <w:rsid w:val="05FE3BC6"/>
    <w:rsid w:val="0780775E"/>
    <w:rsid w:val="07932F0D"/>
    <w:rsid w:val="07A94C1A"/>
    <w:rsid w:val="08605566"/>
    <w:rsid w:val="08877978"/>
    <w:rsid w:val="08DF42C7"/>
    <w:rsid w:val="096B11E9"/>
    <w:rsid w:val="09E81BCD"/>
    <w:rsid w:val="0B6B3D7C"/>
    <w:rsid w:val="0C37195B"/>
    <w:rsid w:val="0DAB0449"/>
    <w:rsid w:val="0E65407F"/>
    <w:rsid w:val="0E883494"/>
    <w:rsid w:val="0E8A6E8E"/>
    <w:rsid w:val="0EBE5E41"/>
    <w:rsid w:val="0F2B31D9"/>
    <w:rsid w:val="0F7440EF"/>
    <w:rsid w:val="12B76494"/>
    <w:rsid w:val="14E95717"/>
    <w:rsid w:val="15EA2484"/>
    <w:rsid w:val="16B13D80"/>
    <w:rsid w:val="16DD13FE"/>
    <w:rsid w:val="170F5394"/>
    <w:rsid w:val="17796D81"/>
    <w:rsid w:val="17D44E07"/>
    <w:rsid w:val="17E975C5"/>
    <w:rsid w:val="19635B52"/>
    <w:rsid w:val="19EE3060"/>
    <w:rsid w:val="1A3B6BD1"/>
    <w:rsid w:val="1A4529BC"/>
    <w:rsid w:val="1AA0410C"/>
    <w:rsid w:val="1AB56222"/>
    <w:rsid w:val="1B3D6725"/>
    <w:rsid w:val="1BA24671"/>
    <w:rsid w:val="1BD44413"/>
    <w:rsid w:val="1BF17FEF"/>
    <w:rsid w:val="1C4E5530"/>
    <w:rsid w:val="1D28042E"/>
    <w:rsid w:val="1DB90895"/>
    <w:rsid w:val="1DBA1EA5"/>
    <w:rsid w:val="1E51662C"/>
    <w:rsid w:val="1E9C71CE"/>
    <w:rsid w:val="1E9D6208"/>
    <w:rsid w:val="1F366605"/>
    <w:rsid w:val="1F782309"/>
    <w:rsid w:val="1F882FB8"/>
    <w:rsid w:val="1FB75776"/>
    <w:rsid w:val="2007180C"/>
    <w:rsid w:val="20781D4B"/>
    <w:rsid w:val="214948B3"/>
    <w:rsid w:val="21841D25"/>
    <w:rsid w:val="223A4B5B"/>
    <w:rsid w:val="23504C27"/>
    <w:rsid w:val="23F26B9B"/>
    <w:rsid w:val="25616B9E"/>
    <w:rsid w:val="25797751"/>
    <w:rsid w:val="25943E1F"/>
    <w:rsid w:val="26055787"/>
    <w:rsid w:val="26265ACC"/>
    <w:rsid w:val="2643390B"/>
    <w:rsid w:val="265039C5"/>
    <w:rsid w:val="26E4729B"/>
    <w:rsid w:val="276D0606"/>
    <w:rsid w:val="27993B63"/>
    <w:rsid w:val="27F6415E"/>
    <w:rsid w:val="2805032F"/>
    <w:rsid w:val="293370FE"/>
    <w:rsid w:val="29E248DB"/>
    <w:rsid w:val="29E70578"/>
    <w:rsid w:val="2A303E78"/>
    <w:rsid w:val="2ADB25B0"/>
    <w:rsid w:val="2B9C0A3F"/>
    <w:rsid w:val="2DA408AF"/>
    <w:rsid w:val="2F545254"/>
    <w:rsid w:val="2FA97110"/>
    <w:rsid w:val="300342A1"/>
    <w:rsid w:val="30C52D7C"/>
    <w:rsid w:val="32E75D66"/>
    <w:rsid w:val="333F4423"/>
    <w:rsid w:val="34542B39"/>
    <w:rsid w:val="34E07577"/>
    <w:rsid w:val="36417B03"/>
    <w:rsid w:val="36A043EE"/>
    <w:rsid w:val="36BE02F9"/>
    <w:rsid w:val="38B13667"/>
    <w:rsid w:val="393B0509"/>
    <w:rsid w:val="3A61528F"/>
    <w:rsid w:val="3A7F6F32"/>
    <w:rsid w:val="3A813D0F"/>
    <w:rsid w:val="3BF529D8"/>
    <w:rsid w:val="3C9C7228"/>
    <w:rsid w:val="3CD73C7F"/>
    <w:rsid w:val="3CE64D00"/>
    <w:rsid w:val="3F0534CE"/>
    <w:rsid w:val="3FF37856"/>
    <w:rsid w:val="409720D4"/>
    <w:rsid w:val="40C93562"/>
    <w:rsid w:val="410B6778"/>
    <w:rsid w:val="41A12421"/>
    <w:rsid w:val="42406DE0"/>
    <w:rsid w:val="43CA1FE9"/>
    <w:rsid w:val="45171D35"/>
    <w:rsid w:val="456E3ECD"/>
    <w:rsid w:val="45E14BC9"/>
    <w:rsid w:val="46706402"/>
    <w:rsid w:val="469C08AA"/>
    <w:rsid w:val="46CE02E5"/>
    <w:rsid w:val="46EC3739"/>
    <w:rsid w:val="46EF1420"/>
    <w:rsid w:val="479D6DC2"/>
    <w:rsid w:val="48CD246A"/>
    <w:rsid w:val="4A3D7542"/>
    <w:rsid w:val="4BDF1572"/>
    <w:rsid w:val="4C087DB9"/>
    <w:rsid w:val="4C7B0AF8"/>
    <w:rsid w:val="4C8179CA"/>
    <w:rsid w:val="4D963717"/>
    <w:rsid w:val="4E3C16E8"/>
    <w:rsid w:val="4F466932"/>
    <w:rsid w:val="4F506733"/>
    <w:rsid w:val="510E37F5"/>
    <w:rsid w:val="51265292"/>
    <w:rsid w:val="534A7683"/>
    <w:rsid w:val="53740394"/>
    <w:rsid w:val="53CB349B"/>
    <w:rsid w:val="549D5968"/>
    <w:rsid w:val="55684F0E"/>
    <w:rsid w:val="580D5B40"/>
    <w:rsid w:val="587C1094"/>
    <w:rsid w:val="58965752"/>
    <w:rsid w:val="58AA1414"/>
    <w:rsid w:val="59D9209E"/>
    <w:rsid w:val="5A2F3AB5"/>
    <w:rsid w:val="5B9407B5"/>
    <w:rsid w:val="5BE71E3E"/>
    <w:rsid w:val="5D640F2E"/>
    <w:rsid w:val="5D7F7845"/>
    <w:rsid w:val="5DCE14E8"/>
    <w:rsid w:val="5E6C0A0A"/>
    <w:rsid w:val="5F18216A"/>
    <w:rsid w:val="5FB805EC"/>
    <w:rsid w:val="615C1B0F"/>
    <w:rsid w:val="617A6DEB"/>
    <w:rsid w:val="62487311"/>
    <w:rsid w:val="63264DFE"/>
    <w:rsid w:val="637C65AD"/>
    <w:rsid w:val="63BE63F5"/>
    <w:rsid w:val="6403294F"/>
    <w:rsid w:val="64743753"/>
    <w:rsid w:val="6559560C"/>
    <w:rsid w:val="65716549"/>
    <w:rsid w:val="65BF1F39"/>
    <w:rsid w:val="65D36176"/>
    <w:rsid w:val="66AE7BBF"/>
    <w:rsid w:val="685D009C"/>
    <w:rsid w:val="68DB3D85"/>
    <w:rsid w:val="69D95CB9"/>
    <w:rsid w:val="69FB419F"/>
    <w:rsid w:val="6AB800B4"/>
    <w:rsid w:val="6B8A203C"/>
    <w:rsid w:val="6C704002"/>
    <w:rsid w:val="6D0F6FB2"/>
    <w:rsid w:val="6D604891"/>
    <w:rsid w:val="6E9949B5"/>
    <w:rsid w:val="6F323B41"/>
    <w:rsid w:val="6F8E08F2"/>
    <w:rsid w:val="70614D3D"/>
    <w:rsid w:val="715A2765"/>
    <w:rsid w:val="71642A47"/>
    <w:rsid w:val="733712EC"/>
    <w:rsid w:val="736D2568"/>
    <w:rsid w:val="73A2434D"/>
    <w:rsid w:val="73B51D7B"/>
    <w:rsid w:val="74241363"/>
    <w:rsid w:val="74732EEF"/>
    <w:rsid w:val="747A6905"/>
    <w:rsid w:val="75981CBE"/>
    <w:rsid w:val="75B62E5C"/>
    <w:rsid w:val="75C66ACE"/>
    <w:rsid w:val="75E54297"/>
    <w:rsid w:val="76860494"/>
    <w:rsid w:val="768E665A"/>
    <w:rsid w:val="77861A8C"/>
    <w:rsid w:val="779E1410"/>
    <w:rsid w:val="77ED3A77"/>
    <w:rsid w:val="78136B71"/>
    <w:rsid w:val="781869EA"/>
    <w:rsid w:val="78C31732"/>
    <w:rsid w:val="79967EEB"/>
    <w:rsid w:val="7A4424F9"/>
    <w:rsid w:val="7A796F51"/>
    <w:rsid w:val="7AAF063E"/>
    <w:rsid w:val="7B07069B"/>
    <w:rsid w:val="7B881887"/>
    <w:rsid w:val="7B9C7A83"/>
    <w:rsid w:val="7BA91189"/>
    <w:rsid w:val="7C1C2167"/>
    <w:rsid w:val="7C20475E"/>
    <w:rsid w:val="7DCB166B"/>
    <w:rsid w:val="7DDA1917"/>
    <w:rsid w:val="7E705A91"/>
    <w:rsid w:val="7E8E21C2"/>
    <w:rsid w:val="7EBC55E9"/>
    <w:rsid w:val="7EE465C8"/>
    <w:rsid w:val="7FF9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2275</Words>
  <Characters>12969</Characters>
  <Lines>108</Lines>
  <Paragraphs>30</Paragraphs>
  <TotalTime>61</TotalTime>
  <ScaleCrop>false</ScaleCrop>
  <LinksUpToDate>false</LinksUpToDate>
  <CharactersWithSpaces>15214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2023-03-28T03:17:00Z</dcterms:created>
  <dc:creator>132742-熊丽琴</dc:creator>
  <cp:lastModifiedBy>134378-罗教毅</cp:lastModifiedBy>
  <cp:lastPrinted>2023-04-28T06:21:00Z</cp:lastPrinted>
  <dcterms:modified xsi:type="dcterms:W3CDTF">2024-05-28T13:08:12Z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