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hAnsi="Calibri" w:eastAsia="仿宋_GB2312" w:cs="Times New Roman"/>
          <w:color w:val="auto"/>
          <w:sz w:val="24"/>
          <w:szCs w:val="24"/>
          <w:highlight w:val="none"/>
          <w:lang w:val="en-US" w:eastAsia="zh-CN"/>
        </w:rPr>
      </w:pPr>
      <w:bookmarkStart w:id="61" w:name="_GoBack"/>
      <w:bookmarkEnd w:id="61"/>
      <w:r>
        <w:rPr>
          <w:rFonts w:hint="eastAsia" w:ascii="仿宋_GB2312" w:hAnsi="Calibri" w:eastAsia="仿宋_GB2312" w:cs="Times New Roman"/>
          <w:color w:val="auto"/>
          <w:sz w:val="24"/>
          <w:szCs w:val="24"/>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000000" w:themeColor="text1"/>
          <w:sz w:val="44"/>
          <w:szCs w:val="44"/>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lang w:val="en-US" w:eastAsia="zh-CN"/>
          <w14:textFill>
            <w14:solidFill>
              <w14:schemeClr w14:val="tx1"/>
            </w14:solidFill>
          </w14:textFill>
        </w:rPr>
        <w:t>关联交易管理系统技术要求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000000" w:themeColor="text1"/>
          <w:sz w:val="44"/>
          <w:szCs w:val="44"/>
          <w:lang w:val="en-US" w:eastAsia="zh-CN"/>
          <w14:textFill>
            <w14:solidFill>
              <w14:schemeClr w14:val="tx1"/>
            </w14:solidFill>
          </w14:textFill>
        </w:rPr>
      </w:pPr>
    </w:p>
    <w:p>
      <w:pPr>
        <w:spacing w:line="560" w:lineRule="exact"/>
        <w:ind w:firstLine="640" w:firstLineChars="200"/>
        <w:outlineLvl w:val="0"/>
        <w:rPr>
          <w:rFonts w:hint="eastAsia" w:ascii="黑体" w:hAnsi="黑体" w:eastAsia="黑体" w:cs="Times New Roman"/>
          <w:color w:val="auto"/>
          <w:sz w:val="32"/>
          <w:szCs w:val="32"/>
          <w:highlight w:val="none"/>
          <w:lang w:eastAsia="zh-CN"/>
        </w:rPr>
      </w:pPr>
      <w:bookmarkStart w:id="0" w:name="_Toc60758346"/>
      <w:r>
        <w:rPr>
          <w:rFonts w:hint="eastAsia" w:ascii="黑体" w:hAnsi="黑体" w:eastAsia="黑体" w:cs="Times New Roman"/>
          <w:color w:val="auto"/>
          <w:sz w:val="32"/>
          <w:szCs w:val="32"/>
          <w:highlight w:val="none"/>
          <w:lang w:val="en-US" w:eastAsia="zh-CN"/>
        </w:rPr>
        <w:t>一</w:t>
      </w:r>
      <w:r>
        <w:rPr>
          <w:rFonts w:hint="eastAsia" w:ascii="黑体" w:hAnsi="黑体" w:eastAsia="黑体" w:cs="Times New Roman"/>
          <w:color w:val="auto"/>
          <w:sz w:val="32"/>
          <w:szCs w:val="32"/>
          <w:highlight w:val="none"/>
          <w:lang w:eastAsia="zh-CN"/>
        </w:rPr>
        <w:t>、</w:t>
      </w:r>
      <w:bookmarkEnd w:id="0"/>
      <w:r>
        <w:rPr>
          <w:rFonts w:hint="eastAsia" w:ascii="黑体" w:hAnsi="黑体" w:eastAsia="黑体" w:cs="Times New Roman"/>
          <w:color w:val="auto"/>
          <w:sz w:val="32"/>
          <w:szCs w:val="32"/>
          <w:highlight w:val="none"/>
          <w:lang w:eastAsia="zh-CN"/>
        </w:rPr>
        <w:t>项目情况</w:t>
      </w:r>
    </w:p>
    <w:p>
      <w:pPr>
        <w:spacing w:line="560" w:lineRule="exact"/>
        <w:ind w:firstLine="480" w:firstLineChars="200"/>
        <w:outlineLvl w:val="1"/>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（一）项目概况</w:t>
      </w:r>
    </w:p>
    <w:p>
      <w:pPr>
        <w:pStyle w:val="11"/>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根据监管部门提出“银保机构要加强自身关联交易管理信息化建设”。为夯实我社关联交易管理制度基础，强化我社关联交易的信息化管理水平，我社计划于2024年完成关联交易管理系统建设工作。</w:t>
      </w:r>
    </w:p>
    <w:p>
      <w:pPr>
        <w:numPr>
          <w:ilvl w:val="0"/>
          <w:numId w:val="0"/>
        </w:numPr>
        <w:spacing w:line="560" w:lineRule="exact"/>
        <w:ind w:firstLine="480" w:firstLineChars="200"/>
        <w:outlineLvl w:val="1"/>
        <w:rPr>
          <w:rFonts w:hint="eastAsia" w:ascii="仿宋_GB2312" w:hAnsi="Calibri" w:eastAsia="仿宋_GB2312" w:cs="Times New Roman"/>
          <w:color w:val="auto"/>
          <w:sz w:val="24"/>
          <w:szCs w:val="24"/>
          <w:highlight w:val="none"/>
          <w:lang w:val="en-US" w:eastAsia="zh-CN"/>
        </w:rPr>
      </w:pPr>
      <w:r>
        <w:rPr>
          <w:rFonts w:hint="eastAsia" w:ascii="仿宋_GB2312" w:hAnsi="Calibri" w:eastAsia="仿宋_GB2312" w:cs="Times New Roman"/>
          <w:color w:val="auto"/>
          <w:sz w:val="24"/>
          <w:szCs w:val="24"/>
          <w:highlight w:val="none"/>
          <w:lang w:val="en-US" w:eastAsia="zh-CN"/>
        </w:rPr>
        <w:t>（二）项目目标</w:t>
      </w:r>
    </w:p>
    <w:p>
      <w:pPr>
        <w:numPr>
          <w:ilvl w:val="0"/>
          <w:numId w:val="0"/>
        </w:numPr>
        <w:spacing w:line="560" w:lineRule="exact"/>
        <w:ind w:firstLine="480" w:firstLineChars="200"/>
        <w:outlineLvl w:val="1"/>
        <w:rPr>
          <w:rFonts w:hint="eastAsia" w:ascii="仿宋_GB2312" w:hAnsi="Calibri" w:eastAsia="仿宋_GB2312" w:cs="Times New Roman"/>
          <w:color w:val="auto"/>
          <w:sz w:val="24"/>
          <w:szCs w:val="24"/>
          <w:highlight w:val="none"/>
          <w:lang w:val="en-US" w:eastAsia="zh-CN"/>
        </w:rPr>
      </w:pPr>
      <w:r>
        <w:rPr>
          <w:rFonts w:hint="eastAsia" w:ascii="仿宋_GB2312" w:hAnsi="Calibri" w:eastAsia="仿宋_GB2312" w:cs="Times New Roman"/>
          <w:color w:val="auto"/>
          <w:sz w:val="24"/>
          <w:szCs w:val="24"/>
          <w:highlight w:val="none"/>
          <w:lang w:val="en-US" w:eastAsia="zh-CN"/>
        </w:rPr>
        <w:t>通过信息化、智能化系统对关联交易管理和风险控制，满足监管对关联交易的管理要求，实现对关联方信息的获取、认定、审批功能，形成全省统一的关联方信息库，提升全省农信关联交易管理水平，减少在交易过程中所产生的不公允的交易条件，将风险和代价控制在最低水平。</w:t>
      </w:r>
    </w:p>
    <w:p>
      <w:pPr>
        <w:numPr>
          <w:ilvl w:val="0"/>
          <w:numId w:val="0"/>
        </w:numPr>
        <w:spacing w:line="560" w:lineRule="exact"/>
        <w:ind w:firstLine="480" w:firstLineChars="200"/>
        <w:outlineLvl w:val="1"/>
        <w:rPr>
          <w:rFonts w:hint="eastAsia" w:ascii="仿宋_GB2312" w:hAnsi="Calibri" w:eastAsia="仿宋_GB2312" w:cs="Times New Roman"/>
          <w:color w:val="auto"/>
          <w:sz w:val="24"/>
          <w:szCs w:val="24"/>
          <w:highlight w:val="none"/>
          <w:lang w:val="en-US" w:eastAsia="zh-CN"/>
        </w:rPr>
      </w:pPr>
      <w:r>
        <w:rPr>
          <w:rFonts w:hint="eastAsia" w:ascii="仿宋_GB2312" w:hAnsi="Calibri" w:eastAsia="仿宋_GB2312" w:cs="Times New Roman"/>
          <w:color w:val="auto"/>
          <w:sz w:val="24"/>
          <w:szCs w:val="24"/>
          <w:highlight w:val="none"/>
          <w:lang w:val="en-US" w:eastAsia="zh-CN"/>
        </w:rPr>
        <w:t>（三）项目范围</w:t>
      </w:r>
    </w:p>
    <w:p>
      <w:pPr>
        <w:pStyle w:val="11"/>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建设关联交易管理系统，实现全省各行社关联交易自动化、信息化管理，持续完善关联方认定名单，规范关联交易流程，增强关联交易合规意识和风险防控能力。主要建设内容如下：</w:t>
      </w:r>
    </w:p>
    <w:p>
      <w:pPr>
        <w:pStyle w:val="11"/>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1.关联方管理。建立关联方管理和监测机制，涵盖关联方名单、关联方（自然人、法人或非法人组织）管理、疑似关联方管理、派生关联方管理等模块。</w:t>
      </w:r>
    </w:p>
    <w:p>
      <w:pPr>
        <w:pStyle w:val="11"/>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2.关联交易控制。搭建关联交易管理模块，利用相关规则模型实现对关联交易的识别、预警，支持关联交易事前、事中和事后关联交易全流程控制机制。</w:t>
      </w:r>
    </w:p>
    <w:p>
      <w:pPr>
        <w:pStyle w:val="11"/>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3.信息披露和监管报送。系统自动筛选出符合披露条件的关联交易，生成关联交易公告披露提示。同时，系统获取并定期整理关联交易相关数据，生成监管要求披露的报告报表。</w:t>
      </w:r>
    </w:p>
    <w:p>
      <w:pPr>
        <w:pStyle w:val="11"/>
        <w:rPr>
          <w:rFonts w:hint="default"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4.监督预警。以监管硬性要求为标准，省联社统一配置关联交易限额预警参数。行社可根据自身管理需求自行增配限额预警参数，对相关交易进行预警提示或阻断挂起。</w:t>
      </w:r>
    </w:p>
    <w:p>
      <w:pPr>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0"/>
        <w:rPr>
          <w:rFonts w:hint="eastAsia" w:ascii="黑体" w:hAnsi="黑体" w:eastAsia="黑体" w:cs="Times New Roman"/>
          <w:color w:val="auto"/>
          <w:sz w:val="32"/>
          <w:szCs w:val="32"/>
          <w:highlight w:val="none"/>
          <w:lang w:eastAsia="zh-CN"/>
        </w:rPr>
      </w:pPr>
      <w:r>
        <w:rPr>
          <w:rFonts w:hint="eastAsia" w:ascii="黑体" w:hAnsi="黑体" w:eastAsia="黑体" w:cs="Times New Roman"/>
          <w:color w:val="auto"/>
          <w:sz w:val="32"/>
          <w:szCs w:val="32"/>
          <w:highlight w:val="none"/>
          <w:lang w:val="en-US" w:eastAsia="zh-CN"/>
        </w:rPr>
        <w:t>二、</w:t>
      </w:r>
      <w:r>
        <w:rPr>
          <w:rFonts w:hint="eastAsia" w:ascii="黑体" w:hAnsi="黑体" w:eastAsia="黑体" w:cs="Times New Roman"/>
          <w:color w:val="auto"/>
          <w:sz w:val="32"/>
          <w:szCs w:val="32"/>
          <w:highlight w:val="none"/>
          <w:lang w:eastAsia="zh-CN"/>
        </w:rPr>
        <w:t>功能需求</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 w:name="_Toc833521041"/>
      <w:bookmarkStart w:id="2" w:name="_Toc1710594426"/>
      <w:bookmarkStart w:id="3" w:name="_Toc1472809220"/>
      <w:r>
        <w:rPr>
          <w:rFonts w:hint="default" w:ascii="仿宋_GB2312" w:hAnsi="仿宋_GB2312" w:eastAsia="仿宋_GB2312" w:cs="仿宋_GB2312"/>
          <w:color w:val="auto"/>
          <w:sz w:val="24"/>
          <w:szCs w:val="24"/>
          <w:highlight w:val="none"/>
          <w:lang w:val="en-US" w:eastAsia="zh-CN"/>
        </w:rPr>
        <w:t>根据国内关联交易管理的相关法规、监管要求，结合贵州农信改制模式及日常管控需求，建设包含关联方、关联交易识别、申报、备案、审批与报送、披露的完善、规范化管理的关联交易管理系统，实现省联社层面、行社层面关联交易的全面监管、全面合规，促进关联交易信息化管理能力提升。具体需求如下：</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w:t>
      </w:r>
      <w:r>
        <w:rPr>
          <w:rFonts w:hint="default" w:ascii="仿宋_GB2312" w:hAnsi="仿宋_GB2312" w:eastAsia="仿宋_GB2312" w:cs="仿宋_GB2312"/>
          <w:color w:val="auto"/>
          <w:sz w:val="24"/>
          <w:szCs w:val="24"/>
          <w:highlight w:val="none"/>
          <w:lang w:val="en-US" w:eastAsia="zh-CN"/>
        </w:rPr>
        <w:t>系统首页</w:t>
      </w:r>
      <w:bookmarkEnd w:id="1"/>
      <w:bookmarkEnd w:id="2"/>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工作台可为不同权限、机构的业务人员提供信息展示与业务办理的入口，首页实现个性化界面配置，实现常用菜单的快速跳转；根据系统内关联方和关联交易数据进行统计，以可视化图表形式展现数据统计情况。所有功能均支持PC端及手机端。</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4" w:name="_Toc1740034464"/>
      <w:bookmarkStart w:id="5" w:name="_Toc1872933770"/>
      <w:r>
        <w:rPr>
          <w:rFonts w:hint="eastAsia" w:ascii="仿宋_GB2312" w:hAnsi="仿宋_GB2312" w:eastAsia="仿宋_GB2312" w:cs="仿宋_GB2312"/>
          <w:color w:val="auto"/>
          <w:sz w:val="24"/>
          <w:szCs w:val="24"/>
          <w:highlight w:val="none"/>
          <w:lang w:val="en-US" w:eastAsia="zh-CN"/>
        </w:rPr>
        <w:t>（二）</w:t>
      </w:r>
      <w:r>
        <w:rPr>
          <w:rFonts w:hint="default" w:ascii="仿宋_GB2312" w:hAnsi="仿宋_GB2312" w:eastAsia="仿宋_GB2312" w:cs="仿宋_GB2312"/>
          <w:color w:val="auto"/>
          <w:sz w:val="24"/>
          <w:szCs w:val="24"/>
          <w:highlight w:val="none"/>
          <w:lang w:val="en-US" w:eastAsia="zh-CN"/>
        </w:rPr>
        <w:t>关联方管理</w:t>
      </w:r>
      <w:bookmarkEnd w:id="4"/>
      <w:bookmarkEnd w:id="5"/>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包括：关联方名单、关联方管理、疑似关联方管理、派生关联方管理等模块。</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6" w:name="_Toc48591815"/>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关联方的管理</w:t>
      </w:r>
      <w:bookmarkEnd w:id="6"/>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对自然人、法人或非法人组织的分别管理，支持单个录入、通过Excel批量导入等方式建立关联方信息，作为关联方信息申报的入口。支持关联关系新增、维护、解除等操作，支持关联方姓名、证件号码二要素验证，支持与相关系统（大零售、公司信贷、人资、资本管理系统）对接自动识别填充关联方基础信息，支持自行配置关联方审批流程。关联方管理需结合银保监会监管口径和《</w:t>
      </w:r>
      <w:r>
        <w:rPr>
          <w:rFonts w:hint="eastAsia" w:ascii="仿宋_GB2312" w:hAnsi="仿宋_GB2312" w:eastAsia="仿宋_GB2312" w:cs="仿宋_GB2312"/>
          <w:color w:val="auto"/>
          <w:sz w:val="24"/>
          <w:szCs w:val="24"/>
          <w:highlight w:val="none"/>
          <w:lang w:val="en-US" w:eastAsia="zh-CN"/>
        </w:rPr>
        <w:t>我社</w:t>
      </w:r>
      <w:r>
        <w:rPr>
          <w:rFonts w:hint="default" w:ascii="仿宋_GB2312" w:hAnsi="仿宋_GB2312" w:eastAsia="仿宋_GB2312" w:cs="仿宋_GB2312"/>
          <w:color w:val="auto"/>
          <w:sz w:val="24"/>
          <w:szCs w:val="24"/>
          <w:highlight w:val="none"/>
          <w:lang w:val="en-US" w:eastAsia="zh-CN"/>
        </w:rPr>
        <w:t>关联交易管理办法</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支持多口径下的关联方身份标签化管理机制，入库的关联方可以根据关联方标签或关联关系自动判断监管机构，完善关联方名单及相关信息。支持后续监管机构和监管内容的扩展。</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系统支持设置关联方的有效期管理规则，一是根据关联方定义和获取的关联方关键信息，人工设置关联方生效、失效时间。二是根据关联方身份和所适用的监管办法确定有效期是否需要再向前追溯或向后延续监管要求的时间。</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7" w:name="_Toc1958112221"/>
      <w:r>
        <w:rPr>
          <w:rFonts w:hint="eastAsia" w:ascii="仿宋_GB2312" w:hAnsi="仿宋_GB2312" w:eastAsia="仿宋_GB2312" w:cs="仿宋_GB2312"/>
          <w:color w:val="auto"/>
          <w:sz w:val="24"/>
          <w:szCs w:val="24"/>
          <w:highlight w:val="none"/>
          <w:lang w:val="en-US" w:eastAsia="zh-CN"/>
        </w:rPr>
        <w:t>2.</w:t>
      </w:r>
      <w:r>
        <w:rPr>
          <w:rFonts w:hint="default" w:ascii="仿宋_GB2312" w:hAnsi="仿宋_GB2312" w:eastAsia="仿宋_GB2312" w:cs="仿宋_GB2312"/>
          <w:color w:val="auto"/>
          <w:sz w:val="24"/>
          <w:szCs w:val="24"/>
          <w:highlight w:val="none"/>
          <w:lang w:val="en-US" w:eastAsia="zh-CN"/>
        </w:rPr>
        <w:t>疑似关联方管理</w:t>
      </w:r>
      <w:bookmarkEnd w:id="7"/>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对接外部数据，支持疑似关联方（尚未确认于名单中）名单管理，以监管要求为依据，遵循实质重于形式原则，设置识别规则模型主动获取疑似关联方名单，系统支持对疑似关联方认定规则的自定义管理，实现对疑似关联方的主动识别。</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8" w:name="_Toc1880990325"/>
      <w:r>
        <w:rPr>
          <w:rFonts w:hint="eastAsia" w:ascii="仿宋_GB2312" w:hAnsi="仿宋_GB2312" w:eastAsia="仿宋_GB2312" w:cs="仿宋_GB2312"/>
          <w:color w:val="auto"/>
          <w:sz w:val="24"/>
          <w:szCs w:val="24"/>
          <w:highlight w:val="none"/>
          <w:lang w:val="en-US" w:eastAsia="zh-CN"/>
        </w:rPr>
        <w:t>3.</w:t>
      </w:r>
      <w:r>
        <w:rPr>
          <w:rFonts w:hint="default" w:ascii="仿宋_GB2312" w:hAnsi="仿宋_GB2312" w:eastAsia="仿宋_GB2312" w:cs="仿宋_GB2312"/>
          <w:color w:val="auto"/>
          <w:sz w:val="24"/>
          <w:szCs w:val="24"/>
          <w:highlight w:val="none"/>
          <w:lang w:val="en-US" w:eastAsia="zh-CN"/>
        </w:rPr>
        <w:t>派生关联方管理</w:t>
      </w:r>
      <w:bookmarkEnd w:id="8"/>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派生关联方名单管理。支持省联社及审计中心层面支持查看辖内派生关联方基本信息、取得授信主体数量、信息和授信额度，行社层面支持查看涉及本行社的派生关联方基本信息、取得授信主体数量和授信额度。</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9" w:name="_Toc953041024"/>
      <w:r>
        <w:rPr>
          <w:rFonts w:hint="eastAsia" w:ascii="仿宋_GB2312" w:hAnsi="仿宋_GB2312" w:eastAsia="仿宋_GB2312" w:cs="仿宋_GB2312"/>
          <w:color w:val="auto"/>
          <w:sz w:val="24"/>
          <w:szCs w:val="24"/>
          <w:highlight w:val="none"/>
          <w:lang w:val="en-US" w:eastAsia="zh-CN"/>
        </w:rPr>
        <w:t>4.</w:t>
      </w:r>
      <w:r>
        <w:rPr>
          <w:rFonts w:hint="default" w:ascii="仿宋_GB2312" w:hAnsi="仿宋_GB2312" w:eastAsia="仿宋_GB2312" w:cs="仿宋_GB2312"/>
          <w:color w:val="auto"/>
          <w:sz w:val="24"/>
          <w:szCs w:val="24"/>
          <w:highlight w:val="none"/>
          <w:lang w:val="en-US" w:eastAsia="zh-CN"/>
        </w:rPr>
        <w:t>关联方名单</w:t>
      </w:r>
      <w:bookmarkEnd w:id="9"/>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根据系统用户权限不同，支持按自然人和法人或非法人组织为主体的关联关系查询，支持按照监管主体分类（目前监管主体主要为银保监会，但提供多种监管主体选项备用，便于后续根据机构发展情况进行改造）查询关联方信息，支持对已查询出的结果进行导出，支持关联方关联关系图谱展示，直观显示关联方之间的控制、持股等多种类型的关联关系。可清晰展示每一层关联方之间的关联关系和股权持有情况。图谱可导出为图片或PDF格式文件，同时支持EXCEL导出关联关系图谱。</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关联方名单支持关联方单一查询、批量查询等操作，支持对所查询信息下载、导出。支持按多种维度和查询条件对关联方及关联方信息进行查询。</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0" w:name="_Toc68340703"/>
      <w:r>
        <w:rPr>
          <w:rFonts w:hint="eastAsia" w:ascii="仿宋_GB2312" w:hAnsi="仿宋_GB2312" w:eastAsia="仿宋_GB2312" w:cs="仿宋_GB2312"/>
          <w:color w:val="auto"/>
          <w:sz w:val="24"/>
          <w:szCs w:val="24"/>
          <w:highlight w:val="none"/>
          <w:lang w:val="en-US" w:eastAsia="zh-CN"/>
        </w:rPr>
        <w:t>5.</w:t>
      </w:r>
      <w:r>
        <w:rPr>
          <w:rFonts w:hint="default" w:ascii="仿宋_GB2312" w:hAnsi="仿宋_GB2312" w:eastAsia="仿宋_GB2312" w:cs="仿宋_GB2312"/>
          <w:color w:val="auto"/>
          <w:sz w:val="24"/>
          <w:szCs w:val="24"/>
          <w:highlight w:val="none"/>
          <w:lang w:val="en-US" w:eastAsia="zh-CN"/>
        </w:rPr>
        <w:t>关联方信息变动记录</w:t>
      </w:r>
      <w:bookmarkEnd w:id="10"/>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对关联方信息的新增、修改、删除等人工操作进行变动的留痕，生成关联方信息变动的历史记录，可通过关联方名称、变动类型、指定某一时间段查询变动历史以及变动前后的具体信息等详情差异对比，以便对关联方的全生命周期的变动情况进行追踪。</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1" w:name="_Toc458469925"/>
      <w:r>
        <w:rPr>
          <w:rFonts w:hint="eastAsia" w:ascii="仿宋_GB2312" w:hAnsi="仿宋_GB2312" w:eastAsia="仿宋_GB2312" w:cs="仿宋_GB2312"/>
          <w:color w:val="auto"/>
          <w:sz w:val="24"/>
          <w:szCs w:val="24"/>
          <w:highlight w:val="none"/>
          <w:lang w:val="en-US" w:eastAsia="zh-CN"/>
        </w:rPr>
        <w:t>6.</w:t>
      </w:r>
      <w:r>
        <w:rPr>
          <w:rFonts w:hint="default" w:ascii="仿宋_GB2312" w:hAnsi="仿宋_GB2312" w:eastAsia="仿宋_GB2312" w:cs="仿宋_GB2312"/>
          <w:color w:val="auto"/>
          <w:sz w:val="24"/>
          <w:szCs w:val="24"/>
          <w:highlight w:val="none"/>
          <w:lang w:val="en-US" w:eastAsia="zh-CN"/>
        </w:rPr>
        <w:t>金融产品管理</w:t>
      </w:r>
      <w:bookmarkEnd w:id="11"/>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支持金融产品管理及维护，支持产品涉及到的各方信息登记，以供统计需要。</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2" w:name="_Toc1809561036"/>
      <w:bookmarkStart w:id="13" w:name="_Toc215248010"/>
      <w:r>
        <w:rPr>
          <w:rFonts w:hint="eastAsia" w:ascii="仿宋_GB2312" w:hAnsi="仿宋_GB2312" w:eastAsia="仿宋_GB2312" w:cs="仿宋_GB2312"/>
          <w:color w:val="auto"/>
          <w:sz w:val="24"/>
          <w:szCs w:val="24"/>
          <w:highlight w:val="none"/>
          <w:lang w:val="en-US" w:eastAsia="zh-CN"/>
        </w:rPr>
        <w:t>（三）</w:t>
      </w:r>
      <w:r>
        <w:rPr>
          <w:rFonts w:hint="default" w:ascii="仿宋_GB2312" w:hAnsi="仿宋_GB2312" w:eastAsia="仿宋_GB2312" w:cs="仿宋_GB2312"/>
          <w:color w:val="auto"/>
          <w:sz w:val="24"/>
          <w:szCs w:val="24"/>
          <w:highlight w:val="none"/>
          <w:lang w:val="en-US" w:eastAsia="zh-CN"/>
        </w:rPr>
        <w:t>关联交易管理</w:t>
      </w:r>
      <w:bookmarkEnd w:id="12"/>
      <w:bookmarkEnd w:id="13"/>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搭建关联交易管理模块，利用相关规则模型实现对关联交易的识别、预警，支持关联交易事前、事中和事后管理，关联交易事后备案、处理、披露等操作。支持与其他系统对接与数据传输，支持数据补录和导入功能。</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4" w:name="_Toc1869229608"/>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关联交易信息采集与补录</w:t>
      </w:r>
      <w:bookmarkEnd w:id="14"/>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关联交易管理系统每日通过关联方名单自动从数据平台采集当日关联交易数据。同时支持通过人工补录的方式将关联交易数据导入系统。</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5" w:name="_Toc1257572773"/>
      <w:r>
        <w:rPr>
          <w:rFonts w:hint="eastAsia" w:ascii="仿宋_GB2312" w:hAnsi="仿宋_GB2312" w:eastAsia="仿宋_GB2312" w:cs="仿宋_GB2312"/>
          <w:color w:val="auto"/>
          <w:sz w:val="24"/>
          <w:szCs w:val="24"/>
          <w:highlight w:val="none"/>
          <w:lang w:val="en-US" w:eastAsia="zh-CN"/>
        </w:rPr>
        <w:t>2.</w:t>
      </w:r>
      <w:r>
        <w:rPr>
          <w:rFonts w:hint="default" w:ascii="仿宋_GB2312" w:hAnsi="仿宋_GB2312" w:eastAsia="仿宋_GB2312" w:cs="仿宋_GB2312"/>
          <w:color w:val="auto"/>
          <w:sz w:val="24"/>
          <w:szCs w:val="24"/>
          <w:highlight w:val="none"/>
          <w:lang w:val="en-US" w:eastAsia="zh-CN"/>
        </w:rPr>
        <w:t>关联交易事前合规管理</w:t>
      </w:r>
      <w:bookmarkEnd w:id="15"/>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支持事前对业务数据进行关联交易识别、测算，并将关联交易合规分析计算结果反馈至业务系统进行提示或拦截。</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6" w:name="_Toc1347248888"/>
      <w:r>
        <w:rPr>
          <w:rFonts w:hint="eastAsia" w:ascii="仿宋_GB2312" w:hAnsi="仿宋_GB2312" w:eastAsia="仿宋_GB2312" w:cs="仿宋_GB2312"/>
          <w:color w:val="auto"/>
          <w:sz w:val="24"/>
          <w:szCs w:val="24"/>
          <w:highlight w:val="none"/>
          <w:lang w:val="en-US" w:eastAsia="zh-CN"/>
        </w:rPr>
        <w:t>3.</w:t>
      </w:r>
      <w:r>
        <w:rPr>
          <w:rFonts w:hint="default" w:ascii="仿宋_GB2312" w:hAnsi="仿宋_GB2312" w:eastAsia="仿宋_GB2312" w:cs="仿宋_GB2312"/>
          <w:color w:val="auto"/>
          <w:sz w:val="24"/>
          <w:szCs w:val="24"/>
          <w:highlight w:val="none"/>
          <w:lang w:val="en-US" w:eastAsia="zh-CN"/>
        </w:rPr>
        <w:t>关联交易审批配置</w:t>
      </w:r>
      <w:bookmarkEnd w:id="16"/>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对测算出的关联交易进行禁止、审批流配置，并通知到相关人员，一般关联交易进行备案，重大关联交易需董事会审批。需记录会议情况，上传相应附件后方可放行。</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7" w:name="_Toc1772388480"/>
      <w:r>
        <w:rPr>
          <w:rFonts w:hint="eastAsia" w:ascii="仿宋_GB2312" w:hAnsi="仿宋_GB2312" w:eastAsia="仿宋_GB2312" w:cs="仿宋_GB2312"/>
          <w:color w:val="auto"/>
          <w:sz w:val="24"/>
          <w:szCs w:val="24"/>
          <w:highlight w:val="none"/>
          <w:lang w:val="en-US" w:eastAsia="zh-CN"/>
        </w:rPr>
        <w:t>4.</w:t>
      </w:r>
      <w:r>
        <w:rPr>
          <w:rFonts w:hint="default" w:ascii="仿宋_GB2312" w:hAnsi="仿宋_GB2312" w:eastAsia="仿宋_GB2312" w:cs="仿宋_GB2312"/>
          <w:color w:val="auto"/>
          <w:sz w:val="24"/>
          <w:szCs w:val="24"/>
          <w:highlight w:val="none"/>
          <w:lang w:val="en-US" w:eastAsia="zh-CN"/>
        </w:rPr>
        <w:t>关联交易的自动备案</w:t>
      </w:r>
      <w:bookmarkEnd w:id="17"/>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系统识别出的关联交易自动进行备案，备案后的关联交易，也可根据实际业务需要重新发起审批，支持将一般关联交易按重大关联交易进行处理。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8" w:name="_Toc59066542"/>
      <w:r>
        <w:rPr>
          <w:rFonts w:hint="eastAsia" w:ascii="仿宋_GB2312" w:hAnsi="仿宋_GB2312" w:eastAsia="仿宋_GB2312" w:cs="仿宋_GB2312"/>
          <w:color w:val="auto"/>
          <w:sz w:val="24"/>
          <w:szCs w:val="24"/>
          <w:highlight w:val="none"/>
          <w:lang w:val="en-US" w:eastAsia="zh-CN"/>
        </w:rPr>
        <w:t>5.</w:t>
      </w:r>
      <w:r>
        <w:rPr>
          <w:rFonts w:hint="default" w:ascii="仿宋_GB2312" w:hAnsi="仿宋_GB2312" w:eastAsia="仿宋_GB2312" w:cs="仿宋_GB2312"/>
          <w:color w:val="auto"/>
          <w:sz w:val="24"/>
          <w:szCs w:val="24"/>
          <w:highlight w:val="none"/>
          <w:lang w:val="en-US" w:eastAsia="zh-CN"/>
        </w:rPr>
        <w:t>关联交易事中预警</w:t>
      </w:r>
      <w:bookmarkEnd w:id="18"/>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系统面向线上交易业务的关联交易实时识别，通过与各类渠道系统的数据进行匹配检查，实现对关联交易实时预警。</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19" w:name="_Toc1151870009"/>
      <w:r>
        <w:rPr>
          <w:rFonts w:hint="eastAsia" w:ascii="仿宋_GB2312" w:hAnsi="仿宋_GB2312" w:eastAsia="仿宋_GB2312" w:cs="仿宋_GB2312"/>
          <w:color w:val="auto"/>
          <w:sz w:val="24"/>
          <w:szCs w:val="24"/>
          <w:highlight w:val="none"/>
          <w:lang w:val="en-US" w:eastAsia="zh-CN"/>
        </w:rPr>
        <w:t>6.</w:t>
      </w:r>
      <w:r>
        <w:rPr>
          <w:rFonts w:hint="default" w:ascii="仿宋_GB2312" w:hAnsi="仿宋_GB2312" w:eastAsia="仿宋_GB2312" w:cs="仿宋_GB2312"/>
          <w:color w:val="auto"/>
          <w:sz w:val="24"/>
          <w:szCs w:val="24"/>
          <w:highlight w:val="none"/>
          <w:lang w:val="en-US" w:eastAsia="zh-CN"/>
        </w:rPr>
        <w:t>关联交易额度管理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支持额度申报登记、额度调剂。支持以单一关联方或集团维度申报关联交易额度，对四种交易类型或具体某产品申报额度；支持关联方之间的关联交易额度调剂；支持各关联方的关联交易额度的占用情况查询。</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关联交易事后管理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按照监管规则的要求在日终对全行已发生关联交易进行数据归集。进行提取数据、二次识别、数据校验、申报数据维护等操作。</w:t>
      </w:r>
    </w:p>
    <w:bookmarkEnd w:id="19"/>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default" w:ascii="仿宋_GB2312" w:hAnsi="仿宋_GB2312" w:eastAsia="仿宋_GB2312" w:cs="仿宋_GB2312"/>
          <w:color w:val="auto"/>
          <w:sz w:val="24"/>
          <w:szCs w:val="24"/>
          <w:highlight w:val="none"/>
          <w:lang w:val="en-US" w:eastAsia="zh-CN"/>
        </w:rPr>
        <w:t>报告报表及信息披露</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支持监管报表报告自动生成、手工补录，支持生成信息披露提示。支持不同时间周期的报表生成及查询。支持生成符合监管报送要求的格式。</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20" w:name="_Toc1460776902"/>
      <w:bookmarkStart w:id="21" w:name="_Toc212654574"/>
      <w:r>
        <w:rPr>
          <w:rFonts w:hint="eastAsia" w:ascii="仿宋_GB2312" w:hAnsi="仿宋_GB2312" w:eastAsia="仿宋_GB2312" w:cs="仿宋_GB2312"/>
          <w:color w:val="auto"/>
          <w:sz w:val="24"/>
          <w:szCs w:val="24"/>
          <w:highlight w:val="none"/>
          <w:lang w:val="en-US" w:eastAsia="zh-CN"/>
        </w:rPr>
        <w:t>（四）</w:t>
      </w:r>
      <w:r>
        <w:rPr>
          <w:rFonts w:hint="default" w:ascii="仿宋_GB2312" w:hAnsi="仿宋_GB2312" w:eastAsia="仿宋_GB2312" w:cs="仿宋_GB2312"/>
          <w:color w:val="auto"/>
          <w:sz w:val="24"/>
          <w:szCs w:val="24"/>
          <w:highlight w:val="none"/>
          <w:lang w:val="en-US" w:eastAsia="zh-CN"/>
        </w:rPr>
        <w:t>统一交易协议管理</w:t>
      </w:r>
      <w:bookmarkEnd w:id="20"/>
      <w:bookmarkEnd w:id="21"/>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支持统一交易协议申报、协议续签或变更，以及统一交易协议查询、额度占用查询等功能。</w:t>
      </w:r>
      <w:bookmarkStart w:id="22" w:name="_Toc970374548"/>
      <w:bookmarkStart w:id="23" w:name="_Toc808287111"/>
    </w:p>
    <w:bookmarkEnd w:id="22"/>
    <w:bookmarkEnd w:id="23"/>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24" w:name="_Toc488100664"/>
      <w:r>
        <w:rPr>
          <w:rFonts w:hint="eastAsia" w:ascii="仿宋_GB2312" w:hAnsi="仿宋_GB2312" w:eastAsia="仿宋_GB2312" w:cs="仿宋_GB2312"/>
          <w:color w:val="auto"/>
          <w:sz w:val="24"/>
          <w:szCs w:val="24"/>
          <w:highlight w:val="none"/>
          <w:lang w:val="en-US" w:eastAsia="zh-CN"/>
        </w:rPr>
        <w:t>（五）</w:t>
      </w:r>
      <w:r>
        <w:rPr>
          <w:rFonts w:hint="default" w:ascii="仿宋_GB2312" w:hAnsi="仿宋_GB2312" w:eastAsia="仿宋_GB2312" w:cs="仿宋_GB2312"/>
          <w:color w:val="auto"/>
          <w:sz w:val="24"/>
          <w:szCs w:val="24"/>
          <w:highlight w:val="none"/>
          <w:lang w:val="en-US" w:eastAsia="zh-CN"/>
        </w:rPr>
        <w:t>制度管理</w:t>
      </w:r>
      <w:bookmarkEnd w:id="24"/>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系统提供制度管理模块，支持关联交易内部监管制度和外部监管制度多版本上传下载。</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25" w:name="_Toc1777781223"/>
      <w:bookmarkStart w:id="26" w:name="_Toc1252123871"/>
      <w:r>
        <w:rPr>
          <w:rFonts w:hint="eastAsia" w:ascii="仿宋_GB2312" w:hAnsi="仿宋_GB2312" w:eastAsia="仿宋_GB2312" w:cs="仿宋_GB2312"/>
          <w:color w:val="auto"/>
          <w:sz w:val="24"/>
          <w:szCs w:val="24"/>
          <w:highlight w:val="none"/>
          <w:lang w:val="en-US" w:eastAsia="zh-CN"/>
        </w:rPr>
        <w:t>（六）</w:t>
      </w:r>
      <w:r>
        <w:rPr>
          <w:rFonts w:hint="default" w:ascii="仿宋_GB2312" w:hAnsi="仿宋_GB2312" w:eastAsia="仿宋_GB2312" w:cs="仿宋_GB2312"/>
          <w:color w:val="auto"/>
          <w:sz w:val="24"/>
          <w:szCs w:val="24"/>
          <w:highlight w:val="none"/>
          <w:lang w:val="en-US" w:eastAsia="zh-CN"/>
        </w:rPr>
        <w:t>会议管理</w:t>
      </w:r>
      <w:bookmarkEnd w:id="25"/>
      <w:bookmarkEnd w:id="26"/>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当重大关联交易完成会议审议后，系统能够自动对关联交易、对应的议案、会议决议信息进行绑定。支持对关联交易控制委员会备案、审查及董事会的审批记录进行台账式管理。可通过会议台账直接查询对应备案、审查或审批的关联交易信息，同时在关联交易台账中可直接查询对应交易的会议决议信息。</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27" w:name="_Toc214329953"/>
      <w:bookmarkStart w:id="28" w:name="_Toc1001977032"/>
      <w:r>
        <w:rPr>
          <w:rFonts w:hint="eastAsia" w:ascii="仿宋_GB2312" w:hAnsi="仿宋_GB2312" w:eastAsia="仿宋_GB2312" w:cs="仿宋_GB2312"/>
          <w:color w:val="auto"/>
          <w:sz w:val="24"/>
          <w:szCs w:val="24"/>
          <w:highlight w:val="none"/>
          <w:lang w:val="en-US" w:eastAsia="zh-CN"/>
        </w:rPr>
        <w:t>（七）</w:t>
      </w:r>
      <w:r>
        <w:rPr>
          <w:rFonts w:hint="default" w:ascii="仿宋_GB2312" w:hAnsi="仿宋_GB2312" w:eastAsia="仿宋_GB2312" w:cs="仿宋_GB2312"/>
          <w:color w:val="auto"/>
          <w:sz w:val="24"/>
          <w:szCs w:val="24"/>
          <w:highlight w:val="none"/>
          <w:lang w:val="en-US" w:eastAsia="zh-CN"/>
        </w:rPr>
        <w:t>参数管理</w:t>
      </w:r>
      <w:bookmarkEnd w:id="27"/>
      <w:bookmarkEnd w:id="28"/>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系统支持资本净额、股权比例、业务参数、贷款利率、预警阈值的配置。</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29" w:name="_Toc323501422"/>
      <w:r>
        <w:rPr>
          <w:rFonts w:hint="eastAsia" w:ascii="仿宋_GB2312" w:hAnsi="仿宋_GB2312" w:eastAsia="仿宋_GB2312" w:cs="仿宋_GB2312"/>
          <w:color w:val="auto"/>
          <w:sz w:val="24"/>
          <w:szCs w:val="24"/>
          <w:highlight w:val="none"/>
          <w:lang w:val="en-US" w:eastAsia="zh-CN"/>
        </w:rPr>
        <w:t>2.</w:t>
      </w:r>
      <w:r>
        <w:rPr>
          <w:rFonts w:hint="default" w:ascii="仿宋_GB2312" w:hAnsi="仿宋_GB2312" w:eastAsia="仿宋_GB2312" w:cs="仿宋_GB2312"/>
          <w:color w:val="auto"/>
          <w:sz w:val="24"/>
          <w:szCs w:val="24"/>
          <w:highlight w:val="none"/>
          <w:lang w:val="en-US" w:eastAsia="zh-CN"/>
        </w:rPr>
        <w:t>产品管理</w:t>
      </w:r>
      <w:bookmarkEnd w:id="29"/>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支持产品管理功能，各业务机构录入操作员可以通过该功能完成本部门新增关联交易产品的录入。</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30" w:name="_Toc1789348449"/>
      <w:r>
        <w:rPr>
          <w:rFonts w:hint="eastAsia" w:ascii="仿宋_GB2312" w:hAnsi="仿宋_GB2312" w:eastAsia="仿宋_GB2312" w:cs="仿宋_GB2312"/>
          <w:color w:val="auto"/>
          <w:sz w:val="24"/>
          <w:szCs w:val="24"/>
          <w:highlight w:val="none"/>
          <w:lang w:val="en-US" w:eastAsia="zh-CN"/>
        </w:rPr>
        <w:t>3.</w:t>
      </w:r>
      <w:r>
        <w:rPr>
          <w:rFonts w:hint="default" w:ascii="仿宋_GB2312" w:hAnsi="仿宋_GB2312" w:eastAsia="仿宋_GB2312" w:cs="仿宋_GB2312"/>
          <w:color w:val="auto"/>
          <w:sz w:val="24"/>
          <w:szCs w:val="24"/>
          <w:highlight w:val="none"/>
          <w:lang w:val="en-US" w:eastAsia="zh-CN"/>
        </w:rPr>
        <w:t>客户关系管理</w:t>
      </w:r>
      <w:bookmarkEnd w:id="30"/>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支持设置关联方集团及关系管理，以便进行授信类关联交易额度管理。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31" w:name="_Toc679430293"/>
      <w:r>
        <w:rPr>
          <w:rFonts w:hint="eastAsia" w:ascii="仿宋_GB2312" w:hAnsi="仿宋_GB2312" w:eastAsia="仿宋_GB2312" w:cs="仿宋_GB2312"/>
          <w:color w:val="auto"/>
          <w:sz w:val="24"/>
          <w:szCs w:val="24"/>
          <w:highlight w:val="none"/>
          <w:lang w:val="en-US" w:eastAsia="zh-CN"/>
        </w:rPr>
        <w:t>4.</w:t>
      </w:r>
      <w:r>
        <w:rPr>
          <w:rFonts w:hint="default" w:ascii="仿宋_GB2312" w:hAnsi="仿宋_GB2312" w:eastAsia="仿宋_GB2312" w:cs="仿宋_GB2312"/>
          <w:color w:val="auto"/>
          <w:sz w:val="24"/>
          <w:szCs w:val="24"/>
          <w:highlight w:val="none"/>
          <w:lang w:val="en-US" w:eastAsia="zh-CN"/>
        </w:rPr>
        <w:t>审批流程管理</w:t>
      </w:r>
      <w:bookmarkEnd w:id="31"/>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根据各行社审批流程灵活定制不同的工作流程节点和审批节点，并结合相关参与人权限完整的制定整套审批流程。</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r>
        <w:rPr>
          <w:rFonts w:hint="default" w:ascii="仿宋_GB2312" w:hAnsi="仿宋_GB2312" w:eastAsia="仿宋_GB2312" w:cs="仿宋_GB2312"/>
          <w:color w:val="auto"/>
          <w:sz w:val="24"/>
          <w:szCs w:val="24"/>
          <w:highlight w:val="none"/>
          <w:lang w:val="en-US" w:eastAsia="zh-CN"/>
        </w:rPr>
        <w:t>日志管理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日志管理主要分为登陆日志管理、操作日志管理、错误日志查询、日志统计分析，系统后台工作人员可以通过日志管理模块进行日志查看、异常日志监控，快速进行问题定位。</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r>
        <w:rPr>
          <w:rFonts w:hint="default" w:ascii="仿宋_GB2312" w:hAnsi="仿宋_GB2312" w:eastAsia="仿宋_GB2312" w:cs="仿宋_GB2312"/>
          <w:color w:val="auto"/>
          <w:sz w:val="24"/>
          <w:szCs w:val="24"/>
          <w:highlight w:val="none"/>
          <w:lang w:val="en-US" w:eastAsia="zh-CN"/>
        </w:rPr>
        <w:t>数据下载中心</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支持重要数据的检索及多种格式下载，记录下载信息。</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外部数据管理</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可记录外部数据接口请求数据情况、外部数据调用情况等。</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32" w:name="_Toc2063535886"/>
      <w:bookmarkStart w:id="33" w:name="_Toc781426858"/>
      <w:r>
        <w:rPr>
          <w:rFonts w:hint="eastAsia" w:ascii="仿宋_GB2312" w:hAnsi="仿宋_GB2312" w:eastAsia="仿宋_GB2312" w:cs="仿宋_GB2312"/>
          <w:color w:val="auto"/>
          <w:sz w:val="24"/>
          <w:szCs w:val="24"/>
          <w:highlight w:val="none"/>
          <w:lang w:val="en-US" w:eastAsia="zh-CN"/>
        </w:rPr>
        <w:t>（八）</w:t>
      </w:r>
      <w:r>
        <w:rPr>
          <w:rFonts w:hint="default" w:ascii="仿宋_GB2312" w:hAnsi="仿宋_GB2312" w:eastAsia="仿宋_GB2312" w:cs="仿宋_GB2312"/>
          <w:color w:val="auto"/>
          <w:sz w:val="24"/>
          <w:szCs w:val="24"/>
          <w:highlight w:val="none"/>
          <w:lang w:val="en-US" w:eastAsia="zh-CN"/>
        </w:rPr>
        <w:t>多法人机构管理</w:t>
      </w:r>
      <w:bookmarkEnd w:id="32"/>
      <w:bookmarkEnd w:id="33"/>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基于省联社和下属各行社的多法人机构关系，对法人机构进行维护，实现各行社之间用户、数据权限的隔离，省联社具有监控、监督各行社关联方名单、关联交易发生情况的管理职责。</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34" w:name="_Toc1837940265"/>
      <w:bookmarkStart w:id="35" w:name="_Toc1367309404"/>
      <w:r>
        <w:rPr>
          <w:rFonts w:hint="eastAsia" w:ascii="仿宋_GB2312" w:hAnsi="仿宋_GB2312" w:eastAsia="仿宋_GB2312" w:cs="仿宋_GB2312"/>
          <w:color w:val="auto"/>
          <w:sz w:val="24"/>
          <w:szCs w:val="24"/>
          <w:highlight w:val="none"/>
          <w:lang w:val="en-US" w:eastAsia="zh-CN"/>
        </w:rPr>
        <w:t>（九）</w:t>
      </w:r>
      <w:r>
        <w:rPr>
          <w:rFonts w:hint="default" w:ascii="仿宋_GB2312" w:hAnsi="仿宋_GB2312" w:eastAsia="仿宋_GB2312" w:cs="仿宋_GB2312"/>
          <w:color w:val="auto"/>
          <w:sz w:val="24"/>
          <w:szCs w:val="24"/>
          <w:highlight w:val="none"/>
          <w:lang w:val="en-US" w:eastAsia="zh-CN"/>
        </w:rPr>
        <w:t>系统管理</w:t>
      </w:r>
      <w:bookmarkEnd w:id="34"/>
      <w:bookmarkEnd w:id="35"/>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系统公告的录入、发布、收回、查询及附件的上传下载。相关机构或条线部门输入相关公告、通知，可选择发布对象进行发布。接收人员可查询相关公告，输入关键字，系统返回相关信息情况。</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bookmarkStart w:id="36" w:name="_Toc589059201"/>
      <w:r>
        <w:rPr>
          <w:rFonts w:hint="eastAsia" w:ascii="仿宋_GB2312" w:hAnsi="仿宋_GB2312" w:eastAsia="仿宋_GB2312" w:cs="仿宋_GB2312"/>
          <w:color w:val="auto"/>
          <w:sz w:val="24"/>
          <w:szCs w:val="24"/>
          <w:highlight w:val="none"/>
          <w:lang w:val="en-US" w:eastAsia="zh-CN"/>
        </w:rPr>
        <w:t>（十）</w:t>
      </w:r>
      <w:r>
        <w:rPr>
          <w:rFonts w:hint="default" w:ascii="仿宋_GB2312" w:hAnsi="仿宋_GB2312" w:eastAsia="仿宋_GB2312" w:cs="仿宋_GB2312"/>
          <w:color w:val="auto"/>
          <w:sz w:val="24"/>
          <w:szCs w:val="24"/>
          <w:highlight w:val="none"/>
          <w:lang w:val="en-US" w:eastAsia="zh-CN"/>
        </w:rPr>
        <w:t>配套行内各业务系统集成改造</w:t>
      </w:r>
      <w:bookmarkEnd w:id="36"/>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基于系统的功能和定位，需与行内各业务系统（如信贷系统、人力资源系统等）实现数据对接，以满足关联交易管理系统从各业务系统中提取并加工所需数据；配套行内各业务系统进行集成改造，实现各业务场景交易实时事前关联交易管控。</w:t>
      </w:r>
    </w:p>
    <w:bookmarkEnd w:id="3"/>
    <w:p>
      <w:pPr>
        <w:numPr>
          <w:ilvl w:val="0"/>
          <w:numId w:val="0"/>
        </w:numPr>
        <w:spacing w:line="560" w:lineRule="exact"/>
        <w:ind w:firstLine="640" w:firstLineChars="200"/>
        <w:outlineLvl w:val="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非功能需求</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IT架构要求</w:t>
      </w:r>
    </w:p>
    <w:p>
      <w:pPr>
        <w:pStyle w:val="25"/>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应用系统须支持招标方同城机房应用双活部署、在线运</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行和同时使用，不受授权码（License）、用户数量及部署主机CPU数量等因素的限制。应用系统使用的第三方商用成品中间件（如TongWeb、宝兰德等）除外。</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37" w:name="_Toc500343581"/>
      <w:r>
        <w:rPr>
          <w:rFonts w:hint="eastAsia" w:ascii="仿宋_GB2312" w:hAnsi="仿宋_GB2312" w:eastAsia="仿宋_GB2312" w:cs="仿宋_GB2312"/>
          <w:color w:val="000000" w:themeColor="text1"/>
          <w:sz w:val="24"/>
          <w:lang w:val="en-US" w:eastAsia="zh-CN"/>
          <w14:textFill>
            <w14:solidFill>
              <w14:schemeClr w14:val="tx1"/>
            </w14:solidFill>
          </w14:textFill>
        </w:rPr>
        <w:t>应用架构要求</w:t>
      </w:r>
      <w:bookmarkEnd w:id="37"/>
    </w:p>
    <w:p>
      <w:pPr>
        <w:pStyle w:val="25"/>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38" w:name="_Toc500343582"/>
      <w:r>
        <w:rPr>
          <w:rFonts w:hint="eastAsia" w:ascii="仿宋_GB2312" w:hAnsi="仿宋_GB2312" w:eastAsia="仿宋_GB2312" w:cs="仿宋_GB2312"/>
          <w:color w:val="000000" w:themeColor="text1"/>
          <w:sz w:val="24"/>
          <w:lang w:val="en-US" w:eastAsia="zh-CN"/>
          <w14:textFill>
            <w14:solidFill>
              <w14:schemeClr w14:val="tx1"/>
            </w14:solidFill>
          </w14:textFill>
        </w:rPr>
        <w:t>硬件部署要求</w:t>
      </w:r>
      <w:bookmarkEnd w:id="38"/>
    </w:p>
    <w:p>
      <w:pPr>
        <w:pStyle w:val="25"/>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性能要求</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1.系统整体性能支持我社未来5年的业务发展要求。</w:t>
      </w:r>
    </w:p>
    <w:p>
      <w:pPr>
        <w:pStyle w:val="25"/>
        <w:numPr>
          <w:ilvl w:val="0"/>
          <w:numId w:val="0"/>
        </w:numPr>
        <w:spacing w:line="360" w:lineRule="auto"/>
        <w:ind w:firstLine="480" w:firstLineChars="200"/>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2.并发请求数是指同一时刻系统处理的请求数，系统应支持实时联机业务并发请求数不小于600 TPS。</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3.系统资源占用率：为了保证系统能够正常、稳定运行，推荐配置的服务器在业务最高峰或批处理运行期间CPU占用率和内存使用率不应超过80%。</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4.配合我社制定性能测试计划和验收标准，以及测试方案、环境、工具和调优策略（相应的报告文档），配合完成压力测试，确保系统能满足上述性能容量要求。</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系统灵活性及扩展性要求</w:t>
      </w:r>
    </w:p>
    <w:p>
      <w:pPr>
        <w:pStyle w:val="25"/>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系统稳定性要求</w:t>
      </w:r>
    </w:p>
    <w:p>
      <w:pPr>
        <w:pStyle w:val="25"/>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系统服务进程在上述“（四）性能要求”的条件下能不间断运行，系统须支持7*24小时运行。</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安全性</w:t>
      </w:r>
    </w:p>
    <w:p>
      <w:pPr>
        <w:pStyle w:val="25"/>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备份与恢复</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1.支持两级或三级存储架构设计，确保数据不会因为任意单点损坏而丢失。</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2.建立系统应用及数据的定期备份机制，支持冷备和热备两种措施，对过期的备份文件设置定期清理机制，提供备份策略。</w:t>
      </w:r>
    </w:p>
    <w:p>
      <w:pPr>
        <w:pStyle w:val="25"/>
        <w:numPr>
          <w:ilvl w:val="0"/>
          <w:numId w:val="0"/>
        </w:numPr>
        <w:spacing w:line="360" w:lineRule="auto"/>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3.建立异常恢复机制，支持应用的热备，有效防范单点故障，保障系统运行的可靠性。系统须支持基于备份文件实现系统应用及数据库的快速恢复。</w:t>
      </w:r>
    </w:p>
    <w:p>
      <w:pPr>
        <w:numPr>
          <w:ilvl w:val="0"/>
          <w:numId w:val="4"/>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数据要求</w:t>
      </w:r>
    </w:p>
    <w:p>
      <w:pPr>
        <w:numPr>
          <w:ilvl w:val="0"/>
          <w:numId w:val="0"/>
        </w:numPr>
        <w:spacing w:line="560" w:lineRule="exact"/>
        <w:ind w:firstLine="480" w:firstLineChars="200"/>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spacing w:line="560" w:lineRule="exact"/>
        <w:ind w:firstLine="640" w:firstLineChars="200"/>
        <w:outlineLvl w:val="0"/>
        <w:rPr>
          <w:rFonts w:hint="eastAsia" w:ascii="黑体" w:hAnsi="黑体" w:eastAsia="黑体" w:cs="Times New Roman"/>
          <w:color w:val="000000" w:themeColor="text1"/>
          <w:sz w:val="32"/>
          <w:szCs w:val="32"/>
          <w:lang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四、</w:t>
      </w:r>
      <w:r>
        <w:rPr>
          <w:rFonts w:hint="eastAsia" w:ascii="黑体" w:hAnsi="黑体" w:eastAsia="黑体" w:cs="Times New Roman"/>
          <w:color w:val="000000" w:themeColor="text1"/>
          <w:sz w:val="32"/>
          <w:szCs w:val="32"/>
          <w:lang w:eastAsia="zh-CN"/>
          <w14:textFill>
            <w14:solidFill>
              <w14:schemeClr w14:val="tx1"/>
            </w14:solidFill>
          </w14:textFill>
        </w:rPr>
        <w:t>项目实施要求</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39" w:name="_Toc410477610"/>
      <w:bookmarkStart w:id="40" w:name="_Toc408561391"/>
      <w:bookmarkStart w:id="41" w:name="_Toc406425795"/>
      <w:r>
        <w:rPr>
          <w:rFonts w:hint="eastAsia" w:ascii="仿宋_GB2312" w:hAnsi="Calibri" w:eastAsia="仿宋_GB2312" w:cs="Times New Roman"/>
          <w:color w:val="000000" w:themeColor="text1"/>
          <w:sz w:val="24"/>
          <w:lang w:val="en-US" w:eastAsia="zh-CN"/>
          <w14:textFill>
            <w14:solidFill>
              <w14:schemeClr w14:val="tx1"/>
            </w14:solidFill>
          </w14:textFill>
        </w:rPr>
        <w:t>总体要求</w:t>
      </w:r>
      <w:bookmarkEnd w:id="39"/>
      <w:bookmarkEnd w:id="40"/>
      <w:bookmarkEnd w:id="41"/>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本项目的实施部分包含业务需求细化，软件的定制化开发、配置、安装、部署、联调、测试等工作。现场实施费用包含在项目整体报价之中，实施服务（含开发、测试、培训等各项现场实施服务）不另计费用。</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2" w:name="_Toc410477613"/>
      <w:bookmarkStart w:id="43" w:name="_Toc408561394"/>
      <w:bookmarkStart w:id="44" w:name="_Toc406425797"/>
      <w:r>
        <w:rPr>
          <w:rFonts w:hint="eastAsia" w:ascii="仿宋_GB2312" w:hAnsi="Calibri" w:eastAsia="仿宋_GB2312" w:cs="Times New Roman"/>
          <w:color w:val="000000" w:themeColor="text1"/>
          <w:sz w:val="24"/>
          <w:lang w:val="en-US" w:eastAsia="zh-CN"/>
          <w14:textFill>
            <w14:solidFill>
              <w14:schemeClr w14:val="tx1"/>
            </w14:solidFill>
          </w14:textFill>
        </w:rPr>
        <w:t>需求分析</w:t>
      </w:r>
      <w:bookmarkEnd w:id="42"/>
      <w:bookmarkEnd w:id="43"/>
      <w:bookmarkEnd w:id="44"/>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产出物：《需求规格说明书》</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5" w:name="_Toc410477614"/>
      <w:bookmarkStart w:id="46" w:name="_Toc408561395"/>
      <w:bookmarkStart w:id="47" w:name="_Toc406425798"/>
      <w:r>
        <w:rPr>
          <w:rFonts w:hint="eastAsia" w:ascii="仿宋_GB2312" w:hAnsi="Calibri" w:eastAsia="仿宋_GB2312" w:cs="Times New Roman"/>
          <w:color w:val="000000" w:themeColor="text1"/>
          <w:sz w:val="24"/>
          <w:lang w:val="en-US" w:eastAsia="zh-CN"/>
          <w14:textFill>
            <w14:solidFill>
              <w14:schemeClr w14:val="tx1"/>
            </w14:solidFill>
          </w14:textFill>
        </w:rPr>
        <w:t>系统设计</w:t>
      </w:r>
      <w:bookmarkEnd w:id="45"/>
      <w:bookmarkEnd w:id="46"/>
      <w:bookmarkEnd w:id="47"/>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产出物：《系统软件设计说明》、《系统数据库设计说明》</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8" w:name="_Toc408561396"/>
      <w:bookmarkStart w:id="49" w:name="_Toc410477615"/>
      <w:bookmarkStart w:id="50" w:name="_Toc406425799"/>
      <w:r>
        <w:rPr>
          <w:rFonts w:hint="eastAsia" w:ascii="仿宋_GB2312" w:hAnsi="Calibri" w:eastAsia="仿宋_GB2312" w:cs="Times New Roman"/>
          <w:color w:val="000000" w:themeColor="text1"/>
          <w:sz w:val="24"/>
          <w:lang w:val="en-US" w:eastAsia="zh-CN"/>
          <w14:textFill>
            <w14:solidFill>
              <w14:schemeClr w14:val="tx1"/>
            </w14:solidFill>
          </w14:textFill>
        </w:rPr>
        <w:t>开发与测试</w:t>
      </w:r>
      <w:bookmarkEnd w:id="48"/>
      <w:bookmarkEnd w:id="49"/>
      <w:bookmarkEnd w:id="50"/>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51" w:name="_Toc410477616"/>
      <w:bookmarkStart w:id="52" w:name="_Toc406677225"/>
      <w:bookmarkStart w:id="53" w:name="_Toc405152312"/>
      <w:bookmarkStart w:id="54" w:name="_Toc408561397"/>
      <w:bookmarkStart w:id="55" w:name="_Toc406425800"/>
      <w:r>
        <w:rPr>
          <w:rFonts w:hint="eastAsia" w:ascii="仿宋_GB2312" w:hAnsi="Calibri" w:eastAsia="仿宋_GB2312" w:cs="Times New Roman"/>
          <w:color w:val="000000" w:themeColor="text1"/>
          <w:sz w:val="24"/>
          <w:lang w:val="en-US" w:eastAsia="zh-CN"/>
          <w14:textFill>
            <w14:solidFill>
              <w14:schemeClr w14:val="tx1"/>
            </w14:solidFill>
          </w14:textFill>
        </w:rPr>
        <w:t>系统使用培训</w:t>
      </w:r>
      <w:bookmarkEnd w:id="51"/>
      <w:bookmarkEnd w:id="52"/>
      <w:bookmarkEnd w:id="53"/>
      <w:bookmarkEnd w:id="54"/>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56" w:name="_Toc410477617"/>
      <w:bookmarkStart w:id="57" w:name="_Toc408561398"/>
      <w:r>
        <w:rPr>
          <w:rFonts w:hint="eastAsia" w:ascii="仿宋_GB2312" w:hAnsi="Calibri" w:eastAsia="仿宋_GB2312" w:cs="Times New Roman"/>
          <w:color w:val="000000" w:themeColor="text1"/>
          <w:sz w:val="24"/>
          <w:lang w:val="en-US" w:eastAsia="zh-CN"/>
          <w14:textFill>
            <w14:solidFill>
              <w14:schemeClr w14:val="tx1"/>
            </w14:solidFill>
          </w14:textFill>
        </w:rPr>
        <w:t>试运行</w:t>
      </w:r>
      <w:bookmarkEnd w:id="55"/>
      <w:bookmarkEnd w:id="56"/>
      <w:bookmarkEnd w:id="57"/>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5"/>
        <w:spacing w:line="360" w:lineRule="auto"/>
        <w:ind w:firstLineChars="0"/>
        <w:rPr>
          <w:color w:val="000000" w:themeColor="text1"/>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5"/>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numPr>
          <w:ilvl w:val="0"/>
          <w:numId w:val="5"/>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58" w:name="_Toc410477618"/>
      <w:bookmarkStart w:id="59" w:name="_Toc406425801"/>
      <w:bookmarkStart w:id="60" w:name="_Toc408561399"/>
      <w:r>
        <w:rPr>
          <w:rFonts w:hint="eastAsia" w:ascii="仿宋_GB2312" w:hAnsi="Calibri" w:eastAsia="仿宋_GB2312" w:cs="Times New Roman"/>
          <w:color w:val="000000" w:themeColor="text1"/>
          <w:sz w:val="24"/>
          <w:lang w:val="en-US" w:eastAsia="zh-CN"/>
          <w14:textFill>
            <w14:solidFill>
              <w14:schemeClr w14:val="tx1"/>
            </w14:solidFill>
          </w14:textFill>
        </w:rPr>
        <w:t>正式投产</w:t>
      </w:r>
      <w:bookmarkEnd w:id="58"/>
      <w:bookmarkEnd w:id="59"/>
      <w:bookmarkEnd w:id="60"/>
    </w:p>
    <w:p>
      <w:pPr>
        <w:pStyle w:val="25"/>
        <w:spacing w:line="360" w:lineRule="auto"/>
        <w:ind w:firstLineChars="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试运行成功后，按招标方要求完成系统投产上线工作。</w:t>
      </w:r>
    </w:p>
    <w:p>
      <w:pPr>
        <w:pStyle w:val="25"/>
        <w:spacing w:line="360" w:lineRule="auto"/>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463019"/>
    <w:multiLevelType w:val="singleLevel"/>
    <w:tmpl w:val="C7463019"/>
    <w:lvl w:ilvl="0" w:tentative="0">
      <w:start w:val="1"/>
      <w:numFmt w:val="chineseCounting"/>
      <w:suff w:val="nothing"/>
      <w:lvlText w:val="（%1）"/>
      <w:lvlJc w:val="left"/>
      <w:pPr>
        <w:ind w:left="0" w:firstLine="420"/>
      </w:pPr>
      <w:rPr>
        <w:rFonts w:hint="eastAsia"/>
      </w:rPr>
    </w:lvl>
  </w:abstractNum>
  <w:abstractNum w:abstractNumId="2">
    <w:nsid w:val="F2D2B87F"/>
    <w:multiLevelType w:val="singleLevel"/>
    <w:tmpl w:val="F2D2B87F"/>
    <w:lvl w:ilvl="0" w:tentative="0">
      <w:start w:val="1"/>
      <w:numFmt w:val="chineseCounting"/>
      <w:suff w:val="nothing"/>
      <w:lvlText w:val="（%1）"/>
      <w:lvlJc w:val="left"/>
      <w:pPr>
        <w:ind w:left="0" w:firstLine="420"/>
      </w:pPr>
      <w:rPr>
        <w:rFonts w:hint="eastAsia"/>
      </w:rPr>
    </w:lvl>
  </w:abstractNum>
  <w:abstractNum w:abstractNumId="3">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5165C69"/>
    <w:multiLevelType w:val="multilevel"/>
    <w:tmpl w:val="75165C69"/>
    <w:lvl w:ilvl="0" w:tentative="0">
      <w:start w:val="1"/>
      <w:numFmt w:val="chineseCounting"/>
      <w:pStyle w:val="4"/>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030A06"/>
    <w:rsid w:val="002A3DFE"/>
    <w:rsid w:val="00567AE2"/>
    <w:rsid w:val="00577B70"/>
    <w:rsid w:val="005A47D9"/>
    <w:rsid w:val="007C2D64"/>
    <w:rsid w:val="00B42DC8"/>
    <w:rsid w:val="00C10446"/>
    <w:rsid w:val="00CE1E16"/>
    <w:rsid w:val="00CE67B0"/>
    <w:rsid w:val="00F95760"/>
    <w:rsid w:val="01211323"/>
    <w:rsid w:val="01232C78"/>
    <w:rsid w:val="01234031"/>
    <w:rsid w:val="01375572"/>
    <w:rsid w:val="01961E11"/>
    <w:rsid w:val="01C6736B"/>
    <w:rsid w:val="01C73516"/>
    <w:rsid w:val="01D8198F"/>
    <w:rsid w:val="01E87706"/>
    <w:rsid w:val="01F52096"/>
    <w:rsid w:val="020C0C98"/>
    <w:rsid w:val="02216F02"/>
    <w:rsid w:val="026816A3"/>
    <w:rsid w:val="026D60DD"/>
    <w:rsid w:val="02730EDA"/>
    <w:rsid w:val="028D05DE"/>
    <w:rsid w:val="02923C1D"/>
    <w:rsid w:val="02E15690"/>
    <w:rsid w:val="02F90F1B"/>
    <w:rsid w:val="030A0D18"/>
    <w:rsid w:val="034362DB"/>
    <w:rsid w:val="034653AF"/>
    <w:rsid w:val="034E06CE"/>
    <w:rsid w:val="036A7B6C"/>
    <w:rsid w:val="036B7434"/>
    <w:rsid w:val="03780707"/>
    <w:rsid w:val="037A3D14"/>
    <w:rsid w:val="038A2845"/>
    <w:rsid w:val="0390584B"/>
    <w:rsid w:val="039A154A"/>
    <w:rsid w:val="03CA7782"/>
    <w:rsid w:val="03D55C9E"/>
    <w:rsid w:val="04277C37"/>
    <w:rsid w:val="042B3B6F"/>
    <w:rsid w:val="04400D25"/>
    <w:rsid w:val="04DA1B98"/>
    <w:rsid w:val="04FA2D11"/>
    <w:rsid w:val="04FE720E"/>
    <w:rsid w:val="051923EE"/>
    <w:rsid w:val="053A7757"/>
    <w:rsid w:val="05453A72"/>
    <w:rsid w:val="055520CC"/>
    <w:rsid w:val="055F231D"/>
    <w:rsid w:val="055F3ACE"/>
    <w:rsid w:val="059019D7"/>
    <w:rsid w:val="05930E8F"/>
    <w:rsid w:val="05B71A00"/>
    <w:rsid w:val="05BF3A61"/>
    <w:rsid w:val="05C16464"/>
    <w:rsid w:val="05D609C9"/>
    <w:rsid w:val="05E322F8"/>
    <w:rsid w:val="060F0A83"/>
    <w:rsid w:val="0611355B"/>
    <w:rsid w:val="061406DE"/>
    <w:rsid w:val="062200FC"/>
    <w:rsid w:val="06345E28"/>
    <w:rsid w:val="068A70DC"/>
    <w:rsid w:val="068D1BD1"/>
    <w:rsid w:val="06901221"/>
    <w:rsid w:val="06923837"/>
    <w:rsid w:val="069325AD"/>
    <w:rsid w:val="069827CC"/>
    <w:rsid w:val="06AB53DF"/>
    <w:rsid w:val="06C0679D"/>
    <w:rsid w:val="06C4640A"/>
    <w:rsid w:val="06DD7953"/>
    <w:rsid w:val="06E339A7"/>
    <w:rsid w:val="06F113EB"/>
    <w:rsid w:val="07201BD7"/>
    <w:rsid w:val="0721273A"/>
    <w:rsid w:val="072240F1"/>
    <w:rsid w:val="072A2732"/>
    <w:rsid w:val="073A0B6E"/>
    <w:rsid w:val="076A6366"/>
    <w:rsid w:val="07893DF1"/>
    <w:rsid w:val="07A654C3"/>
    <w:rsid w:val="07B63721"/>
    <w:rsid w:val="07EC1E5F"/>
    <w:rsid w:val="080C5604"/>
    <w:rsid w:val="081E19E2"/>
    <w:rsid w:val="081F3F5C"/>
    <w:rsid w:val="08902ECF"/>
    <w:rsid w:val="08A64180"/>
    <w:rsid w:val="08C07546"/>
    <w:rsid w:val="08CE3029"/>
    <w:rsid w:val="090D25D2"/>
    <w:rsid w:val="09140A1E"/>
    <w:rsid w:val="091C4C3C"/>
    <w:rsid w:val="092B0EFE"/>
    <w:rsid w:val="094A462E"/>
    <w:rsid w:val="094B2A94"/>
    <w:rsid w:val="097129D4"/>
    <w:rsid w:val="09BB2409"/>
    <w:rsid w:val="09BC58BD"/>
    <w:rsid w:val="09E434BF"/>
    <w:rsid w:val="09FD3758"/>
    <w:rsid w:val="0A081ED6"/>
    <w:rsid w:val="0A1A606B"/>
    <w:rsid w:val="0A6B220D"/>
    <w:rsid w:val="0A7605D7"/>
    <w:rsid w:val="0A9D075E"/>
    <w:rsid w:val="0ABC2FC9"/>
    <w:rsid w:val="0AC01F4A"/>
    <w:rsid w:val="0AE50A6E"/>
    <w:rsid w:val="0B224400"/>
    <w:rsid w:val="0B231A3F"/>
    <w:rsid w:val="0B337517"/>
    <w:rsid w:val="0B381CF5"/>
    <w:rsid w:val="0B630287"/>
    <w:rsid w:val="0B64241A"/>
    <w:rsid w:val="0B653091"/>
    <w:rsid w:val="0B6C273D"/>
    <w:rsid w:val="0B8F293E"/>
    <w:rsid w:val="0B92639C"/>
    <w:rsid w:val="0B9667D1"/>
    <w:rsid w:val="0BAA0893"/>
    <w:rsid w:val="0BC25E1A"/>
    <w:rsid w:val="0BCC5B13"/>
    <w:rsid w:val="0BCD3FFE"/>
    <w:rsid w:val="0BCD4CEC"/>
    <w:rsid w:val="0BD345A1"/>
    <w:rsid w:val="0BEE6F27"/>
    <w:rsid w:val="0BF632C3"/>
    <w:rsid w:val="0C284DF4"/>
    <w:rsid w:val="0C285496"/>
    <w:rsid w:val="0C37630B"/>
    <w:rsid w:val="0C4134E6"/>
    <w:rsid w:val="0C645DBF"/>
    <w:rsid w:val="0C8E3526"/>
    <w:rsid w:val="0CAC6DF3"/>
    <w:rsid w:val="0CB85975"/>
    <w:rsid w:val="0CC62DC7"/>
    <w:rsid w:val="0CF4193B"/>
    <w:rsid w:val="0D224A9E"/>
    <w:rsid w:val="0D527965"/>
    <w:rsid w:val="0D6A10C5"/>
    <w:rsid w:val="0D7A4BBD"/>
    <w:rsid w:val="0D89795E"/>
    <w:rsid w:val="0D9A5D37"/>
    <w:rsid w:val="0D9B612C"/>
    <w:rsid w:val="0DA2530B"/>
    <w:rsid w:val="0DBE5FA8"/>
    <w:rsid w:val="0E1334B2"/>
    <w:rsid w:val="0E286548"/>
    <w:rsid w:val="0E2F0F72"/>
    <w:rsid w:val="0E3F4726"/>
    <w:rsid w:val="0EC55F94"/>
    <w:rsid w:val="0EC766F3"/>
    <w:rsid w:val="0ED93507"/>
    <w:rsid w:val="0F4A0A5C"/>
    <w:rsid w:val="0F4E2469"/>
    <w:rsid w:val="0F535AA9"/>
    <w:rsid w:val="0F543EB4"/>
    <w:rsid w:val="0F581CBC"/>
    <w:rsid w:val="0F5E7481"/>
    <w:rsid w:val="0F623CCE"/>
    <w:rsid w:val="0F991B61"/>
    <w:rsid w:val="0FA40A32"/>
    <w:rsid w:val="0FAA739D"/>
    <w:rsid w:val="0FBC1AAC"/>
    <w:rsid w:val="0FD213D4"/>
    <w:rsid w:val="0FDB7F43"/>
    <w:rsid w:val="0FEB676E"/>
    <w:rsid w:val="101C43E3"/>
    <w:rsid w:val="102F4053"/>
    <w:rsid w:val="104003DE"/>
    <w:rsid w:val="10472BC4"/>
    <w:rsid w:val="104C6441"/>
    <w:rsid w:val="10614FD8"/>
    <w:rsid w:val="108B3603"/>
    <w:rsid w:val="108C4106"/>
    <w:rsid w:val="108D3373"/>
    <w:rsid w:val="109D7E9F"/>
    <w:rsid w:val="10AA572F"/>
    <w:rsid w:val="11064CF0"/>
    <w:rsid w:val="111742F1"/>
    <w:rsid w:val="112C19BC"/>
    <w:rsid w:val="113A4D41"/>
    <w:rsid w:val="113C2B2B"/>
    <w:rsid w:val="11437B39"/>
    <w:rsid w:val="114A5893"/>
    <w:rsid w:val="114F055A"/>
    <w:rsid w:val="11570685"/>
    <w:rsid w:val="115B12AD"/>
    <w:rsid w:val="11611C0C"/>
    <w:rsid w:val="116A2746"/>
    <w:rsid w:val="116C6DC8"/>
    <w:rsid w:val="117538E9"/>
    <w:rsid w:val="11873B5D"/>
    <w:rsid w:val="118F6212"/>
    <w:rsid w:val="119538BB"/>
    <w:rsid w:val="119557FD"/>
    <w:rsid w:val="11B83584"/>
    <w:rsid w:val="11C35D6A"/>
    <w:rsid w:val="11D32B38"/>
    <w:rsid w:val="11E77735"/>
    <w:rsid w:val="11F4132E"/>
    <w:rsid w:val="11FC411C"/>
    <w:rsid w:val="12044E5E"/>
    <w:rsid w:val="12370F73"/>
    <w:rsid w:val="124779E9"/>
    <w:rsid w:val="124B5F4F"/>
    <w:rsid w:val="126E73A0"/>
    <w:rsid w:val="12A0052E"/>
    <w:rsid w:val="12A46B0A"/>
    <w:rsid w:val="12DA20B4"/>
    <w:rsid w:val="12EF5EF1"/>
    <w:rsid w:val="1335295A"/>
    <w:rsid w:val="13361125"/>
    <w:rsid w:val="13387964"/>
    <w:rsid w:val="133A6629"/>
    <w:rsid w:val="137F5DAE"/>
    <w:rsid w:val="139520A8"/>
    <w:rsid w:val="13A4328D"/>
    <w:rsid w:val="13AB2A8B"/>
    <w:rsid w:val="13E108E6"/>
    <w:rsid w:val="13EA7F18"/>
    <w:rsid w:val="13F56159"/>
    <w:rsid w:val="13F63155"/>
    <w:rsid w:val="14160FD6"/>
    <w:rsid w:val="141F7ABF"/>
    <w:rsid w:val="144621FE"/>
    <w:rsid w:val="145B0307"/>
    <w:rsid w:val="145B0A18"/>
    <w:rsid w:val="147D2ADD"/>
    <w:rsid w:val="148D45A8"/>
    <w:rsid w:val="14B0530B"/>
    <w:rsid w:val="14CC42E0"/>
    <w:rsid w:val="15016841"/>
    <w:rsid w:val="150B3418"/>
    <w:rsid w:val="150D0A6A"/>
    <w:rsid w:val="15205627"/>
    <w:rsid w:val="152702BC"/>
    <w:rsid w:val="15386C78"/>
    <w:rsid w:val="15655984"/>
    <w:rsid w:val="15711155"/>
    <w:rsid w:val="157A16A3"/>
    <w:rsid w:val="15C10582"/>
    <w:rsid w:val="15C67C34"/>
    <w:rsid w:val="15CE7926"/>
    <w:rsid w:val="15EC2816"/>
    <w:rsid w:val="15F21F02"/>
    <w:rsid w:val="160512B0"/>
    <w:rsid w:val="16567F23"/>
    <w:rsid w:val="165E2C0A"/>
    <w:rsid w:val="16C25A71"/>
    <w:rsid w:val="16D45A46"/>
    <w:rsid w:val="16DE3ED3"/>
    <w:rsid w:val="16E47FD1"/>
    <w:rsid w:val="17200366"/>
    <w:rsid w:val="173220AB"/>
    <w:rsid w:val="174D4DF1"/>
    <w:rsid w:val="174E7865"/>
    <w:rsid w:val="17652FF9"/>
    <w:rsid w:val="177E0FA2"/>
    <w:rsid w:val="178F7E9C"/>
    <w:rsid w:val="17BA2AC4"/>
    <w:rsid w:val="17C466E9"/>
    <w:rsid w:val="17CE01E2"/>
    <w:rsid w:val="17CE171D"/>
    <w:rsid w:val="17CF04C5"/>
    <w:rsid w:val="18643F3A"/>
    <w:rsid w:val="18801C99"/>
    <w:rsid w:val="188D167D"/>
    <w:rsid w:val="1891657B"/>
    <w:rsid w:val="18935715"/>
    <w:rsid w:val="18956243"/>
    <w:rsid w:val="18A5359C"/>
    <w:rsid w:val="18D5431D"/>
    <w:rsid w:val="18ED4ABE"/>
    <w:rsid w:val="18EF2141"/>
    <w:rsid w:val="190C0826"/>
    <w:rsid w:val="19160A6E"/>
    <w:rsid w:val="19234492"/>
    <w:rsid w:val="19420DF4"/>
    <w:rsid w:val="19793D58"/>
    <w:rsid w:val="19880682"/>
    <w:rsid w:val="19896249"/>
    <w:rsid w:val="198F53F4"/>
    <w:rsid w:val="19A04BD9"/>
    <w:rsid w:val="19BC7BF5"/>
    <w:rsid w:val="19C2229A"/>
    <w:rsid w:val="19C753BB"/>
    <w:rsid w:val="19D01780"/>
    <w:rsid w:val="19F14878"/>
    <w:rsid w:val="19F73A54"/>
    <w:rsid w:val="19FE3C1B"/>
    <w:rsid w:val="1A1643AD"/>
    <w:rsid w:val="1A231270"/>
    <w:rsid w:val="1A467C73"/>
    <w:rsid w:val="1A650C60"/>
    <w:rsid w:val="1A7B4F5C"/>
    <w:rsid w:val="1A9A32F7"/>
    <w:rsid w:val="1AA5770E"/>
    <w:rsid w:val="1AAA4620"/>
    <w:rsid w:val="1AD623EB"/>
    <w:rsid w:val="1ADD0AB5"/>
    <w:rsid w:val="1B166353"/>
    <w:rsid w:val="1B1A557A"/>
    <w:rsid w:val="1B253B32"/>
    <w:rsid w:val="1B2C7691"/>
    <w:rsid w:val="1B375FE9"/>
    <w:rsid w:val="1B5B0243"/>
    <w:rsid w:val="1B5E5C5F"/>
    <w:rsid w:val="1B6A6F26"/>
    <w:rsid w:val="1B741872"/>
    <w:rsid w:val="1B8632A4"/>
    <w:rsid w:val="1BAA5D4F"/>
    <w:rsid w:val="1BBA6771"/>
    <w:rsid w:val="1BC77461"/>
    <w:rsid w:val="1BE61374"/>
    <w:rsid w:val="1BF24DD7"/>
    <w:rsid w:val="1BF42681"/>
    <w:rsid w:val="1C094B6F"/>
    <w:rsid w:val="1C182E49"/>
    <w:rsid w:val="1C186982"/>
    <w:rsid w:val="1C3129BE"/>
    <w:rsid w:val="1C40422C"/>
    <w:rsid w:val="1C4C0326"/>
    <w:rsid w:val="1C664F8E"/>
    <w:rsid w:val="1C8F74E5"/>
    <w:rsid w:val="1C935A7E"/>
    <w:rsid w:val="1C97291A"/>
    <w:rsid w:val="1C982BEB"/>
    <w:rsid w:val="1CA85AA7"/>
    <w:rsid w:val="1CB95E00"/>
    <w:rsid w:val="1CC11880"/>
    <w:rsid w:val="1CD13F5B"/>
    <w:rsid w:val="1CD768D0"/>
    <w:rsid w:val="1CDF3E25"/>
    <w:rsid w:val="1CEA4940"/>
    <w:rsid w:val="1CF526F1"/>
    <w:rsid w:val="1D0F7742"/>
    <w:rsid w:val="1D3C6331"/>
    <w:rsid w:val="1D5369BB"/>
    <w:rsid w:val="1D56274B"/>
    <w:rsid w:val="1D646FCE"/>
    <w:rsid w:val="1D795A8B"/>
    <w:rsid w:val="1D795CA1"/>
    <w:rsid w:val="1D8C0F35"/>
    <w:rsid w:val="1DA43D3D"/>
    <w:rsid w:val="1DB504A2"/>
    <w:rsid w:val="1DBA021A"/>
    <w:rsid w:val="1DC62FA6"/>
    <w:rsid w:val="1DDE2DAF"/>
    <w:rsid w:val="1DFC72DC"/>
    <w:rsid w:val="1E132B52"/>
    <w:rsid w:val="1E146D11"/>
    <w:rsid w:val="1E1A182A"/>
    <w:rsid w:val="1E1A38F0"/>
    <w:rsid w:val="1E203F5A"/>
    <w:rsid w:val="1E2D0846"/>
    <w:rsid w:val="1E993D40"/>
    <w:rsid w:val="1EA258AB"/>
    <w:rsid w:val="1EA8245C"/>
    <w:rsid w:val="1EAD5F9C"/>
    <w:rsid w:val="1ED05068"/>
    <w:rsid w:val="1EDF6765"/>
    <w:rsid w:val="1EE17224"/>
    <w:rsid w:val="1EEC72AB"/>
    <w:rsid w:val="1EED76F6"/>
    <w:rsid w:val="1EF16CBE"/>
    <w:rsid w:val="1F0512C9"/>
    <w:rsid w:val="1F200B0F"/>
    <w:rsid w:val="1F2A7629"/>
    <w:rsid w:val="1F2E1863"/>
    <w:rsid w:val="1F482210"/>
    <w:rsid w:val="1F4E4148"/>
    <w:rsid w:val="1F5A0457"/>
    <w:rsid w:val="1F6D0AA9"/>
    <w:rsid w:val="1F847CDC"/>
    <w:rsid w:val="1F9D7249"/>
    <w:rsid w:val="1FC8638F"/>
    <w:rsid w:val="1FCB29BC"/>
    <w:rsid w:val="1FE706EE"/>
    <w:rsid w:val="1FEC501B"/>
    <w:rsid w:val="1FF743EB"/>
    <w:rsid w:val="1FFB4B54"/>
    <w:rsid w:val="207E099A"/>
    <w:rsid w:val="20816650"/>
    <w:rsid w:val="209B74AB"/>
    <w:rsid w:val="20D3313D"/>
    <w:rsid w:val="20DD4AA8"/>
    <w:rsid w:val="20EA4ABF"/>
    <w:rsid w:val="20FB4D26"/>
    <w:rsid w:val="212223D3"/>
    <w:rsid w:val="21395069"/>
    <w:rsid w:val="21574411"/>
    <w:rsid w:val="216103FD"/>
    <w:rsid w:val="217823FC"/>
    <w:rsid w:val="21BE5B25"/>
    <w:rsid w:val="21C029E0"/>
    <w:rsid w:val="21D43384"/>
    <w:rsid w:val="21DC487B"/>
    <w:rsid w:val="220F6E2E"/>
    <w:rsid w:val="221C0076"/>
    <w:rsid w:val="221E56D6"/>
    <w:rsid w:val="221F575A"/>
    <w:rsid w:val="22373583"/>
    <w:rsid w:val="223B0CF7"/>
    <w:rsid w:val="22443046"/>
    <w:rsid w:val="22571E47"/>
    <w:rsid w:val="22576198"/>
    <w:rsid w:val="225B5338"/>
    <w:rsid w:val="225E66E9"/>
    <w:rsid w:val="22604989"/>
    <w:rsid w:val="22D273FA"/>
    <w:rsid w:val="22EF2042"/>
    <w:rsid w:val="230D03C4"/>
    <w:rsid w:val="233F3A34"/>
    <w:rsid w:val="235633E8"/>
    <w:rsid w:val="23740050"/>
    <w:rsid w:val="23B36FBB"/>
    <w:rsid w:val="23BA5765"/>
    <w:rsid w:val="23C230FF"/>
    <w:rsid w:val="23FA6FDC"/>
    <w:rsid w:val="240D19BA"/>
    <w:rsid w:val="24262816"/>
    <w:rsid w:val="24320414"/>
    <w:rsid w:val="244C2788"/>
    <w:rsid w:val="245B337D"/>
    <w:rsid w:val="24691D18"/>
    <w:rsid w:val="24921810"/>
    <w:rsid w:val="24A50E1B"/>
    <w:rsid w:val="24AA2FED"/>
    <w:rsid w:val="24B509ED"/>
    <w:rsid w:val="24D62618"/>
    <w:rsid w:val="24DB691B"/>
    <w:rsid w:val="24E925D6"/>
    <w:rsid w:val="24F918A9"/>
    <w:rsid w:val="251D2170"/>
    <w:rsid w:val="25284FB3"/>
    <w:rsid w:val="252E4B60"/>
    <w:rsid w:val="25327F00"/>
    <w:rsid w:val="256C6EE2"/>
    <w:rsid w:val="2589331C"/>
    <w:rsid w:val="258C3B50"/>
    <w:rsid w:val="25975F1D"/>
    <w:rsid w:val="25C21FEF"/>
    <w:rsid w:val="25E65D97"/>
    <w:rsid w:val="25EC5F66"/>
    <w:rsid w:val="26184B7D"/>
    <w:rsid w:val="261B11B7"/>
    <w:rsid w:val="263A177E"/>
    <w:rsid w:val="266C0E34"/>
    <w:rsid w:val="26771B85"/>
    <w:rsid w:val="26821530"/>
    <w:rsid w:val="269C099E"/>
    <w:rsid w:val="269E5E9F"/>
    <w:rsid w:val="26A213DD"/>
    <w:rsid w:val="26DD1A50"/>
    <w:rsid w:val="26E84D85"/>
    <w:rsid w:val="26F74052"/>
    <w:rsid w:val="26F87C8B"/>
    <w:rsid w:val="270852F6"/>
    <w:rsid w:val="270B71B5"/>
    <w:rsid w:val="272964E2"/>
    <w:rsid w:val="27357263"/>
    <w:rsid w:val="273D50F3"/>
    <w:rsid w:val="276B2FDA"/>
    <w:rsid w:val="276B650B"/>
    <w:rsid w:val="2782355E"/>
    <w:rsid w:val="27963A6B"/>
    <w:rsid w:val="27A711E2"/>
    <w:rsid w:val="27BB1C9B"/>
    <w:rsid w:val="27C53AC2"/>
    <w:rsid w:val="27D35579"/>
    <w:rsid w:val="27DD25CD"/>
    <w:rsid w:val="28491357"/>
    <w:rsid w:val="284969BF"/>
    <w:rsid w:val="284A05CF"/>
    <w:rsid w:val="287147CD"/>
    <w:rsid w:val="2875012E"/>
    <w:rsid w:val="28A260D1"/>
    <w:rsid w:val="28B6768B"/>
    <w:rsid w:val="28C255FA"/>
    <w:rsid w:val="28CF6E5E"/>
    <w:rsid w:val="28E83F24"/>
    <w:rsid w:val="28F549CF"/>
    <w:rsid w:val="290C6117"/>
    <w:rsid w:val="29203FF0"/>
    <w:rsid w:val="29356732"/>
    <w:rsid w:val="293746EA"/>
    <w:rsid w:val="293F3611"/>
    <w:rsid w:val="29490D79"/>
    <w:rsid w:val="296E05F2"/>
    <w:rsid w:val="29734E9F"/>
    <w:rsid w:val="29807B2F"/>
    <w:rsid w:val="299D226D"/>
    <w:rsid w:val="29CE4A56"/>
    <w:rsid w:val="29CF1FEB"/>
    <w:rsid w:val="29FC53F6"/>
    <w:rsid w:val="2A136B98"/>
    <w:rsid w:val="2A58290D"/>
    <w:rsid w:val="2A625D7E"/>
    <w:rsid w:val="2A6746B3"/>
    <w:rsid w:val="2A7E5269"/>
    <w:rsid w:val="2A8431BE"/>
    <w:rsid w:val="2A97136F"/>
    <w:rsid w:val="2ADE4179"/>
    <w:rsid w:val="2AF47BC1"/>
    <w:rsid w:val="2AF558A1"/>
    <w:rsid w:val="2B056E92"/>
    <w:rsid w:val="2B0835C3"/>
    <w:rsid w:val="2B0A2DE7"/>
    <w:rsid w:val="2B207E65"/>
    <w:rsid w:val="2B385D7B"/>
    <w:rsid w:val="2B3E23D5"/>
    <w:rsid w:val="2B857901"/>
    <w:rsid w:val="2C1522D5"/>
    <w:rsid w:val="2C1C396D"/>
    <w:rsid w:val="2C234FF6"/>
    <w:rsid w:val="2C477497"/>
    <w:rsid w:val="2C495801"/>
    <w:rsid w:val="2C774B99"/>
    <w:rsid w:val="2C82038F"/>
    <w:rsid w:val="2C951411"/>
    <w:rsid w:val="2C9F7698"/>
    <w:rsid w:val="2CA2048C"/>
    <w:rsid w:val="2CA35A9C"/>
    <w:rsid w:val="2CAD0B1A"/>
    <w:rsid w:val="2CFE21FB"/>
    <w:rsid w:val="2D0D5143"/>
    <w:rsid w:val="2D144AE2"/>
    <w:rsid w:val="2D3F6429"/>
    <w:rsid w:val="2D6D6E8B"/>
    <w:rsid w:val="2D726410"/>
    <w:rsid w:val="2D7F08E2"/>
    <w:rsid w:val="2D8C7D39"/>
    <w:rsid w:val="2DD42872"/>
    <w:rsid w:val="2DDF14B1"/>
    <w:rsid w:val="2DEA5B9F"/>
    <w:rsid w:val="2DF7526B"/>
    <w:rsid w:val="2E62323B"/>
    <w:rsid w:val="2E6605DD"/>
    <w:rsid w:val="2E6F2F70"/>
    <w:rsid w:val="2E765471"/>
    <w:rsid w:val="2E865470"/>
    <w:rsid w:val="2EB032D9"/>
    <w:rsid w:val="2EBC4A3B"/>
    <w:rsid w:val="2EBF2693"/>
    <w:rsid w:val="2EC505B5"/>
    <w:rsid w:val="2ED2735B"/>
    <w:rsid w:val="2F432FD8"/>
    <w:rsid w:val="2F6F022F"/>
    <w:rsid w:val="2F856725"/>
    <w:rsid w:val="2FA727C4"/>
    <w:rsid w:val="2FBE7D35"/>
    <w:rsid w:val="2FBF628A"/>
    <w:rsid w:val="2FD4769D"/>
    <w:rsid w:val="2FEE63A8"/>
    <w:rsid w:val="2FF15CE8"/>
    <w:rsid w:val="301D205F"/>
    <w:rsid w:val="30402AB7"/>
    <w:rsid w:val="305371C2"/>
    <w:rsid w:val="306642BB"/>
    <w:rsid w:val="30694E3E"/>
    <w:rsid w:val="30727DE7"/>
    <w:rsid w:val="308F3250"/>
    <w:rsid w:val="30B35915"/>
    <w:rsid w:val="30C7113B"/>
    <w:rsid w:val="30F83BFA"/>
    <w:rsid w:val="310A3CDC"/>
    <w:rsid w:val="311A51F0"/>
    <w:rsid w:val="31395EAC"/>
    <w:rsid w:val="313C6EE9"/>
    <w:rsid w:val="313C7468"/>
    <w:rsid w:val="31407A5B"/>
    <w:rsid w:val="31424EF3"/>
    <w:rsid w:val="314B6130"/>
    <w:rsid w:val="31724B0E"/>
    <w:rsid w:val="319006E3"/>
    <w:rsid w:val="31A205CB"/>
    <w:rsid w:val="31AC7ED7"/>
    <w:rsid w:val="31CB2074"/>
    <w:rsid w:val="31DE3821"/>
    <w:rsid w:val="31EB2170"/>
    <w:rsid w:val="31F1580F"/>
    <w:rsid w:val="32086A39"/>
    <w:rsid w:val="322E7B77"/>
    <w:rsid w:val="32385286"/>
    <w:rsid w:val="323E5ECE"/>
    <w:rsid w:val="32590891"/>
    <w:rsid w:val="32675F05"/>
    <w:rsid w:val="326A51B6"/>
    <w:rsid w:val="327A14AA"/>
    <w:rsid w:val="32993772"/>
    <w:rsid w:val="32B212A5"/>
    <w:rsid w:val="32B569E6"/>
    <w:rsid w:val="32D707D1"/>
    <w:rsid w:val="32F00D64"/>
    <w:rsid w:val="333E396C"/>
    <w:rsid w:val="334B5686"/>
    <w:rsid w:val="33531140"/>
    <w:rsid w:val="3356255C"/>
    <w:rsid w:val="33680B05"/>
    <w:rsid w:val="337077CB"/>
    <w:rsid w:val="33C64902"/>
    <w:rsid w:val="33DD31B0"/>
    <w:rsid w:val="33E43F6D"/>
    <w:rsid w:val="342C7CA2"/>
    <w:rsid w:val="34320C89"/>
    <w:rsid w:val="34552CFC"/>
    <w:rsid w:val="34702C19"/>
    <w:rsid w:val="34894B83"/>
    <w:rsid w:val="34BB68FD"/>
    <w:rsid w:val="34C610BC"/>
    <w:rsid w:val="34E36A60"/>
    <w:rsid w:val="34EE2BF9"/>
    <w:rsid w:val="34F0683D"/>
    <w:rsid w:val="350C7706"/>
    <w:rsid w:val="350D614F"/>
    <w:rsid w:val="3517064B"/>
    <w:rsid w:val="351769F2"/>
    <w:rsid w:val="352C7A8B"/>
    <w:rsid w:val="35357A6D"/>
    <w:rsid w:val="35695BAA"/>
    <w:rsid w:val="35A53AA4"/>
    <w:rsid w:val="35BF1AFA"/>
    <w:rsid w:val="3603614B"/>
    <w:rsid w:val="3610186F"/>
    <w:rsid w:val="36373B51"/>
    <w:rsid w:val="3657541D"/>
    <w:rsid w:val="366248FA"/>
    <w:rsid w:val="367D23CF"/>
    <w:rsid w:val="36811B83"/>
    <w:rsid w:val="36885937"/>
    <w:rsid w:val="36894AB6"/>
    <w:rsid w:val="368F5BD3"/>
    <w:rsid w:val="36DF2DAF"/>
    <w:rsid w:val="371F206D"/>
    <w:rsid w:val="374D2F72"/>
    <w:rsid w:val="37610EBA"/>
    <w:rsid w:val="3766438B"/>
    <w:rsid w:val="37AB19AD"/>
    <w:rsid w:val="37C65BF4"/>
    <w:rsid w:val="37E62C43"/>
    <w:rsid w:val="37E9635A"/>
    <w:rsid w:val="37EE5BC9"/>
    <w:rsid w:val="37FE508F"/>
    <w:rsid w:val="38132780"/>
    <w:rsid w:val="38286B4B"/>
    <w:rsid w:val="38536E0E"/>
    <w:rsid w:val="385E6436"/>
    <w:rsid w:val="38706E43"/>
    <w:rsid w:val="38714CC5"/>
    <w:rsid w:val="387D2CAF"/>
    <w:rsid w:val="387E52A9"/>
    <w:rsid w:val="388A44D5"/>
    <w:rsid w:val="388B27E6"/>
    <w:rsid w:val="38A74916"/>
    <w:rsid w:val="38C916B7"/>
    <w:rsid w:val="38D92261"/>
    <w:rsid w:val="38F864EE"/>
    <w:rsid w:val="394326AC"/>
    <w:rsid w:val="39441C31"/>
    <w:rsid w:val="396F7E99"/>
    <w:rsid w:val="39A27009"/>
    <w:rsid w:val="39A75E61"/>
    <w:rsid w:val="39AD443E"/>
    <w:rsid w:val="39BC59FB"/>
    <w:rsid w:val="39D370D5"/>
    <w:rsid w:val="39D97147"/>
    <w:rsid w:val="39E117A1"/>
    <w:rsid w:val="39EA4DE4"/>
    <w:rsid w:val="39EA50EF"/>
    <w:rsid w:val="39EA6580"/>
    <w:rsid w:val="3A4A3681"/>
    <w:rsid w:val="3A4C686C"/>
    <w:rsid w:val="3A4E3CEB"/>
    <w:rsid w:val="3A74165C"/>
    <w:rsid w:val="3A7618AF"/>
    <w:rsid w:val="3A763E11"/>
    <w:rsid w:val="3AA6363A"/>
    <w:rsid w:val="3AAE2F5B"/>
    <w:rsid w:val="3AB17BF3"/>
    <w:rsid w:val="3AB50763"/>
    <w:rsid w:val="3ACD7481"/>
    <w:rsid w:val="3AD97FA4"/>
    <w:rsid w:val="3ADA40B1"/>
    <w:rsid w:val="3AEE0CC3"/>
    <w:rsid w:val="3B0D1526"/>
    <w:rsid w:val="3B362A9F"/>
    <w:rsid w:val="3B707DC4"/>
    <w:rsid w:val="3B7B1CC2"/>
    <w:rsid w:val="3B825624"/>
    <w:rsid w:val="3BA73DE4"/>
    <w:rsid w:val="3BAC3C21"/>
    <w:rsid w:val="3BBE5245"/>
    <w:rsid w:val="3C0A6D5E"/>
    <w:rsid w:val="3C310BCE"/>
    <w:rsid w:val="3C341167"/>
    <w:rsid w:val="3C5D37F7"/>
    <w:rsid w:val="3C6D79C4"/>
    <w:rsid w:val="3C6F08AD"/>
    <w:rsid w:val="3CAB59B4"/>
    <w:rsid w:val="3CC54211"/>
    <w:rsid w:val="3CCD42EC"/>
    <w:rsid w:val="3CD9403D"/>
    <w:rsid w:val="3CE826B8"/>
    <w:rsid w:val="3CEB1753"/>
    <w:rsid w:val="3CF55050"/>
    <w:rsid w:val="3D14355E"/>
    <w:rsid w:val="3D17454A"/>
    <w:rsid w:val="3D254D02"/>
    <w:rsid w:val="3D412FA4"/>
    <w:rsid w:val="3D6705BC"/>
    <w:rsid w:val="3D822D80"/>
    <w:rsid w:val="3D84460C"/>
    <w:rsid w:val="3DC653AC"/>
    <w:rsid w:val="3DCD36CD"/>
    <w:rsid w:val="3DFF60D2"/>
    <w:rsid w:val="3E48080A"/>
    <w:rsid w:val="3E48270A"/>
    <w:rsid w:val="3E5B598E"/>
    <w:rsid w:val="3E607651"/>
    <w:rsid w:val="3E672D3E"/>
    <w:rsid w:val="3E816337"/>
    <w:rsid w:val="3EA34825"/>
    <w:rsid w:val="3EBA195A"/>
    <w:rsid w:val="3EC308DC"/>
    <w:rsid w:val="3EE47AD4"/>
    <w:rsid w:val="3EF34358"/>
    <w:rsid w:val="3F03307C"/>
    <w:rsid w:val="3F11681E"/>
    <w:rsid w:val="3F1D421C"/>
    <w:rsid w:val="3F6960BE"/>
    <w:rsid w:val="3F8B1C75"/>
    <w:rsid w:val="3F994B49"/>
    <w:rsid w:val="3FA000E6"/>
    <w:rsid w:val="3FD40AF9"/>
    <w:rsid w:val="3FF65E5B"/>
    <w:rsid w:val="40075C53"/>
    <w:rsid w:val="40102F02"/>
    <w:rsid w:val="40376C28"/>
    <w:rsid w:val="40624895"/>
    <w:rsid w:val="407E4965"/>
    <w:rsid w:val="40AB4EE6"/>
    <w:rsid w:val="40BF6E9E"/>
    <w:rsid w:val="40CB7C7F"/>
    <w:rsid w:val="40F335A6"/>
    <w:rsid w:val="40F62242"/>
    <w:rsid w:val="410B75E3"/>
    <w:rsid w:val="412B4DB3"/>
    <w:rsid w:val="413B529C"/>
    <w:rsid w:val="414161D2"/>
    <w:rsid w:val="414D4271"/>
    <w:rsid w:val="415024BD"/>
    <w:rsid w:val="417A0ADF"/>
    <w:rsid w:val="41B4035A"/>
    <w:rsid w:val="41B7218A"/>
    <w:rsid w:val="41CF77D7"/>
    <w:rsid w:val="41DB2F68"/>
    <w:rsid w:val="41F0432A"/>
    <w:rsid w:val="41F85A74"/>
    <w:rsid w:val="421430F0"/>
    <w:rsid w:val="422C7A95"/>
    <w:rsid w:val="42807FFE"/>
    <w:rsid w:val="428667F4"/>
    <w:rsid w:val="428B1C20"/>
    <w:rsid w:val="42B96E71"/>
    <w:rsid w:val="42BD0261"/>
    <w:rsid w:val="42D7357E"/>
    <w:rsid w:val="42DA3E58"/>
    <w:rsid w:val="43112B48"/>
    <w:rsid w:val="43402852"/>
    <w:rsid w:val="434A0428"/>
    <w:rsid w:val="435D6641"/>
    <w:rsid w:val="436271BD"/>
    <w:rsid w:val="436E0492"/>
    <w:rsid w:val="437A0583"/>
    <w:rsid w:val="437A5734"/>
    <w:rsid w:val="437B0DA3"/>
    <w:rsid w:val="43965266"/>
    <w:rsid w:val="43D55013"/>
    <w:rsid w:val="43E771E4"/>
    <w:rsid w:val="44025363"/>
    <w:rsid w:val="44145E9F"/>
    <w:rsid w:val="44265D8C"/>
    <w:rsid w:val="442A2A82"/>
    <w:rsid w:val="44342824"/>
    <w:rsid w:val="44421B0A"/>
    <w:rsid w:val="44531014"/>
    <w:rsid w:val="447350FD"/>
    <w:rsid w:val="448E316E"/>
    <w:rsid w:val="449B70D8"/>
    <w:rsid w:val="44A90F67"/>
    <w:rsid w:val="44B615EB"/>
    <w:rsid w:val="44CD0C70"/>
    <w:rsid w:val="44DF32A9"/>
    <w:rsid w:val="44F14CA9"/>
    <w:rsid w:val="44F6233B"/>
    <w:rsid w:val="44FC195E"/>
    <w:rsid w:val="44FF694E"/>
    <w:rsid w:val="45052AF6"/>
    <w:rsid w:val="4525438E"/>
    <w:rsid w:val="45870964"/>
    <w:rsid w:val="45B80ACD"/>
    <w:rsid w:val="45BA4878"/>
    <w:rsid w:val="45FD36A3"/>
    <w:rsid w:val="461455C1"/>
    <w:rsid w:val="463A7B23"/>
    <w:rsid w:val="464F2D32"/>
    <w:rsid w:val="46553F74"/>
    <w:rsid w:val="46691DDE"/>
    <w:rsid w:val="46732094"/>
    <w:rsid w:val="46805AA2"/>
    <w:rsid w:val="46C72156"/>
    <w:rsid w:val="46CD4FBE"/>
    <w:rsid w:val="46D34266"/>
    <w:rsid w:val="46DC1510"/>
    <w:rsid w:val="46F50D22"/>
    <w:rsid w:val="46F67E24"/>
    <w:rsid w:val="472F313A"/>
    <w:rsid w:val="47321142"/>
    <w:rsid w:val="47685C01"/>
    <w:rsid w:val="479F1510"/>
    <w:rsid w:val="47A03FBD"/>
    <w:rsid w:val="47F14BBB"/>
    <w:rsid w:val="482C5EEF"/>
    <w:rsid w:val="485C3378"/>
    <w:rsid w:val="48731370"/>
    <w:rsid w:val="48896B5B"/>
    <w:rsid w:val="489859A5"/>
    <w:rsid w:val="48AF254D"/>
    <w:rsid w:val="48B40F64"/>
    <w:rsid w:val="48D108CA"/>
    <w:rsid w:val="48D64ECF"/>
    <w:rsid w:val="48E25BF6"/>
    <w:rsid w:val="48F37586"/>
    <w:rsid w:val="48F376C9"/>
    <w:rsid w:val="49076A48"/>
    <w:rsid w:val="493C7A7C"/>
    <w:rsid w:val="49427F8A"/>
    <w:rsid w:val="494F6436"/>
    <w:rsid w:val="49511788"/>
    <w:rsid w:val="495B152B"/>
    <w:rsid w:val="49824CDC"/>
    <w:rsid w:val="49827735"/>
    <w:rsid w:val="499A574B"/>
    <w:rsid w:val="49CA6D74"/>
    <w:rsid w:val="49D771CC"/>
    <w:rsid w:val="49E85AC0"/>
    <w:rsid w:val="49F4283B"/>
    <w:rsid w:val="49FB02D8"/>
    <w:rsid w:val="4A241B28"/>
    <w:rsid w:val="4A3E5A66"/>
    <w:rsid w:val="4A416850"/>
    <w:rsid w:val="4A47527A"/>
    <w:rsid w:val="4A4A63A1"/>
    <w:rsid w:val="4A54510F"/>
    <w:rsid w:val="4A634988"/>
    <w:rsid w:val="4A6B59C1"/>
    <w:rsid w:val="4A706C0A"/>
    <w:rsid w:val="4A870F34"/>
    <w:rsid w:val="4A880939"/>
    <w:rsid w:val="4A9956CD"/>
    <w:rsid w:val="4A9B027A"/>
    <w:rsid w:val="4AA371EC"/>
    <w:rsid w:val="4AAA6947"/>
    <w:rsid w:val="4AC43A06"/>
    <w:rsid w:val="4ADF5C32"/>
    <w:rsid w:val="4AE023F9"/>
    <w:rsid w:val="4AE94C8F"/>
    <w:rsid w:val="4AF06A1C"/>
    <w:rsid w:val="4AFE0992"/>
    <w:rsid w:val="4B036BF5"/>
    <w:rsid w:val="4B1A061B"/>
    <w:rsid w:val="4B475BEC"/>
    <w:rsid w:val="4B4B62E7"/>
    <w:rsid w:val="4B6E7A2D"/>
    <w:rsid w:val="4B9E3D7F"/>
    <w:rsid w:val="4BBE1A2E"/>
    <w:rsid w:val="4BD508BA"/>
    <w:rsid w:val="4BF340D0"/>
    <w:rsid w:val="4C111F23"/>
    <w:rsid w:val="4C6E1400"/>
    <w:rsid w:val="4C7409BE"/>
    <w:rsid w:val="4C7B7F4A"/>
    <w:rsid w:val="4C824ECB"/>
    <w:rsid w:val="4C912E26"/>
    <w:rsid w:val="4CA3304E"/>
    <w:rsid w:val="4CC40EC2"/>
    <w:rsid w:val="4CD852BD"/>
    <w:rsid w:val="4CE30227"/>
    <w:rsid w:val="4CEB042D"/>
    <w:rsid w:val="4CF15E9A"/>
    <w:rsid w:val="4CFE58BE"/>
    <w:rsid w:val="4D0914B8"/>
    <w:rsid w:val="4D0C5AB7"/>
    <w:rsid w:val="4D282617"/>
    <w:rsid w:val="4D28425F"/>
    <w:rsid w:val="4D321B2D"/>
    <w:rsid w:val="4D445BA9"/>
    <w:rsid w:val="4D6A5512"/>
    <w:rsid w:val="4D704A0D"/>
    <w:rsid w:val="4D93157B"/>
    <w:rsid w:val="4DA5710F"/>
    <w:rsid w:val="4DAA3612"/>
    <w:rsid w:val="4DBB26E4"/>
    <w:rsid w:val="4DC72147"/>
    <w:rsid w:val="4DD83D56"/>
    <w:rsid w:val="4DFB17F3"/>
    <w:rsid w:val="4E000F60"/>
    <w:rsid w:val="4E3A4290"/>
    <w:rsid w:val="4E445705"/>
    <w:rsid w:val="4E550A67"/>
    <w:rsid w:val="4E5C325B"/>
    <w:rsid w:val="4E675D05"/>
    <w:rsid w:val="4E6A09F4"/>
    <w:rsid w:val="4E8F3051"/>
    <w:rsid w:val="4E9D3C22"/>
    <w:rsid w:val="4EA61821"/>
    <w:rsid w:val="4EAA19B1"/>
    <w:rsid w:val="4EB57D39"/>
    <w:rsid w:val="4EF50485"/>
    <w:rsid w:val="4EF9414C"/>
    <w:rsid w:val="4F0562F7"/>
    <w:rsid w:val="4F2351C3"/>
    <w:rsid w:val="4F3B4486"/>
    <w:rsid w:val="4F715D04"/>
    <w:rsid w:val="4F8E53C7"/>
    <w:rsid w:val="4F9524FD"/>
    <w:rsid w:val="4FBD46ED"/>
    <w:rsid w:val="4FFF5A0D"/>
    <w:rsid w:val="500D613D"/>
    <w:rsid w:val="5022247A"/>
    <w:rsid w:val="502322DD"/>
    <w:rsid w:val="502447F7"/>
    <w:rsid w:val="50262331"/>
    <w:rsid w:val="50385F4F"/>
    <w:rsid w:val="503D09C8"/>
    <w:rsid w:val="50563DAE"/>
    <w:rsid w:val="505A18CF"/>
    <w:rsid w:val="5084520A"/>
    <w:rsid w:val="50851233"/>
    <w:rsid w:val="508D797A"/>
    <w:rsid w:val="50A63B73"/>
    <w:rsid w:val="50B274ED"/>
    <w:rsid w:val="50C1659A"/>
    <w:rsid w:val="50F330E7"/>
    <w:rsid w:val="50F704FD"/>
    <w:rsid w:val="5102553D"/>
    <w:rsid w:val="51063972"/>
    <w:rsid w:val="512161E0"/>
    <w:rsid w:val="512C585A"/>
    <w:rsid w:val="512C6B27"/>
    <w:rsid w:val="513D3411"/>
    <w:rsid w:val="51657B8C"/>
    <w:rsid w:val="5167148B"/>
    <w:rsid w:val="51706E69"/>
    <w:rsid w:val="5185613C"/>
    <w:rsid w:val="5194353E"/>
    <w:rsid w:val="51EE07FF"/>
    <w:rsid w:val="51EF18B5"/>
    <w:rsid w:val="5204255C"/>
    <w:rsid w:val="52060D31"/>
    <w:rsid w:val="52163D38"/>
    <w:rsid w:val="52385062"/>
    <w:rsid w:val="52443250"/>
    <w:rsid w:val="52600A6E"/>
    <w:rsid w:val="52605132"/>
    <w:rsid w:val="526A05D2"/>
    <w:rsid w:val="526A0D9F"/>
    <w:rsid w:val="52781F65"/>
    <w:rsid w:val="529F342E"/>
    <w:rsid w:val="52AD7679"/>
    <w:rsid w:val="52BE3AE1"/>
    <w:rsid w:val="52D80A6E"/>
    <w:rsid w:val="52DA6D93"/>
    <w:rsid w:val="52EB60DC"/>
    <w:rsid w:val="52F737A5"/>
    <w:rsid w:val="53094BBE"/>
    <w:rsid w:val="53312882"/>
    <w:rsid w:val="53327D92"/>
    <w:rsid w:val="533D60DD"/>
    <w:rsid w:val="534C0028"/>
    <w:rsid w:val="536962F6"/>
    <w:rsid w:val="53B1460A"/>
    <w:rsid w:val="53B641C7"/>
    <w:rsid w:val="53E24E8C"/>
    <w:rsid w:val="53F652A9"/>
    <w:rsid w:val="53FC72B3"/>
    <w:rsid w:val="54242346"/>
    <w:rsid w:val="542D1F82"/>
    <w:rsid w:val="54803E0C"/>
    <w:rsid w:val="54986790"/>
    <w:rsid w:val="54AA0B4C"/>
    <w:rsid w:val="54C2323C"/>
    <w:rsid w:val="54C2453A"/>
    <w:rsid w:val="54C80091"/>
    <w:rsid w:val="54CC5118"/>
    <w:rsid w:val="54DD0D1F"/>
    <w:rsid w:val="54E17BBD"/>
    <w:rsid w:val="54EB5DFA"/>
    <w:rsid w:val="5529644B"/>
    <w:rsid w:val="55304F81"/>
    <w:rsid w:val="55400453"/>
    <w:rsid w:val="55540EB2"/>
    <w:rsid w:val="555D343C"/>
    <w:rsid w:val="55677591"/>
    <w:rsid w:val="556823A4"/>
    <w:rsid w:val="55AB0D54"/>
    <w:rsid w:val="55AC7EE4"/>
    <w:rsid w:val="55AE7D70"/>
    <w:rsid w:val="55B0497C"/>
    <w:rsid w:val="55BA0C58"/>
    <w:rsid w:val="55D62DFE"/>
    <w:rsid w:val="55D72EBC"/>
    <w:rsid w:val="55E64AE0"/>
    <w:rsid w:val="55F55695"/>
    <w:rsid w:val="561C45EE"/>
    <w:rsid w:val="56223F03"/>
    <w:rsid w:val="56265C9B"/>
    <w:rsid w:val="562A388F"/>
    <w:rsid w:val="562D3F3E"/>
    <w:rsid w:val="56401A87"/>
    <w:rsid w:val="566C27E1"/>
    <w:rsid w:val="5670138C"/>
    <w:rsid w:val="567B461D"/>
    <w:rsid w:val="567B5C49"/>
    <w:rsid w:val="56857D35"/>
    <w:rsid w:val="568F67B7"/>
    <w:rsid w:val="56934A26"/>
    <w:rsid w:val="56A03E40"/>
    <w:rsid w:val="56A67A36"/>
    <w:rsid w:val="56AF2B2D"/>
    <w:rsid w:val="56B34A27"/>
    <w:rsid w:val="56EC1A3B"/>
    <w:rsid w:val="56ED0F34"/>
    <w:rsid w:val="572444C4"/>
    <w:rsid w:val="574C7D37"/>
    <w:rsid w:val="575814EC"/>
    <w:rsid w:val="576365AC"/>
    <w:rsid w:val="577410C2"/>
    <w:rsid w:val="5779102F"/>
    <w:rsid w:val="577A42EB"/>
    <w:rsid w:val="57865A85"/>
    <w:rsid w:val="578C718D"/>
    <w:rsid w:val="579A008B"/>
    <w:rsid w:val="57B103C9"/>
    <w:rsid w:val="57CE40B3"/>
    <w:rsid w:val="57D61E80"/>
    <w:rsid w:val="57D61ED7"/>
    <w:rsid w:val="57DF58EC"/>
    <w:rsid w:val="57E63B89"/>
    <w:rsid w:val="57E64D26"/>
    <w:rsid w:val="57F0418F"/>
    <w:rsid w:val="58271DBD"/>
    <w:rsid w:val="583734B9"/>
    <w:rsid w:val="58405381"/>
    <w:rsid w:val="58680D6A"/>
    <w:rsid w:val="58CC52DE"/>
    <w:rsid w:val="58F132B7"/>
    <w:rsid w:val="590864B2"/>
    <w:rsid w:val="591340E5"/>
    <w:rsid w:val="59206329"/>
    <w:rsid w:val="592B7B53"/>
    <w:rsid w:val="592F786B"/>
    <w:rsid w:val="59401133"/>
    <w:rsid w:val="594056DD"/>
    <w:rsid w:val="595960CD"/>
    <w:rsid w:val="59615758"/>
    <w:rsid w:val="59725C54"/>
    <w:rsid w:val="5991094B"/>
    <w:rsid w:val="59C902A7"/>
    <w:rsid w:val="59D05B8C"/>
    <w:rsid w:val="5A214542"/>
    <w:rsid w:val="5A3841C9"/>
    <w:rsid w:val="5AAC5CBF"/>
    <w:rsid w:val="5AB56DE8"/>
    <w:rsid w:val="5AD32E82"/>
    <w:rsid w:val="5AD57471"/>
    <w:rsid w:val="5ADF459D"/>
    <w:rsid w:val="5AEF11A3"/>
    <w:rsid w:val="5B132801"/>
    <w:rsid w:val="5B2A4CFA"/>
    <w:rsid w:val="5B4E7DAC"/>
    <w:rsid w:val="5B5F7B78"/>
    <w:rsid w:val="5B72490A"/>
    <w:rsid w:val="5B913376"/>
    <w:rsid w:val="5B997D94"/>
    <w:rsid w:val="5BA9097F"/>
    <w:rsid w:val="5BE81C2D"/>
    <w:rsid w:val="5BED1067"/>
    <w:rsid w:val="5BF954BA"/>
    <w:rsid w:val="5C08695A"/>
    <w:rsid w:val="5C106E2E"/>
    <w:rsid w:val="5C405309"/>
    <w:rsid w:val="5C541C41"/>
    <w:rsid w:val="5C5B3D36"/>
    <w:rsid w:val="5C7A13A4"/>
    <w:rsid w:val="5CDB25FA"/>
    <w:rsid w:val="5CED1366"/>
    <w:rsid w:val="5CF928CB"/>
    <w:rsid w:val="5D080467"/>
    <w:rsid w:val="5D0D6C24"/>
    <w:rsid w:val="5D165DCE"/>
    <w:rsid w:val="5D1B074A"/>
    <w:rsid w:val="5D1B5969"/>
    <w:rsid w:val="5D382CE7"/>
    <w:rsid w:val="5D5709AA"/>
    <w:rsid w:val="5D6A516E"/>
    <w:rsid w:val="5D914814"/>
    <w:rsid w:val="5D993E76"/>
    <w:rsid w:val="5DC67CA7"/>
    <w:rsid w:val="5DEF76BF"/>
    <w:rsid w:val="5E6D661B"/>
    <w:rsid w:val="5E7215A1"/>
    <w:rsid w:val="5E761BCA"/>
    <w:rsid w:val="5E8269A7"/>
    <w:rsid w:val="5E864CFF"/>
    <w:rsid w:val="5E8653AF"/>
    <w:rsid w:val="5E8B7737"/>
    <w:rsid w:val="5F1536D2"/>
    <w:rsid w:val="5F455370"/>
    <w:rsid w:val="5F4E509E"/>
    <w:rsid w:val="5F6B1FEC"/>
    <w:rsid w:val="5F7C2907"/>
    <w:rsid w:val="5FB40B29"/>
    <w:rsid w:val="5FBF0A05"/>
    <w:rsid w:val="5FD7053A"/>
    <w:rsid w:val="5FDF4D9F"/>
    <w:rsid w:val="5FE52FC5"/>
    <w:rsid w:val="5FF04071"/>
    <w:rsid w:val="5FFBB952"/>
    <w:rsid w:val="5FFD3865"/>
    <w:rsid w:val="600F37AB"/>
    <w:rsid w:val="60105149"/>
    <w:rsid w:val="602D4003"/>
    <w:rsid w:val="604C29FB"/>
    <w:rsid w:val="605303AE"/>
    <w:rsid w:val="606A5ABF"/>
    <w:rsid w:val="607F45DD"/>
    <w:rsid w:val="60911452"/>
    <w:rsid w:val="609E7548"/>
    <w:rsid w:val="60A95ABC"/>
    <w:rsid w:val="60D61B73"/>
    <w:rsid w:val="60F1030C"/>
    <w:rsid w:val="61400437"/>
    <w:rsid w:val="61587E70"/>
    <w:rsid w:val="61641B1F"/>
    <w:rsid w:val="61675F86"/>
    <w:rsid w:val="617E1AB2"/>
    <w:rsid w:val="619B0477"/>
    <w:rsid w:val="61AE173E"/>
    <w:rsid w:val="61C17907"/>
    <w:rsid w:val="61C56C9C"/>
    <w:rsid w:val="61C612F2"/>
    <w:rsid w:val="61CA782E"/>
    <w:rsid w:val="61CB3E81"/>
    <w:rsid w:val="61E3358E"/>
    <w:rsid w:val="6228268B"/>
    <w:rsid w:val="6238049E"/>
    <w:rsid w:val="6247422F"/>
    <w:rsid w:val="62637663"/>
    <w:rsid w:val="6274568E"/>
    <w:rsid w:val="627D2FEB"/>
    <w:rsid w:val="62900D8E"/>
    <w:rsid w:val="6294320D"/>
    <w:rsid w:val="62AC7F5E"/>
    <w:rsid w:val="62AE288F"/>
    <w:rsid w:val="62B570B8"/>
    <w:rsid w:val="6304378C"/>
    <w:rsid w:val="630B7CB3"/>
    <w:rsid w:val="632E7BBC"/>
    <w:rsid w:val="633A7244"/>
    <w:rsid w:val="63446890"/>
    <w:rsid w:val="63501CFE"/>
    <w:rsid w:val="635C79AA"/>
    <w:rsid w:val="63612AD8"/>
    <w:rsid w:val="63682D1E"/>
    <w:rsid w:val="63716953"/>
    <w:rsid w:val="637E60B3"/>
    <w:rsid w:val="63985910"/>
    <w:rsid w:val="63CA7F88"/>
    <w:rsid w:val="6402762A"/>
    <w:rsid w:val="64261F7A"/>
    <w:rsid w:val="6429071A"/>
    <w:rsid w:val="645E0116"/>
    <w:rsid w:val="64631360"/>
    <w:rsid w:val="6464397F"/>
    <w:rsid w:val="64791115"/>
    <w:rsid w:val="64845EE9"/>
    <w:rsid w:val="64B7676B"/>
    <w:rsid w:val="64CF55FF"/>
    <w:rsid w:val="64E846EC"/>
    <w:rsid w:val="64F12446"/>
    <w:rsid w:val="65120BEB"/>
    <w:rsid w:val="651C7897"/>
    <w:rsid w:val="65384B3D"/>
    <w:rsid w:val="65545778"/>
    <w:rsid w:val="655F5B0F"/>
    <w:rsid w:val="65752BC1"/>
    <w:rsid w:val="657A039D"/>
    <w:rsid w:val="65994838"/>
    <w:rsid w:val="65AD4E8F"/>
    <w:rsid w:val="65B033BC"/>
    <w:rsid w:val="65B20616"/>
    <w:rsid w:val="65B56EE1"/>
    <w:rsid w:val="65FC217D"/>
    <w:rsid w:val="66032DF8"/>
    <w:rsid w:val="663651E9"/>
    <w:rsid w:val="66566A39"/>
    <w:rsid w:val="66773604"/>
    <w:rsid w:val="667B69B8"/>
    <w:rsid w:val="66A73006"/>
    <w:rsid w:val="66B5042E"/>
    <w:rsid w:val="66B54419"/>
    <w:rsid w:val="66C74FE1"/>
    <w:rsid w:val="66CA7C1D"/>
    <w:rsid w:val="67041A66"/>
    <w:rsid w:val="671C720D"/>
    <w:rsid w:val="67233426"/>
    <w:rsid w:val="67423C69"/>
    <w:rsid w:val="674D24FD"/>
    <w:rsid w:val="675D2DFD"/>
    <w:rsid w:val="6794679C"/>
    <w:rsid w:val="67963502"/>
    <w:rsid w:val="67980396"/>
    <w:rsid w:val="67AF0FFA"/>
    <w:rsid w:val="67AF6BB0"/>
    <w:rsid w:val="67B242FF"/>
    <w:rsid w:val="67DA382A"/>
    <w:rsid w:val="67E50B64"/>
    <w:rsid w:val="67F445EB"/>
    <w:rsid w:val="684956C2"/>
    <w:rsid w:val="68651CFB"/>
    <w:rsid w:val="68687817"/>
    <w:rsid w:val="68803FBB"/>
    <w:rsid w:val="68A67D27"/>
    <w:rsid w:val="68C63BC5"/>
    <w:rsid w:val="68C85954"/>
    <w:rsid w:val="68F03B39"/>
    <w:rsid w:val="690A0826"/>
    <w:rsid w:val="692C6380"/>
    <w:rsid w:val="692F2C6F"/>
    <w:rsid w:val="69366F0A"/>
    <w:rsid w:val="694A2D38"/>
    <w:rsid w:val="69561719"/>
    <w:rsid w:val="697762B6"/>
    <w:rsid w:val="69A171BF"/>
    <w:rsid w:val="69DA35C7"/>
    <w:rsid w:val="69DF606E"/>
    <w:rsid w:val="69F173F8"/>
    <w:rsid w:val="69F41270"/>
    <w:rsid w:val="69F816ED"/>
    <w:rsid w:val="6A0453F4"/>
    <w:rsid w:val="6A1E3EEC"/>
    <w:rsid w:val="6A544D61"/>
    <w:rsid w:val="6A6E2AD0"/>
    <w:rsid w:val="6A7F6D33"/>
    <w:rsid w:val="6A946645"/>
    <w:rsid w:val="6A9B5FB2"/>
    <w:rsid w:val="6AAE65FC"/>
    <w:rsid w:val="6ABB75C3"/>
    <w:rsid w:val="6ABC3163"/>
    <w:rsid w:val="6ACA6E36"/>
    <w:rsid w:val="6AE41960"/>
    <w:rsid w:val="6AEC08FA"/>
    <w:rsid w:val="6B174C64"/>
    <w:rsid w:val="6B2A0793"/>
    <w:rsid w:val="6B4C6F09"/>
    <w:rsid w:val="6B566BA2"/>
    <w:rsid w:val="6B6B288F"/>
    <w:rsid w:val="6B8224A8"/>
    <w:rsid w:val="6B842385"/>
    <w:rsid w:val="6B9D5A68"/>
    <w:rsid w:val="6BA14B15"/>
    <w:rsid w:val="6BA44F38"/>
    <w:rsid w:val="6BAF27DF"/>
    <w:rsid w:val="6BB13E2B"/>
    <w:rsid w:val="6BC04C20"/>
    <w:rsid w:val="6BC71AD4"/>
    <w:rsid w:val="6BCA7186"/>
    <w:rsid w:val="6BDF205A"/>
    <w:rsid w:val="6BEF1D21"/>
    <w:rsid w:val="6BF33E84"/>
    <w:rsid w:val="6BFE3523"/>
    <w:rsid w:val="6C1D42D4"/>
    <w:rsid w:val="6C227454"/>
    <w:rsid w:val="6C3A3083"/>
    <w:rsid w:val="6C447E45"/>
    <w:rsid w:val="6C6128B3"/>
    <w:rsid w:val="6C800C70"/>
    <w:rsid w:val="6C8724B5"/>
    <w:rsid w:val="6C872DFD"/>
    <w:rsid w:val="6C887F81"/>
    <w:rsid w:val="6C8E53BA"/>
    <w:rsid w:val="6CE71A46"/>
    <w:rsid w:val="6CF5252C"/>
    <w:rsid w:val="6D050680"/>
    <w:rsid w:val="6D3239EF"/>
    <w:rsid w:val="6D7C064E"/>
    <w:rsid w:val="6D812437"/>
    <w:rsid w:val="6D8E255A"/>
    <w:rsid w:val="6DC0675A"/>
    <w:rsid w:val="6E1A5E27"/>
    <w:rsid w:val="6E1D78C3"/>
    <w:rsid w:val="6E2E197B"/>
    <w:rsid w:val="6E51421B"/>
    <w:rsid w:val="6E6757D2"/>
    <w:rsid w:val="6E8630C1"/>
    <w:rsid w:val="6EA44325"/>
    <w:rsid w:val="6EB4697A"/>
    <w:rsid w:val="6EDE2AB8"/>
    <w:rsid w:val="6F0B7A27"/>
    <w:rsid w:val="6F1D3634"/>
    <w:rsid w:val="6F201491"/>
    <w:rsid w:val="6F2A644B"/>
    <w:rsid w:val="6F440033"/>
    <w:rsid w:val="6F462EA7"/>
    <w:rsid w:val="6F556A08"/>
    <w:rsid w:val="6F6A182D"/>
    <w:rsid w:val="6F6A1B20"/>
    <w:rsid w:val="6F73119F"/>
    <w:rsid w:val="6F8C46D7"/>
    <w:rsid w:val="6F9D70F1"/>
    <w:rsid w:val="6FA10F73"/>
    <w:rsid w:val="6FB2357A"/>
    <w:rsid w:val="6FD01186"/>
    <w:rsid w:val="6FD74D06"/>
    <w:rsid w:val="6FF34CBD"/>
    <w:rsid w:val="7013561D"/>
    <w:rsid w:val="70141DA5"/>
    <w:rsid w:val="70147C82"/>
    <w:rsid w:val="70172679"/>
    <w:rsid w:val="70260F5E"/>
    <w:rsid w:val="70263119"/>
    <w:rsid w:val="70291267"/>
    <w:rsid w:val="704B32C1"/>
    <w:rsid w:val="706D3492"/>
    <w:rsid w:val="707C18C0"/>
    <w:rsid w:val="708402F4"/>
    <w:rsid w:val="70B57905"/>
    <w:rsid w:val="70C944AE"/>
    <w:rsid w:val="70DC0911"/>
    <w:rsid w:val="7149339B"/>
    <w:rsid w:val="715134B6"/>
    <w:rsid w:val="7194320D"/>
    <w:rsid w:val="719F7183"/>
    <w:rsid w:val="71AA2390"/>
    <w:rsid w:val="71BD723A"/>
    <w:rsid w:val="71C824E3"/>
    <w:rsid w:val="71D16255"/>
    <w:rsid w:val="71E11BD8"/>
    <w:rsid w:val="71E41B98"/>
    <w:rsid w:val="72041E21"/>
    <w:rsid w:val="723916E9"/>
    <w:rsid w:val="72391AD4"/>
    <w:rsid w:val="723C2FE9"/>
    <w:rsid w:val="728069F1"/>
    <w:rsid w:val="72EB061D"/>
    <w:rsid w:val="72ED313D"/>
    <w:rsid w:val="72FE7640"/>
    <w:rsid w:val="73014E35"/>
    <w:rsid w:val="73127D9A"/>
    <w:rsid w:val="73230C9C"/>
    <w:rsid w:val="73268CCB"/>
    <w:rsid w:val="73372D6E"/>
    <w:rsid w:val="733A55A1"/>
    <w:rsid w:val="73774D3D"/>
    <w:rsid w:val="73841F3D"/>
    <w:rsid w:val="73A9742D"/>
    <w:rsid w:val="73EB0112"/>
    <w:rsid w:val="741A0E5C"/>
    <w:rsid w:val="742F5C38"/>
    <w:rsid w:val="745B003D"/>
    <w:rsid w:val="745C653D"/>
    <w:rsid w:val="745F2CBE"/>
    <w:rsid w:val="747303D6"/>
    <w:rsid w:val="7492492C"/>
    <w:rsid w:val="74932DF8"/>
    <w:rsid w:val="749C416D"/>
    <w:rsid w:val="74AF2BF6"/>
    <w:rsid w:val="74DB168C"/>
    <w:rsid w:val="74E21142"/>
    <w:rsid w:val="74E34FE4"/>
    <w:rsid w:val="74F62723"/>
    <w:rsid w:val="74FC4FB0"/>
    <w:rsid w:val="75237D03"/>
    <w:rsid w:val="75262786"/>
    <w:rsid w:val="75357033"/>
    <w:rsid w:val="7537333F"/>
    <w:rsid w:val="753C3F14"/>
    <w:rsid w:val="754F3192"/>
    <w:rsid w:val="755336DF"/>
    <w:rsid w:val="75596719"/>
    <w:rsid w:val="756518D4"/>
    <w:rsid w:val="7579353F"/>
    <w:rsid w:val="75A76681"/>
    <w:rsid w:val="75CB7DAA"/>
    <w:rsid w:val="75DB0744"/>
    <w:rsid w:val="75EF0029"/>
    <w:rsid w:val="7615442C"/>
    <w:rsid w:val="7619318D"/>
    <w:rsid w:val="762D3F75"/>
    <w:rsid w:val="76383D1E"/>
    <w:rsid w:val="76502619"/>
    <w:rsid w:val="768A5506"/>
    <w:rsid w:val="76A64620"/>
    <w:rsid w:val="76CA6D99"/>
    <w:rsid w:val="76DB725B"/>
    <w:rsid w:val="770250E6"/>
    <w:rsid w:val="77136388"/>
    <w:rsid w:val="771E154F"/>
    <w:rsid w:val="772821D0"/>
    <w:rsid w:val="772C6F47"/>
    <w:rsid w:val="77324A62"/>
    <w:rsid w:val="773721C3"/>
    <w:rsid w:val="773B6344"/>
    <w:rsid w:val="77553FC9"/>
    <w:rsid w:val="77910D43"/>
    <w:rsid w:val="77C3191B"/>
    <w:rsid w:val="77CE683B"/>
    <w:rsid w:val="77E22BAD"/>
    <w:rsid w:val="78010B97"/>
    <w:rsid w:val="78010D5F"/>
    <w:rsid w:val="780D17BB"/>
    <w:rsid w:val="781F1519"/>
    <w:rsid w:val="7825089E"/>
    <w:rsid w:val="782F01ED"/>
    <w:rsid w:val="78764BF9"/>
    <w:rsid w:val="78871333"/>
    <w:rsid w:val="78B925C5"/>
    <w:rsid w:val="78C1143C"/>
    <w:rsid w:val="78DE71A5"/>
    <w:rsid w:val="78DF28EA"/>
    <w:rsid w:val="78F44027"/>
    <w:rsid w:val="78FC41F3"/>
    <w:rsid w:val="793D3C6C"/>
    <w:rsid w:val="79453085"/>
    <w:rsid w:val="79564821"/>
    <w:rsid w:val="797F5B5E"/>
    <w:rsid w:val="7980241F"/>
    <w:rsid w:val="798275E0"/>
    <w:rsid w:val="798A5BA9"/>
    <w:rsid w:val="79B852B0"/>
    <w:rsid w:val="79BC458B"/>
    <w:rsid w:val="79C26D68"/>
    <w:rsid w:val="79D72E8C"/>
    <w:rsid w:val="79E47CA5"/>
    <w:rsid w:val="7A0837B7"/>
    <w:rsid w:val="7A2236DD"/>
    <w:rsid w:val="7A2E49CA"/>
    <w:rsid w:val="7A8A5044"/>
    <w:rsid w:val="7A8D6FCD"/>
    <w:rsid w:val="7A953ABC"/>
    <w:rsid w:val="7A9D48EE"/>
    <w:rsid w:val="7AB75DBC"/>
    <w:rsid w:val="7AD535E4"/>
    <w:rsid w:val="7AD57E41"/>
    <w:rsid w:val="7B0A6BDE"/>
    <w:rsid w:val="7B132DEA"/>
    <w:rsid w:val="7B2B0139"/>
    <w:rsid w:val="7B4F09F8"/>
    <w:rsid w:val="7B8D19B7"/>
    <w:rsid w:val="7BA32FB0"/>
    <w:rsid w:val="7BD50440"/>
    <w:rsid w:val="7BDD5EC7"/>
    <w:rsid w:val="7C185C3B"/>
    <w:rsid w:val="7C3456EC"/>
    <w:rsid w:val="7C4E33CD"/>
    <w:rsid w:val="7C863A02"/>
    <w:rsid w:val="7C9F7403"/>
    <w:rsid w:val="7CBD0200"/>
    <w:rsid w:val="7CC87C2F"/>
    <w:rsid w:val="7CD6557F"/>
    <w:rsid w:val="7CDD44C4"/>
    <w:rsid w:val="7CEF2377"/>
    <w:rsid w:val="7CF26ACC"/>
    <w:rsid w:val="7D756555"/>
    <w:rsid w:val="7D856E38"/>
    <w:rsid w:val="7D9A1AB5"/>
    <w:rsid w:val="7D9D318F"/>
    <w:rsid w:val="7D9F26A9"/>
    <w:rsid w:val="7DB66CA9"/>
    <w:rsid w:val="7DBA132E"/>
    <w:rsid w:val="7DC178C6"/>
    <w:rsid w:val="7DD33880"/>
    <w:rsid w:val="7DF7C8AD"/>
    <w:rsid w:val="7DFF6D56"/>
    <w:rsid w:val="7E230CF9"/>
    <w:rsid w:val="7E2677E6"/>
    <w:rsid w:val="7E360360"/>
    <w:rsid w:val="7E4378E9"/>
    <w:rsid w:val="7E49587E"/>
    <w:rsid w:val="7E4B6947"/>
    <w:rsid w:val="7E7A5474"/>
    <w:rsid w:val="7E821914"/>
    <w:rsid w:val="7E8A6904"/>
    <w:rsid w:val="7E9624D6"/>
    <w:rsid w:val="7E9C0EF8"/>
    <w:rsid w:val="7E9F56D2"/>
    <w:rsid w:val="7EB94BE1"/>
    <w:rsid w:val="7EC2122E"/>
    <w:rsid w:val="7EE2722C"/>
    <w:rsid w:val="7EF92BB4"/>
    <w:rsid w:val="7F070E0F"/>
    <w:rsid w:val="7F097F2B"/>
    <w:rsid w:val="7F0F1B5C"/>
    <w:rsid w:val="7F1728A5"/>
    <w:rsid w:val="7F2A7880"/>
    <w:rsid w:val="7F494E00"/>
    <w:rsid w:val="7F5941C3"/>
    <w:rsid w:val="7F61181B"/>
    <w:rsid w:val="7F746ADC"/>
    <w:rsid w:val="7F871053"/>
    <w:rsid w:val="7FAB4CAF"/>
    <w:rsid w:val="7FB069E3"/>
    <w:rsid w:val="7FDF69A4"/>
    <w:rsid w:val="7FFC7101"/>
    <w:rsid w:val="87F5BA72"/>
    <w:rsid w:val="B74F9FD6"/>
    <w:rsid w:val="BFDF0C55"/>
    <w:rsid w:val="C5AD88C0"/>
    <w:rsid w:val="D75F49B9"/>
    <w:rsid w:val="D7FF020C"/>
    <w:rsid w:val="DFDF4862"/>
    <w:rsid w:val="DFE99885"/>
    <w:rsid w:val="EF1DE9C7"/>
    <w:rsid w:val="F3FB0530"/>
    <w:rsid w:val="F6BBAC20"/>
    <w:rsid w:val="F7EEE359"/>
    <w:rsid w:val="F9FF6B94"/>
    <w:rsid w:val="FCD2F44F"/>
    <w:rsid w:val="FF5DCBDD"/>
    <w:rsid w:val="FFEF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5">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6">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7">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8">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9">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widowControl w:val="0"/>
      <w:ind w:firstLine="200" w:firstLineChars="200"/>
      <w:jc w:val="both"/>
    </w:pPr>
    <w:rPr>
      <w:rFonts w:ascii="Calibri" w:hAnsi="Calibri" w:eastAsia="宋体" w:cs="Times New Roman"/>
      <w:color w:val="000000"/>
      <w:kern w:val="2"/>
      <w:sz w:val="21"/>
      <w:szCs w:val="22"/>
      <w:lang w:val="en-US" w:eastAsia="zh-CN" w:bidi="ar-SA"/>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0">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11">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2">
    <w:name w:val="annotation text"/>
    <w:basedOn w:val="1"/>
    <w:qFormat/>
    <w:uiPriority w:val="0"/>
    <w:pPr>
      <w:jc w:val="left"/>
    </w:pPr>
  </w:style>
  <w:style w:type="paragraph" w:styleId="13">
    <w:name w:val="Body Text"/>
    <w:basedOn w:val="1"/>
    <w:next w:val="1"/>
    <w:qFormat/>
    <w:uiPriority w:val="0"/>
    <w:pPr>
      <w:spacing w:line="240" w:lineRule="auto"/>
    </w:pPr>
    <w:rPr>
      <w:rFonts w:ascii="Times New Roman" w:hAnsi="Times New Roman" w:cs="Times New Roman"/>
      <w:i/>
      <w:iCs/>
      <w:sz w:val="18"/>
    </w:rPr>
  </w:style>
  <w:style w:type="paragraph" w:styleId="14">
    <w:name w:val="Body Text Indent"/>
    <w:basedOn w:val="1"/>
    <w:qFormat/>
    <w:uiPriority w:val="0"/>
    <w:pPr>
      <w:spacing w:after="120" w:afterLines="0"/>
      <w:ind w:left="420" w:leftChars="200"/>
    </w:pPr>
    <w:rPr>
      <w:kern w:val="2"/>
      <w:sz w:val="21"/>
      <w:szCs w:val="24"/>
      <w:lang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7">
    <w:name w:val="toc 1"/>
    <w:basedOn w:val="1"/>
    <w:next w:val="1"/>
    <w:qFormat/>
    <w:uiPriority w:val="39"/>
    <w:pPr>
      <w:spacing w:after="0" w:line="220" w:lineRule="exact"/>
    </w:pPr>
    <w:rPr>
      <w:rFonts w:cs="Calibri"/>
      <w:b/>
      <w:bCs/>
      <w:caps/>
      <w:color w:val="0070C0"/>
      <w:sz w:val="15"/>
      <w:szCs w:val="20"/>
    </w:rPr>
  </w:style>
  <w:style w:type="paragraph" w:styleId="18">
    <w:name w:val="Normal (Web)"/>
    <w:basedOn w:val="1"/>
    <w:unhideWhenUsed/>
    <w:qFormat/>
    <w:uiPriority w:val="99"/>
    <w:pPr>
      <w:widowControl/>
      <w:jc w:val="left"/>
    </w:pPr>
    <w:rPr>
      <w:rFonts w:ascii="宋体" w:hAnsi="宋体" w:cs="宋体"/>
      <w:kern w:val="0"/>
      <w:szCs w:val="24"/>
    </w:rPr>
  </w:style>
  <w:style w:type="paragraph" w:styleId="19">
    <w:name w:val="Body Text First Indent"/>
    <w:basedOn w:val="13"/>
    <w:qFormat/>
    <w:uiPriority w:val="0"/>
    <w:pPr>
      <w:ind w:firstLine="420" w:firstLineChars="100"/>
    </w:pPr>
  </w:style>
  <w:style w:type="character" w:styleId="22">
    <w:name w:val="page number"/>
    <w:basedOn w:val="21"/>
    <w:qFormat/>
    <w:uiPriority w:val="0"/>
  </w:style>
  <w:style w:type="paragraph" w:customStyle="1" w:styleId="23">
    <w:name w:val="PwC Normal"/>
    <w:basedOn w:val="1"/>
    <w:qFormat/>
    <w:uiPriority w:val="99"/>
    <w:pPr>
      <w:spacing w:before="180" w:after="180" w:line="240" w:lineRule="atLeast"/>
    </w:pPr>
  </w:style>
  <w:style w:type="paragraph" w:styleId="24">
    <w:name w:val="List Paragraph"/>
    <w:basedOn w:val="1"/>
    <w:qFormat/>
    <w:uiPriority w:val="34"/>
    <w:pPr>
      <w:ind w:firstLine="420"/>
    </w:pPr>
  </w:style>
  <w:style w:type="paragraph" w:customStyle="1" w:styleId="25">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6">
    <w:name w:val="列出段落1"/>
    <w:basedOn w:val="1"/>
    <w:qFormat/>
    <w:uiPriority w:val="34"/>
    <w:pPr>
      <w:ind w:firstLine="420"/>
    </w:pPr>
  </w:style>
  <w:style w:type="paragraph" w:customStyle="1" w:styleId="27">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2022-09-17T21:37:00Z</dcterms:created>
  <dc:creator>gwooding</dc:creator>
  <cp:lastModifiedBy>100256-代文林</cp:lastModifiedBy>
  <cp:lastPrinted>2023-11-22T08:25:00Z</cp:lastPrinted>
  <dcterms:modified xsi:type="dcterms:W3CDTF">2024-06-06T01:25:51Z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682AA2BED5F219E92296446598330ACA</vt:lpwstr>
  </property>
</Properties>
</file>