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方正大标宋简体" w:hAnsi="方正大标宋简体" w:eastAsia="方正大标宋简体" w:cs="方正大标宋简体"/>
          <w:sz w:val="44"/>
          <w:szCs w:val="44"/>
          <w:highlight w:val="none"/>
        </w:rPr>
      </w:pPr>
      <w:bookmarkStart w:id="4" w:name="_GoBack"/>
      <w:bookmarkEnd w:id="4"/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highlight w:val="none"/>
        </w:rPr>
      </w:pPr>
    </w:p>
    <w:p>
      <w:pPr>
        <w:pStyle w:val="11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highlight w:val="none"/>
          <w:lang w:val="en-US" w:eastAsia="zh-CN"/>
        </w:rPr>
        <w:t>采购项目需求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pStyle w:val="11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pStyle w:val="11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pStyle w:val="11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pStyle w:val="11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TMMi评估认证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highlight w:val="none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4"/>
        <w:widowControl w:val="0"/>
        <w:overflowPunct w:val="0"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一、技术要求</w:t>
      </w:r>
    </w:p>
    <w:p>
      <w:pPr>
        <w:pStyle w:val="4"/>
        <w:widowControl w:val="0"/>
        <w:overflowPunct w:val="0"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bookmarkStart w:id="0" w:name="_Toc24548"/>
      <w:r>
        <w:rPr>
          <w:rFonts w:hint="eastAsia" w:ascii="楷体_GB2312" w:hAnsi="楷体_GB2312" w:eastAsia="楷体_GB2312" w:cs="楷体_GB2312"/>
          <w:sz w:val="32"/>
          <w:szCs w:val="32"/>
          <w:lang w:val="en-US" w:eastAsia="zh-CN" w:bidi="ar-SA"/>
        </w:rPr>
        <w:t>（一）项目目标</w:t>
      </w:r>
      <w:bookmarkEnd w:id="0"/>
      <w:r>
        <w:rPr>
          <w:rFonts w:hint="eastAsia" w:ascii="楷体_GB2312" w:hAnsi="楷体_GB2312" w:eastAsia="楷体_GB2312" w:cs="楷体_GB231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参考TMMi体系，规范招标人软件测试过程，提升软件的质量和安全，降低测试成本，通过TMMi4级认证，全面提升测试人员技能，打造专业测试团队。</w:t>
      </w:r>
    </w:p>
    <w:p>
      <w:pPr>
        <w:pStyle w:val="4"/>
        <w:widowControl w:val="0"/>
        <w:overflowPunct w:val="0"/>
        <w:spacing w:after="0" w:line="360" w:lineRule="auto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 w:bidi="ar-SA"/>
        </w:rPr>
      </w:pPr>
      <w:bookmarkStart w:id="1" w:name="_Toc14896"/>
      <w:r>
        <w:rPr>
          <w:rFonts w:hint="eastAsia" w:ascii="楷体_GB2312" w:hAnsi="楷体_GB2312" w:eastAsia="楷体_GB2312" w:cs="楷体_GB2312"/>
          <w:sz w:val="32"/>
          <w:szCs w:val="32"/>
          <w:lang w:val="en-US" w:eastAsia="zh-CN" w:bidi="ar-SA"/>
        </w:rPr>
        <w:t>（二）项目内容</w:t>
      </w:r>
      <w:bookmarkEnd w:id="1"/>
    </w:p>
    <w:p>
      <w:pPr>
        <w:pStyle w:val="4"/>
        <w:widowControl w:val="0"/>
        <w:overflowPunct w:val="0"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.差距分析。投标人应采用成熟的调研方法，对标TMMi要求，制定详细的调研方案和计划，深入调研招标人测试体系现状，并进行差距分析，分析的过程域包括但不限于：测试方针与策略、测试计划、测试监督与控制、测试设计与执行、测试环境、测试组织、测试培训方案、测试生命周期与集成、非功能测试、同行评审、测试测量、产品质量评估、高级同行评审。投标人应有效地识别差距项，对识别出的差距项进行改进优先级排序，制定改进计划及实施方案，与招标人相关干系人进行评审，并最终达成一致，以确保改进计划的可实施性。</w:t>
      </w:r>
    </w:p>
    <w:p>
      <w:pPr>
        <w:pStyle w:val="4"/>
        <w:widowControl w:val="0"/>
        <w:overflowPunct w:val="0"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2.体系建设。依据实施方案开展落地体系建设工作，建立测试体系相关标准。包括但不限于：建立规范的组织级测试方针、策略、测试执行标准及裁剪标准；建立基于风险的测试策略，构建基于风险的测试管理体系和测试质量评估模型，将产品风险管理贯彻到测试全生命周期中；梳理测试测量指标，完善测试测量方法，构建符合招标人实际的测试测量和估算体系；同时建立相应的组织资产的管理流程和组织资产库，实现测试资产、测试经验的管理和沉淀，形成操作性强、基础扎实、统一科学的软件测试管理体系。</w:t>
      </w:r>
    </w:p>
    <w:p>
      <w:pPr>
        <w:pStyle w:val="4"/>
        <w:widowControl w:val="0"/>
        <w:overflowPunct w:val="0"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3.落地实施。结合认证要求和招标人实际，选择不同类型的项目，将测试管理体系建设的产出物进行应用，并在过程中收集反馈意见及数据，监控实施进度，量化改进成果，及时处理问题和异常情况。</w:t>
      </w:r>
    </w:p>
    <w:p>
      <w:pPr>
        <w:pStyle w:val="4"/>
        <w:widowControl w:val="0"/>
        <w:overflowPunct w:val="0"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4.评估认证。投标人须确保招标人通过TMMi4级认证。评估认证阶段，投标人负责整理所需的各项认证材料，成立TMMi评估师团队对招标人测试管理体系进行预评估和正式评估，针对评估期间发现的问题，指导招标人完成整改，使招标人最终获取由TMMi基金会颁发的TMMi4级认证证书。</w:t>
      </w:r>
    </w:p>
    <w:p>
      <w:pPr>
        <w:pStyle w:val="4"/>
        <w:widowControl w:val="0"/>
        <w:overflowPunct w:val="0"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5.知识转移。提供TMMi软件测试成熟度讲解培训，“教练式”咨询，ISTQB实践培训，切实提升招标人软件质量管理水平，提升IT服务质量，确保标准化、流程化的质量管理体系在招标人能够得到有效的落地执行。向招标人提供10个人员ISTQB培训和考试服务（本项产生的全部费用包含在本项目内，不再另行支付）。</w:t>
      </w:r>
    </w:p>
    <w:p>
      <w:pPr>
        <w:pStyle w:val="4"/>
        <w:widowControl w:val="0"/>
        <w:overflowPunct w:val="0"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6.最终项目工作内容以实际签订的合同为准。</w:t>
      </w:r>
    </w:p>
    <w:p>
      <w:pPr>
        <w:pStyle w:val="4"/>
        <w:widowControl w:val="0"/>
        <w:overflowPunct w:val="0"/>
        <w:spacing w:after="0"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</w:pPr>
      <w:bookmarkStart w:id="2" w:name="_Toc12447"/>
      <w:r>
        <w:rPr>
          <w:rFonts w:hint="eastAsia" w:ascii="楷体_GB2312" w:hAnsi="楷体_GB2312" w:eastAsia="楷体_GB2312" w:cs="楷体_GB2312"/>
          <w:sz w:val="32"/>
          <w:szCs w:val="32"/>
          <w:lang w:val="en-US" w:eastAsia="zh-CN" w:bidi="ar-SA"/>
        </w:rPr>
        <w:t>（三）项目</w:t>
      </w:r>
      <w:bookmarkEnd w:id="2"/>
      <w:r>
        <w:rPr>
          <w:rFonts w:hint="eastAsia" w:ascii="楷体_GB2312" w:hAnsi="楷体_GB2312" w:eastAsia="楷体_GB2312" w:cs="楷体_GB2312"/>
          <w:sz w:val="32"/>
          <w:szCs w:val="32"/>
          <w:lang w:val="en-US" w:eastAsia="zh-CN" w:bidi="ar-SA"/>
        </w:rPr>
        <w:t>工期。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2024年6月底完成差距分析及体系建设；2024年9月底完成试点项目规范执行、认证资料及数据准备、申请认证评估；2024年12月底通过TMMi认证。</w:t>
      </w:r>
    </w:p>
    <w:p>
      <w:pPr>
        <w:pStyle w:val="4"/>
        <w:widowControl w:val="0"/>
        <w:overflowPunct w:val="0"/>
        <w:spacing w:after="0" w:line="360" w:lineRule="auto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 w:bidi="ar-SA"/>
        </w:rPr>
        <w:t>（四）项目团队</w:t>
      </w:r>
    </w:p>
    <w:p>
      <w:pPr>
        <w:pStyle w:val="4"/>
        <w:widowControl w:val="0"/>
        <w:overflowPunct w:val="0"/>
        <w:spacing w:after="0"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.人员构成及要求。投标人必须组建专业稳定的项目实施团队，团队主要成员组成至少包括：1名TMMi主任评估师、1名TMMi评估师、1名咨询师。团队成员须满足项目实施的需要，提供项目实施团队所有人员的个人简历及工作经验介绍。在项目实施过程中，招标人有权要求将不符合项目建设要求的成员进行无条件更换。所有项目实施团队成员必须签订保密协议。</w:t>
      </w:r>
    </w:p>
    <w:p>
      <w:pPr>
        <w:pStyle w:val="4"/>
        <w:widowControl w:val="0"/>
        <w:overflowPunct w:val="0"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2.主任评估师要求。TMMi主任评估师负责主导差距分析、实施计划制定、实施及指导、体系宣贯、预评估、正式评估等工作，对项目里程碑交付物进行审核。TMMi主任评估师必须满足但不限于以下条件：</w:t>
      </w:r>
    </w:p>
    <w:p>
      <w:pPr>
        <w:pStyle w:val="4"/>
        <w:widowControl w:val="0"/>
        <w:overflowPunct w:val="0"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（1）必须持有TMMi主任评估师资质证书；</w:t>
      </w:r>
    </w:p>
    <w:p>
      <w:pPr>
        <w:pStyle w:val="4"/>
        <w:widowControl w:val="0"/>
        <w:overflowPunct w:val="0"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（2）至少具有3个TMMi咨询认证项目经验；</w:t>
      </w:r>
    </w:p>
    <w:p>
      <w:pPr>
        <w:pStyle w:val="4"/>
        <w:widowControl w:val="0"/>
        <w:overflowPunct w:val="0"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（3）全面熟悉TMMi测试成熟度模型咨询项目管理的流程，对测试流程、规范等有深入的了解。</w:t>
      </w:r>
    </w:p>
    <w:p>
      <w:pPr>
        <w:pStyle w:val="4"/>
        <w:widowControl w:val="0"/>
        <w:overflowPunct w:val="0"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3.评估师要求。TMMi评估师主要负责参与本咨询项目差距分析、项目实施计划制定、项目实施及指导、体系宣贯、预评估、正式评估等工作，对所有项目交付物进行审核、验证。TMMi评估师必须满足但不限于以下条件：</w:t>
      </w:r>
    </w:p>
    <w:p>
      <w:pPr>
        <w:pStyle w:val="4"/>
        <w:widowControl w:val="0"/>
        <w:overflowPunct w:val="0"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（1）必须持有TMMi评估师资质证书；</w:t>
      </w:r>
    </w:p>
    <w:p>
      <w:pPr>
        <w:pStyle w:val="4"/>
        <w:widowControl w:val="0"/>
        <w:overflowPunct w:val="0"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（2）至少具有1个TMMi咨询认证项目经验；</w:t>
      </w:r>
    </w:p>
    <w:p>
      <w:pPr>
        <w:pStyle w:val="4"/>
        <w:widowControl w:val="0"/>
        <w:overflowPunct w:val="0"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（3）全面熟悉TMMi测试成熟度模型咨询项目管理的流程，对测试流程、规范等有较深入的了解。</w:t>
      </w:r>
    </w:p>
    <w:p>
      <w:pPr>
        <w:pStyle w:val="4"/>
        <w:widowControl w:val="0"/>
        <w:overflowPunct w:val="0"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4.咨询师要求。咨询师负责项目的咨询方案设计、测试培训方案设计及整体技术把控，包含差距分析、测试体系改进、管理办法落地、改进提升及项目的计划、组织、任务分解分配、执行等工作，并作为主要咨询实施人；对所有的项目交付物进行审核、验证，负责各个阶段的项目汇报等事宜。测试咨询师必须满足但不限于以下条件：</w:t>
      </w:r>
    </w:p>
    <w:p>
      <w:pPr>
        <w:pStyle w:val="4"/>
        <w:widowControl w:val="0"/>
        <w:overflowPunct w:val="0"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（1）具有至少1个TMMi咨询认证项目经验；</w:t>
      </w:r>
    </w:p>
    <w:p>
      <w:pPr>
        <w:pStyle w:val="4"/>
        <w:widowControl w:val="0"/>
        <w:overflowPunct w:val="0"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（2）熟悉银行业TMMi测试改进流程和方法、策略及领先实践，熟悉先进银行测试改进现状及测试管理实践经验，熟悉主流银行测试工具及应用实践情况，熟悉主流银行测试质量管理实践经验。</w:t>
      </w:r>
    </w:p>
    <w:p>
      <w:pPr>
        <w:pStyle w:val="4"/>
        <w:widowControl w:val="0"/>
        <w:overflowPunct w:val="0"/>
        <w:spacing w:after="0"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二、验收标准</w:t>
      </w:r>
    </w:p>
    <w:p>
      <w:pPr>
        <w:pStyle w:val="4"/>
        <w:widowControl w:val="0"/>
        <w:overflowPunct w:val="0"/>
        <w:spacing w:after="0"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</w:pPr>
      <w:bookmarkStart w:id="3" w:name="_bookmark141"/>
      <w:bookmarkEnd w:id="3"/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招标人取得TMMi4级证书。</w:t>
      </w:r>
    </w:p>
    <w:p>
      <w:pPr>
        <w:pStyle w:val="4"/>
        <w:widowControl w:val="0"/>
        <w:overflowPunct w:val="0"/>
        <w:spacing w:after="0"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三、其他要求</w:t>
      </w:r>
    </w:p>
    <w:p>
      <w:pPr>
        <w:pStyle w:val="4"/>
        <w:widowControl w:val="0"/>
        <w:overflowPunct w:val="0"/>
        <w:spacing w:after="0" w:line="360" w:lineRule="auto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 w:bidi="ar-SA"/>
        </w:rPr>
        <w:t>（一）供应商要求</w:t>
      </w:r>
    </w:p>
    <w:p>
      <w:pPr>
        <w:pStyle w:val="4"/>
        <w:widowControl w:val="0"/>
        <w:overflowPunct w:val="0"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1.该项目实施范围必须包含对应TMMi等级的全部领域，并符合国家、招标人的安全要求。</w:t>
      </w:r>
    </w:p>
    <w:p>
      <w:pPr>
        <w:pStyle w:val="4"/>
        <w:widowControl w:val="0"/>
        <w:overflowPunct w:val="0"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2.在项目期内，如招标人由于软件测试体系建设的推进，项目工作内容发生调整，投标人应配合招标人完成。</w:t>
      </w:r>
    </w:p>
    <w:p>
      <w:pPr>
        <w:pStyle w:val="4"/>
        <w:widowControl w:val="0"/>
        <w:overflowPunct w:val="0"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3.项目实施过程中及最后的成果产出物的知识产权为招标人所有。</w:t>
      </w:r>
    </w:p>
    <w:p>
      <w:pPr>
        <w:pStyle w:val="4"/>
        <w:widowControl w:val="0"/>
        <w:overflowPunct w:val="0"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4.投标人需对招标人的问题及时响应，按招标人需求即时到场解决问题。为招标人提供免费培训服务并进行完整的知识转移。</w:t>
      </w:r>
    </w:p>
    <w:p>
      <w:pPr>
        <w:pStyle w:val="4"/>
        <w:widowControl w:val="0"/>
        <w:overflowPunct w:val="0"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5.若投标人团队存在人员因各种原因离场的情况，投标人须立即补充同等资质人员进场工作。</w:t>
      </w:r>
    </w:p>
    <w:p>
      <w:pPr>
        <w:pStyle w:val="4"/>
        <w:widowControl w:val="0"/>
        <w:overflowPunct w:val="0"/>
        <w:spacing w:after="0" w:line="360" w:lineRule="auto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 w:bidi="ar-SA"/>
        </w:rPr>
        <w:t>（二）保密要求</w:t>
      </w:r>
    </w:p>
    <w:p>
      <w:pPr>
        <w:pStyle w:val="4"/>
        <w:widowControl w:val="0"/>
        <w:overflowPunct w:val="0"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1.除明确标识为公开材料的外，涉及本项目及相关的一切资料，均为保密材料，投标人应严格保密。</w:t>
      </w:r>
    </w:p>
    <w:p>
      <w:pPr>
        <w:pStyle w:val="4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2.投标人服务人员首次进入招标人工作场地工作时须签订服务承诺书，不泄漏所本项目各方认为需要保密的事项。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C8377A"/>
    <w:multiLevelType w:val="multilevel"/>
    <w:tmpl w:val="54C8377A"/>
    <w:lvl w:ilvl="0" w:tentative="0">
      <w:start w:val="1"/>
      <w:numFmt w:val="chineseCountingThousand"/>
      <w:suff w:val="space"/>
      <w:lvlText w:val="第%1条"/>
      <w:lvlJc w:val="left"/>
      <w:pPr>
        <w:ind w:left="2112" w:hanging="432"/>
      </w:pPr>
      <w:rPr>
        <w:rFonts w:hint="eastAsia"/>
      </w:rPr>
    </w:lvl>
    <w:lvl w:ilvl="1" w:tentative="0">
      <w:start w:val="1"/>
      <w:numFmt w:val="chineseCountingThousand"/>
      <w:isLgl/>
      <w:suff w:val="space"/>
      <w:lvlText w:val="%1.%2"/>
      <w:lvlJc w:val="left"/>
      <w:pPr>
        <w:ind w:left="860" w:hanging="576"/>
      </w:pPr>
      <w:rPr>
        <w:rFonts w:hint="eastAsia"/>
      </w:rPr>
    </w:lvl>
    <w:lvl w:ilvl="2" w:tentative="0">
      <w:start w:val="1"/>
      <w:numFmt w:val="decimal"/>
      <w:pStyle w:val="2"/>
      <w:isLgl/>
      <w:suff w:val="space"/>
      <w:lvlText w:val="%1.%2.%3"/>
      <w:lvlJc w:val="left"/>
      <w:pPr>
        <w:ind w:left="2970" w:hanging="720"/>
      </w:pPr>
      <w:rPr>
        <w:rFonts w:hint="eastAsia"/>
      </w:rPr>
    </w:lvl>
    <w:lvl w:ilvl="3" w:tentative="0">
      <w:start w:val="1"/>
      <w:numFmt w:val="decimal"/>
      <w:isLgl/>
      <w:suff w:val="space"/>
      <w:lvlText w:val="%2.%3.%4"/>
      <w:lvlJc w:val="left"/>
      <w:pPr>
        <w:ind w:left="3537" w:hanging="864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268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283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297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312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326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YjliZGEyZTA1YmE2NDM0YWE1Njg2MGMyZjg1NWQifQ=="/>
  </w:docVars>
  <w:rsids>
    <w:rsidRoot w:val="63574EFC"/>
    <w:rsid w:val="02406B7E"/>
    <w:rsid w:val="0281396C"/>
    <w:rsid w:val="029A1B3E"/>
    <w:rsid w:val="05426524"/>
    <w:rsid w:val="09272F6A"/>
    <w:rsid w:val="0DCB2C80"/>
    <w:rsid w:val="11740332"/>
    <w:rsid w:val="11D7020E"/>
    <w:rsid w:val="14B52807"/>
    <w:rsid w:val="186062B1"/>
    <w:rsid w:val="18EE295C"/>
    <w:rsid w:val="1C4B69D5"/>
    <w:rsid w:val="1E723722"/>
    <w:rsid w:val="208A2D9A"/>
    <w:rsid w:val="22CE6D9B"/>
    <w:rsid w:val="264A2CA8"/>
    <w:rsid w:val="2A4917DD"/>
    <w:rsid w:val="2AFD6C12"/>
    <w:rsid w:val="2C347AC6"/>
    <w:rsid w:val="2CB665B6"/>
    <w:rsid w:val="344668DC"/>
    <w:rsid w:val="34F03F67"/>
    <w:rsid w:val="359B57DB"/>
    <w:rsid w:val="364F3CE2"/>
    <w:rsid w:val="38C83E60"/>
    <w:rsid w:val="396F02C3"/>
    <w:rsid w:val="3B5A583B"/>
    <w:rsid w:val="3CFA5D8B"/>
    <w:rsid w:val="3EEB4D02"/>
    <w:rsid w:val="3FD31F8D"/>
    <w:rsid w:val="4057286D"/>
    <w:rsid w:val="41ED6600"/>
    <w:rsid w:val="420936C7"/>
    <w:rsid w:val="425863FC"/>
    <w:rsid w:val="42F73E67"/>
    <w:rsid w:val="446C2365"/>
    <w:rsid w:val="45B95AA0"/>
    <w:rsid w:val="45C8557B"/>
    <w:rsid w:val="46EE732F"/>
    <w:rsid w:val="474E1D21"/>
    <w:rsid w:val="492F0BC7"/>
    <w:rsid w:val="498F3115"/>
    <w:rsid w:val="4A4C6847"/>
    <w:rsid w:val="4A602A20"/>
    <w:rsid w:val="4D205177"/>
    <w:rsid w:val="50044261"/>
    <w:rsid w:val="516A3A56"/>
    <w:rsid w:val="530879CB"/>
    <w:rsid w:val="53B12DCB"/>
    <w:rsid w:val="599224B3"/>
    <w:rsid w:val="5E3C04AC"/>
    <w:rsid w:val="5FB92779"/>
    <w:rsid w:val="600D4814"/>
    <w:rsid w:val="603E1EDD"/>
    <w:rsid w:val="62173786"/>
    <w:rsid w:val="63574EFC"/>
    <w:rsid w:val="64277EAA"/>
    <w:rsid w:val="680947E3"/>
    <w:rsid w:val="69AB3134"/>
    <w:rsid w:val="6DD14CF4"/>
    <w:rsid w:val="6DEC1F6B"/>
    <w:rsid w:val="758E56B6"/>
    <w:rsid w:val="7655787D"/>
    <w:rsid w:val="7B1D14A8"/>
    <w:rsid w:val="7DD601B2"/>
    <w:rsid w:val="7FFEB24B"/>
    <w:rsid w:val="D75C6580"/>
    <w:rsid w:val="F5AC9BAA"/>
    <w:rsid w:val="FBF887C4"/>
    <w:rsid w:val="FF9E9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numPr>
        <w:ilvl w:val="2"/>
        <w:numId w:val="1"/>
      </w:numPr>
      <w:spacing w:line="360" w:lineRule="auto"/>
      <w:ind w:left="0" w:firstLine="200" w:firstLineChars="200"/>
      <w:outlineLvl w:val="2"/>
    </w:pPr>
    <w:rPr>
      <w:rFonts w:ascii="宋体" w:hAnsi="宋体"/>
      <w:bCs/>
      <w:kern w:val="2"/>
      <w:sz w:val="24"/>
      <w:szCs w:val="28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</w:rPr>
  </w:style>
  <w:style w:type="paragraph" w:customStyle="1" w:styleId="9">
    <w:name w:val="BodyText1I"/>
    <w:basedOn w:val="10"/>
    <w:qFormat/>
    <w:uiPriority w:val="99"/>
    <w:pPr>
      <w:ind w:firstLine="420" w:firstLineChars="100"/>
    </w:pPr>
    <w:rPr>
      <w:szCs w:val="21"/>
      <w:lang w:val="zh-CN"/>
    </w:rPr>
  </w:style>
  <w:style w:type="paragraph" w:customStyle="1" w:styleId="10">
    <w:name w:val="BodyText"/>
    <w:basedOn w:val="1"/>
    <w:qFormat/>
    <w:uiPriority w:val="99"/>
    <w:pPr>
      <w:spacing w:after="120"/>
      <w:textAlignment w:val="baseline"/>
    </w:pPr>
  </w:style>
  <w:style w:type="paragraph" w:customStyle="1" w:styleId="11">
    <w:name w:val="PwC Normal"/>
    <w:basedOn w:val="1"/>
    <w:qFormat/>
    <w:uiPriority w:val="99"/>
    <w:pPr>
      <w:spacing w:before="180" w:after="180" w:line="240" w:lineRule="atLeast"/>
    </w:pPr>
  </w:style>
  <w:style w:type="paragraph" w:styleId="12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3329</Words>
  <Characters>3500</Characters>
  <Lines>0</Lines>
  <Paragraphs>0</Paragraphs>
  <TotalTime>1</TotalTime>
  <ScaleCrop>false</ScaleCrop>
  <LinksUpToDate>false</LinksUpToDate>
  <CharactersWithSpaces>3516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2022-12-22T01:53:00Z</dcterms:created>
  <dc:creator>慎独宁鸣</dc:creator>
  <cp:lastModifiedBy>gzrc</cp:lastModifiedBy>
  <cp:lastPrinted>2024-04-03T01:19:00Z</cp:lastPrinted>
  <dcterms:modified xsi:type="dcterms:W3CDTF">2024-05-30T11:22:11Z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097F84B4908EA6A23A2201669B6C80D9</vt:lpwstr>
  </property>
</Properties>
</file>