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采购项目需求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主机安全管理系统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21" w:name="_GoBack"/>
      <w:bookmarkEnd w:id="21"/>
    </w:p>
    <w:p>
      <w:pPr>
        <w:pStyle w:val="14"/>
        <w:numPr>
          <w:ilvl w:val="0"/>
          <w:numId w:val="2"/>
        </w:numPr>
        <w:spacing w:line="560" w:lineRule="exact"/>
        <w:ind w:firstLineChars="0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项目概况</w:t>
      </w:r>
    </w:p>
    <w:p>
      <w:pPr>
        <w:spacing w:line="52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网络安全保护工作中主机安全是重要的一个环节，对各类信息系统主机服务器的安全漏洞识别发现、恶意代码防范、攻击入侵防范等有重要意义。我社目前尚未部署此类产品，为弥补此项短板，计划采购主机安全产品。</w:t>
      </w:r>
    </w:p>
    <w:p>
      <w:pPr>
        <w:pStyle w:val="15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通过建设主机安全平台，主要满足以下要求：</w:t>
      </w:r>
    </w:p>
    <w:p>
      <w:pPr>
        <w:pStyle w:val="15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主机资产识别管理：通过安装软件代理在运行的环境中，识别主机资产，上报中央管控平台，集中统一管理。自动化识别进程、端口、账号、中间件、数据库、系统启动项、Web框架等资产，覆盖通用资产。</w:t>
      </w:r>
    </w:p>
    <w:p>
      <w:pPr>
        <w:pStyle w:val="15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2.主机入侵行为实时监控：对疑似黑客行为进行监控，包括系统后门、Webshell、暴力破解、异常登陆、异常端口扫描、本地提权等进行实时的入侵检测，发现远端主机利用端口进行连接的潜在风险。</w:t>
      </w:r>
    </w:p>
    <w:p>
      <w:pPr>
        <w:pStyle w:val="15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主机漏洞检测与风险识别：主动扫描，发现系统漏洞和主流中间件漏洞，并对漏洞修复给出依据。识别账户弱密码等安全风险。</w:t>
      </w:r>
    </w:p>
    <w:p>
      <w:pPr>
        <w:pStyle w:val="15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恶意代码防范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：能够适配主流Windows和Linux操作系统，结合病毒检测引擎，对文件进行扫描查杀；同时可实时监控运行进程，发现恶意代码和病毒时上报告警，并进行处置</w:t>
      </w:r>
    </w:p>
    <w:p>
      <w:pPr>
        <w:pStyle w:val="14"/>
        <w:numPr>
          <w:ilvl w:val="0"/>
          <w:numId w:val="2"/>
        </w:numPr>
        <w:spacing w:line="560" w:lineRule="exact"/>
        <w:ind w:firstLineChars="0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技术要求与参数</w:t>
      </w:r>
    </w:p>
    <w:p>
      <w:pPr>
        <w:pStyle w:val="14"/>
        <w:spacing w:line="560" w:lineRule="exact"/>
        <w:ind w:firstLine="643"/>
        <w:outlineLvl w:val="1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本次采购的主机安全范围包括我社生产环境和开发测试环境（两环境彼此网络隔离）。 Ag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ent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代理授权数量为2000。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bookmarkStart w:id="0" w:name="_Toc163400070"/>
      <w:bookmarkStart w:id="1" w:name="_Toc515271152"/>
      <w:bookmarkStart w:id="2" w:name="_Toc515271142"/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（一）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架构</w:t>
      </w:r>
      <w:bookmarkEnd w:id="0"/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主机安全平台系统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架构整体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由软件代理（也称为探针或Agent）、服务端、控制端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三部分构成。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Agent主要负责主机信息收集、监控等功能，实时监控进程、网络连接等行为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服务端作为信息处理中枢，能够持续监测并分析agent端收集上来的信息并保存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。可从各个维度的信息中发现漏洞、弱密码等安全风险和异常登录等异常行为，从而实现对入侵行为实时预警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3.W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eb控制台，主要负责和用户交互，清晰展示各项安全检测和分析的结果，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并对重大威胁进行实时告警。提供一个集中管理的安全工具，方便进行系统配置和管理、安全响应等相关操作。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bookmarkStart w:id="3" w:name="_Toc163400071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功能要求</w:t>
      </w:r>
      <w:bookmarkEnd w:id="3"/>
    </w:p>
    <w:p>
      <w:pPr>
        <w:pStyle w:val="14"/>
        <w:spacing w:line="560" w:lineRule="exact"/>
        <w:ind w:left="2" w:firstLine="1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以下功能为必须具备功能。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4" w:name="_Toc163400072"/>
      <w:r>
        <w:rPr>
          <w:rFonts w:hint="eastAsia" w:asciiTheme="minorEastAsia" w:hAnsiTheme="minorEastAsia" w:eastAsiaTheme="minorEastAsia" w:cs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资产</w:t>
      </w:r>
      <w:bookmarkEnd w:id="4"/>
      <w:r>
        <w:rPr>
          <w:rFonts w:hint="eastAsia" w:asciiTheme="minorEastAsia" w:hAnsiTheme="minorEastAsia" w:eastAsiaTheme="minorEastAsia" w:cstheme="minorEastAsia"/>
          <w:sz w:val="32"/>
          <w:szCs w:val="32"/>
        </w:rPr>
        <w:t>识别与台账管理：识别主机各类资产并建立台账。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主机识别：识别主机基础信息，监控主机状态，并提供自定义主机分组、操作系统、业务进程、安全插件等各种管理维度的主机统计。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进程识别：提供进程信息快照，展示进程各维度的信息，对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root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权限、僵尸进程、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IO waiting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进程、唯一进程进行分析统计，帮助发现问题进程。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端口识别：提供系统端口快照，端口服务分布情况。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账号识别：自动识别并分析系统账号与用户组的情况，包含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root、sudo、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交互账号、启动账号、过期账号、密码锁定账号等多个维度的账号分析。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硬件识别：系统硬件配置识别，包括系统内核、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CPU、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内存、网卡、设备型号、硬盘、磁盘使用分布等各类硬件信息。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软件识别：识别系统应用的安装使用情况，覆盖系统架构、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Web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运维、运维工具、系统应用、安全应用等常见应用。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Web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服务识别：识别服务器中运行的常见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Web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中间件，包括：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Nginx、 Apache、 Jboss、 Tomcat、 Weblogic、 Jetty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等。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数据库识别：识别主机数据库，覆盖常用集中式和分布式数据库，包括：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MySQL、 Redis、 MongoDB、 Oracle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MemCache、Hbase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DB2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Sybase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等。</w:t>
      </w:r>
    </w:p>
    <w:p>
      <w:pPr>
        <w:pStyle w:val="12"/>
        <w:numPr>
          <w:ilvl w:val="0"/>
          <w:numId w:val="3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其他资产如Web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应用、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安装包、J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ar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包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、系统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启动项、计划任务、环境变量等的识别等。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5" w:name="_Toc163400073"/>
      <w:r>
        <w:rPr>
          <w:rFonts w:hint="eastAsia" w:asciiTheme="minorEastAsia" w:hAnsiTheme="minorEastAsia" w:eastAsiaTheme="minorEastAsia" w:cstheme="minorEastAsia"/>
          <w:sz w:val="32"/>
          <w:szCs w:val="32"/>
        </w:rPr>
        <w:t>2.主机漏洞和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风险发现</w:t>
      </w:r>
      <w:bookmarkEnd w:id="5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：检测主机操作系统等漏洞，识别弱密码等风险。</w:t>
      </w:r>
    </w:p>
    <w:p>
      <w:pPr>
        <w:pStyle w:val="12"/>
        <w:numPr>
          <w:ilvl w:val="0"/>
          <w:numId w:val="4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漏洞检测：使用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POC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验证等方式检测主机安全漏洞，并对高危漏洞爆发事件提供快速应急响应支持。</w:t>
      </w:r>
    </w:p>
    <w:p>
      <w:pPr>
        <w:pStyle w:val="12"/>
        <w:numPr>
          <w:ilvl w:val="0"/>
          <w:numId w:val="4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安全补丁：对安全补丁进行周期性自动检测，并提供详细补丁说明，修复方案及其修复影响。</w:t>
      </w:r>
    </w:p>
    <w:p>
      <w:pPr>
        <w:pStyle w:val="12"/>
        <w:numPr>
          <w:ilvl w:val="0"/>
          <w:numId w:val="4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弱密码检查：对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主机用户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账号进行弱密码检测。对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linux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上的常用应用进行弱密码检测，例如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mysql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redis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vsftpd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等。</w:t>
      </w:r>
    </w:p>
    <w:p>
      <w:pPr>
        <w:pStyle w:val="12"/>
        <w:numPr>
          <w:ilvl w:val="0"/>
          <w:numId w:val="4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系统风险：检测由于系统配置不当可能产生的安全风险，如检测路由转发功能是否开启、检测网卡是否处于混杂模式、检测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grub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密码设置等。</w:t>
      </w:r>
    </w:p>
    <w:p>
      <w:pPr>
        <w:pStyle w:val="12"/>
        <w:numPr>
          <w:ilvl w:val="0"/>
          <w:numId w:val="4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应用风险：检测黑客关键攻击路径上常用应用的配置型风险，如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SSH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redis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Memcache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MongoDB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Apache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等。</w:t>
      </w:r>
    </w:p>
    <w:p>
      <w:pPr>
        <w:pStyle w:val="12"/>
        <w:numPr>
          <w:ilvl w:val="0"/>
          <w:numId w:val="4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账号风险：检测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linux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系统中由于账号配置产生的安全风险，例如，检测无密码可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sudo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的账号、检测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GID/UID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重复账号、检测系统中不必要的系统账号等。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6" w:name="_Toc163400074"/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入侵检测</w:t>
      </w:r>
      <w:bookmarkEnd w:id="6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：检测针对主机的入侵行为及可疑活动。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暴力破解：实时发现暴力破解行为，如Linux和windows系统暴力破解，以及VSFTPD、WINRM等多种服务，并支持自动封堵。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异常登录：对在异常地点、异常时间、异常IP等异常登录行为的识别。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反弹shell：实时监控主机上所有利用Shell进行反向连接的行为。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本地提权：实时监控用户以低权限进入主机，之后通过某种行为获得高权限的事件。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后门检测：结合模式识别和行为检测，识别Rootkit、 Bootkit可疑进程、可疑线程等多种系统后门。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可疑操作：记录主机上执行的shell命令，实时监控被审计规则判断为危险的操作。用户可以查看操作并对操作进行审核，也可以对审计规则按自己的需求进行配置。</w:t>
      </w:r>
    </w:p>
    <w:p>
      <w:pPr>
        <w:pStyle w:val="12"/>
        <w:numPr>
          <w:ilvl w:val="0"/>
          <w:numId w:val="5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Web后门：通过检测主机Web目录下的文件内容，发现是否存在有Web后门，并对发现的后门进行告警通知。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7" w:name="_Toc163400077"/>
      <w:r>
        <w:rPr>
          <w:rFonts w:hint="eastAsia" w:asciiTheme="minorEastAsia" w:hAnsiTheme="minorEastAsia" w:eastAsiaTheme="minorEastAsia" w:cs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恶意代码检测</w:t>
      </w:r>
      <w:bookmarkEnd w:id="7"/>
    </w:p>
    <w:p>
      <w:pPr>
        <w:pStyle w:val="16"/>
        <w:numPr>
          <w:ilvl w:val="0"/>
          <w:numId w:val="6"/>
        </w:numPr>
        <w:spacing w:line="360" w:lineRule="auto"/>
        <w:ind w:left="902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能够适配主流Windows和Linux操作系统；</w:t>
      </w:r>
    </w:p>
    <w:p>
      <w:pPr>
        <w:pStyle w:val="16"/>
        <w:numPr>
          <w:ilvl w:val="0"/>
          <w:numId w:val="6"/>
        </w:numPr>
        <w:spacing w:line="360" w:lineRule="auto"/>
        <w:ind w:left="902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结合恶意代码检测引擎，对文件进行扫描，同时可实时监控运行进程，发现恶意代码时上报告警。</w:t>
      </w:r>
    </w:p>
    <w:p>
      <w:pPr>
        <w:pStyle w:val="16"/>
        <w:numPr>
          <w:ilvl w:val="0"/>
          <w:numId w:val="6"/>
        </w:numPr>
        <w:spacing w:line="360" w:lineRule="auto"/>
        <w:ind w:left="902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具备自动或手动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恶意代码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处置或隔离能力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8" w:name="_Toc163400075"/>
      <w:r>
        <w:rPr>
          <w:rFonts w:hint="eastAsia" w:asciiTheme="minorEastAsia" w:hAnsiTheme="minorEastAsia" w:eastAsiaTheme="minorEastAsia" w:cs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安全响应</w:t>
      </w:r>
      <w:bookmarkEnd w:id="8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：对检测出的安全风险具备一定处置能力</w:t>
      </w:r>
    </w:p>
    <w:p>
      <w:pPr>
        <w:pStyle w:val="12"/>
        <w:numPr>
          <w:ilvl w:val="0"/>
          <w:numId w:val="7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针对主机暴力破解行为，具备封停非内网IP的能力。</w:t>
      </w:r>
    </w:p>
    <w:p>
      <w:pPr>
        <w:pStyle w:val="12"/>
        <w:numPr>
          <w:ilvl w:val="0"/>
          <w:numId w:val="7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主机上发生异常登录行为时，可封停非内网IP，阻止登录。</w:t>
      </w:r>
    </w:p>
    <w:p>
      <w:pPr>
        <w:pStyle w:val="12"/>
        <w:numPr>
          <w:ilvl w:val="0"/>
          <w:numId w:val="7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检测出的后门文件可隔离，阻止黑客渗透。</w:t>
      </w:r>
    </w:p>
    <w:p>
      <w:pPr>
        <w:pStyle w:val="12"/>
        <w:numPr>
          <w:ilvl w:val="0"/>
          <w:numId w:val="7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检测出的web后门可隔离，避免黑客渗透带来的业务风险。</w:t>
      </w:r>
    </w:p>
    <w:p>
      <w:pPr>
        <w:pStyle w:val="12"/>
        <w:numPr>
          <w:ilvl w:val="0"/>
          <w:numId w:val="7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本地提权的进程可阻断，阻止黑客利用高权限执行更多恶意操作。</w:t>
      </w:r>
    </w:p>
    <w:p>
      <w:pPr>
        <w:pStyle w:val="12"/>
        <w:numPr>
          <w:ilvl w:val="0"/>
          <w:numId w:val="7"/>
        </w:numPr>
        <w:tabs>
          <w:tab w:val="left" w:pos="735"/>
        </w:tabs>
        <w:adjustRightInd w:val="0"/>
        <w:snapToGrid w:val="0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当反向连接发生时，阻断主机内维持连接的进程，阻止黑客利用连接远程控制主机。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以下功能为可支持功能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9" w:name="_Toc163400076"/>
      <w:r>
        <w:rPr>
          <w:rFonts w:hint="eastAsia" w:asciiTheme="minorEastAsia" w:hAnsiTheme="minorEastAsia" w:eastAsiaTheme="minorEastAsia" w:cstheme="minorEastAsia"/>
          <w:sz w:val="32"/>
          <w:szCs w:val="32"/>
        </w:rPr>
        <w:t>A.合规基线</w:t>
      </w:r>
      <w:bookmarkEnd w:id="9"/>
    </w:p>
    <w:p>
      <w:pPr>
        <w:pStyle w:val="12"/>
        <w:numPr>
          <w:ilvl w:val="0"/>
          <w:numId w:val="8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支持对各版本的linux系统、Windows系统按照等保、CIS的基线要求检测，覆盖主流操作系统的检测，例如：Centos、Ubuntu、RedHat、SUSE、Windows Server 2019、中标麒麟等。</w:t>
      </w:r>
    </w:p>
    <w:p>
      <w:pPr>
        <w:pStyle w:val="12"/>
        <w:numPr>
          <w:ilvl w:val="0"/>
          <w:numId w:val="8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支持对常用应用的等保、CIS基线的检测，例如：Apache、Nginx、Tomcat、Jboss、Resin、WebSphere、Weblogic等。</w:t>
      </w:r>
    </w:p>
    <w:p>
      <w:pPr>
        <w:pStyle w:val="12"/>
        <w:numPr>
          <w:ilvl w:val="0"/>
          <w:numId w:val="8"/>
        </w:numPr>
        <w:tabs>
          <w:tab w:val="left" w:pos="735"/>
        </w:tabs>
        <w:adjustRightInd w:val="0"/>
        <w:snapToGrid w:val="0"/>
        <w:spacing w:line="560" w:lineRule="exact"/>
        <w:ind w:left="902" w:firstLineChars="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支持对主流数据库的等保、CIS基线的检测，例如：Mysql、MongoDB、Oracle、DB2等。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0" w:name="_Toc163400078"/>
      <w:r>
        <w:rPr>
          <w:rFonts w:hint="eastAsia" w:asciiTheme="minorEastAsia" w:hAnsiTheme="minorEastAsia" w:eastAsiaTheme="minorEastAsia" w:cstheme="minorEastAsia"/>
          <w:sz w:val="32"/>
          <w:szCs w:val="32"/>
        </w:rPr>
        <w:t>B.微隔离</w:t>
      </w:r>
      <w:bookmarkEnd w:id="10"/>
    </w:p>
    <w:p>
      <w:pPr>
        <w:pStyle w:val="16"/>
        <w:numPr>
          <w:ilvl w:val="0"/>
          <w:numId w:val="9"/>
        </w:numPr>
        <w:ind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访问关系可视化：Agent探针自动采集主机的出入站流量，获取IP、端口、协议、进程等网络信息。以拓扑图、列表等形式展示主机之间、分组之间的网络访问关系。</w:t>
      </w:r>
    </w:p>
    <w:p>
      <w:pPr>
        <w:pStyle w:val="16"/>
        <w:numPr>
          <w:ilvl w:val="0"/>
          <w:numId w:val="9"/>
        </w:numPr>
        <w:ind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精细化访问控制：可在关系拓扑图上交互式设置微隔离策略，根据访问信息一键生成访问控制规则，实现以主机为颗粒度的精细化访问控制。通过微隔离策略，可对业务之间的访问关系进行管控，避免威胁横向扩散和业务违规访问。</w:t>
      </w:r>
    </w:p>
    <w:p>
      <w:pPr>
        <w:pStyle w:val="16"/>
        <w:numPr>
          <w:ilvl w:val="0"/>
          <w:numId w:val="9"/>
        </w:numPr>
        <w:ind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支持出站访问限制，可控制主机的出站访问行为，对于特定主机严格管控对外访问，只有策略允许的访问行为可放行，策略外的访问行为一律拦截。</w:t>
      </w:r>
    </w:p>
    <w:p>
      <w:pPr>
        <w:pStyle w:val="16"/>
        <w:numPr>
          <w:ilvl w:val="0"/>
          <w:numId w:val="9"/>
        </w:numPr>
        <w:ind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失陷主机一键隔离：可通过Agent一键隔离失陷主机，避免威胁持续扩散。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1" w:name="_Toc163400079"/>
      <w:r>
        <w:rPr>
          <w:rFonts w:hint="eastAsia" w:asciiTheme="minorEastAsia" w:hAnsiTheme="minorEastAsia" w:eastAsiaTheme="minorEastAsia" w:cstheme="minorEastAsia"/>
          <w:sz w:val="32"/>
          <w:szCs w:val="32"/>
        </w:rPr>
        <w:t>C.微蜜罐</w:t>
      </w:r>
      <w:bookmarkEnd w:id="11"/>
    </w:p>
    <w:p>
      <w:pPr>
        <w:pStyle w:val="16"/>
        <w:numPr>
          <w:ilvl w:val="0"/>
          <w:numId w:val="10"/>
        </w:numPr>
        <w:spacing w:line="560" w:lineRule="exact"/>
        <w:ind w:left="924" w:hanging="442"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微蜜罐包含网络蜜罐和文件蜜罐。</w:t>
      </w:r>
    </w:p>
    <w:p>
      <w:pPr>
        <w:pStyle w:val="16"/>
        <w:numPr>
          <w:ilvl w:val="0"/>
          <w:numId w:val="10"/>
        </w:numPr>
        <w:spacing w:line="560" w:lineRule="exact"/>
        <w:ind w:left="924" w:hanging="442"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网络蜜罐是在蜜罐主机中，设置多个蜜罐端口，监控对这些端口的攻击行为，以记录各类黑客行为的线索，同时为系统提供一定的安全防护能力。</w:t>
      </w:r>
    </w:p>
    <w:p>
      <w:pPr>
        <w:pStyle w:val="16"/>
        <w:numPr>
          <w:ilvl w:val="0"/>
          <w:numId w:val="10"/>
        </w:numPr>
        <w:spacing w:line="560" w:lineRule="exact"/>
        <w:ind w:left="924" w:hanging="442" w:firstLineChars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文件蜜罐是在蜜罐主机中，部署多个蜜罐文件，监控黑客对这件文件的操作行为，以记录黑客行为的线索，使潜在风险暴露。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2" w:name="_Toc163400081"/>
      <w:r>
        <w:rPr>
          <w:rFonts w:hint="eastAsia" w:asciiTheme="minorEastAsia" w:hAnsiTheme="minorEastAsia" w:eastAsiaTheme="minorEastAsia" w:cs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文件完整性</w:t>
      </w:r>
      <w:bookmarkEnd w:id="12"/>
      <w:r>
        <w:rPr>
          <w:rFonts w:hint="eastAsia" w:asciiTheme="minorEastAsia" w:hAnsiTheme="minorEastAsia" w:eastAsiaTheme="minorEastAsia" w:cstheme="minorEastAsia"/>
          <w:sz w:val="32"/>
          <w:szCs w:val="32"/>
        </w:rPr>
        <w:t>监测</w:t>
      </w:r>
    </w:p>
    <w:p>
      <w:pPr>
        <w:pStyle w:val="16"/>
        <w:numPr>
          <w:ilvl w:val="0"/>
          <w:numId w:val="11"/>
        </w:numPr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对目录及文件进行定时扫描检测，同时也支持对特定的文件进行实时监控。支持用户在各个主机配置其特定的文件监控策略，适应多样化的文件监管需求。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3" w:name="_Toc163400083"/>
      <w:r>
        <w:rPr>
          <w:rFonts w:hint="eastAsia" w:asciiTheme="minorEastAsia" w:hAnsiTheme="minorEastAsia" w:eastAsiaTheme="minorEastAsia" w:cstheme="minorEastAsia"/>
          <w:sz w:val="32"/>
          <w:szCs w:val="32"/>
        </w:rPr>
        <w:t>E.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安全大屏</w:t>
      </w:r>
      <w:bookmarkEnd w:id="13"/>
    </w:p>
    <w:p>
      <w:pPr>
        <w:pStyle w:val="16"/>
        <w:numPr>
          <w:ilvl w:val="0"/>
          <w:numId w:val="11"/>
        </w:numPr>
        <w:ind w:firstLineChars="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全大屏基于对主机持续的安全监控和分析，向客户可视化地呈现主机的总体安全情况，结合用户真实的使用场景，提供覆盖“资产”“风险”“入侵”“合规”等全方位的安全监控能力，以可视化图表的形式呈现，辅助用户进行安全监管和分析，并支持对模块内容定制化配置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bookmarkStart w:id="14" w:name="_Toc163400084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系统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安全控制措施</w:t>
      </w:r>
      <w:bookmarkEnd w:id="14"/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15" w:name="_Toc21036"/>
      <w:bookmarkStart w:id="16" w:name="_Toc98940910"/>
      <w:r>
        <w:rPr>
          <w:rFonts w:hint="eastAsia" w:asciiTheme="minorEastAsia" w:hAnsiTheme="minorEastAsia" w:eastAsiaTheme="minorEastAsia" w:cstheme="minorEastAsia"/>
          <w:sz w:val="32"/>
          <w:szCs w:val="32"/>
        </w:rPr>
        <w:t>1.系统安全性要求</w:t>
      </w:r>
      <w:bookmarkEnd w:id="15"/>
      <w:bookmarkEnd w:id="16"/>
    </w:p>
    <w:p>
      <w:pPr>
        <w:pStyle w:val="12"/>
        <w:numPr>
          <w:ilvl w:val="0"/>
          <w:numId w:val="12"/>
        </w:numPr>
        <w:spacing w:line="560" w:lineRule="exact"/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主机安全控制台登录应支持双因素认证。</w:t>
      </w:r>
    </w:p>
    <w:p>
      <w:pPr>
        <w:pStyle w:val="12"/>
        <w:numPr>
          <w:ilvl w:val="0"/>
          <w:numId w:val="12"/>
        </w:numPr>
        <w:spacing w:line="560" w:lineRule="exact"/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主机安全控制台访问应采用H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TTPS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协议。</w:t>
      </w:r>
    </w:p>
    <w:p>
      <w:pPr>
        <w:pStyle w:val="14"/>
        <w:spacing w:line="560" w:lineRule="exact"/>
        <w:ind w:firstLine="0" w:firstLineChars="0"/>
        <w:outlineLvl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7" w:name="_Toc934"/>
      <w:bookmarkStart w:id="18" w:name="_Toc98940911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Agent要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求</w:t>
      </w:r>
      <w:bookmarkEnd w:id="17"/>
      <w:bookmarkEnd w:id="18"/>
    </w:p>
    <w:p>
      <w:pPr>
        <w:pStyle w:val="15"/>
        <w:numPr>
          <w:ilvl w:val="0"/>
          <w:numId w:val="13"/>
        </w:numPr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Agent采用绿色进程方式，不修改内核，不绑定驱动。</w:t>
      </w:r>
    </w:p>
    <w:p>
      <w:pPr>
        <w:pStyle w:val="15"/>
        <w:numPr>
          <w:ilvl w:val="0"/>
          <w:numId w:val="13"/>
        </w:numPr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Agent安装或者启动功能，应无须重启应用或者操作系统。</w:t>
      </w:r>
    </w:p>
    <w:p>
      <w:pPr>
        <w:pStyle w:val="15"/>
        <w:numPr>
          <w:ilvl w:val="0"/>
          <w:numId w:val="13"/>
        </w:numPr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Agent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占用CPU一般不超过3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pStyle w:val="15"/>
        <w:numPr>
          <w:ilvl w:val="0"/>
          <w:numId w:val="13"/>
        </w:numPr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Agent正常运行的心跳数据和监控自身状态的数据传输不能造成网络拥堵。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9" w:name="_Toc163400085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（四）产品兼容性要求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.服务端兼容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性</w:t>
      </w:r>
    </w:p>
    <w:p>
      <w:pPr>
        <w:pStyle w:val="14"/>
        <w:spacing w:line="560" w:lineRule="exact"/>
        <w:ind w:left="2" w:firstLine="1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支持部署在RedHat、CentOS操作系统。</w:t>
      </w:r>
    </w:p>
    <w:p>
      <w:pPr>
        <w:pStyle w:val="14"/>
        <w:spacing w:line="560" w:lineRule="exact"/>
        <w:ind w:left="2" w:firstLine="560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信创环境支持：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支持银河麒麟、中标麒麟、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统信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UOS等国产化操作系统，支持X86和Arm架构。</w:t>
      </w:r>
    </w:p>
    <w:p>
      <w:pPr>
        <w:pStyle w:val="14"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.Agent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兼容</w:t>
      </w:r>
      <w:bookmarkEnd w:id="19"/>
      <w:r>
        <w:rPr>
          <w:rFonts w:hint="eastAsia" w:asciiTheme="minorEastAsia" w:hAnsiTheme="minorEastAsia" w:eastAsiaTheme="minorEastAsia" w:cstheme="minorEastAsia"/>
          <w:sz w:val="32"/>
          <w:szCs w:val="32"/>
        </w:rPr>
        <w:t>性</w:t>
      </w:r>
    </w:p>
    <w:p>
      <w:pPr>
        <w:pStyle w:val="15"/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RedHat、CentOS、Ubuntu、Debian、Windows Server等操作系统。</w:t>
      </w:r>
    </w:p>
    <w:p>
      <w:pPr>
        <w:pStyle w:val="15"/>
        <w:ind w:firstLineChars="0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信创环境支持：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支持银河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麒麟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UOS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等信创环境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，支持X86和Arm架构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bookmarkEnd w:id="1"/>
      <w:bookmarkEnd w:id="2"/>
    </w:p>
    <w:p>
      <w:pPr>
        <w:pStyle w:val="14"/>
        <w:numPr>
          <w:ilvl w:val="0"/>
          <w:numId w:val="2"/>
        </w:numPr>
        <w:spacing w:line="560" w:lineRule="exact"/>
        <w:ind w:firstLineChars="0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bookmarkStart w:id="20" w:name="_MON_1589032353"/>
      <w:bookmarkEnd w:id="2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实施、验收和维保</w:t>
      </w:r>
    </w:p>
    <w:p>
      <w:pPr>
        <w:pStyle w:val="14"/>
        <w:numPr>
          <w:ilvl w:val="0"/>
          <w:numId w:val="0"/>
        </w:numPr>
        <w:spacing w:line="560" w:lineRule="exact"/>
        <w:ind w:leftChars="0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（一）实施部署与培训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本阶段交付结果,包括不限于：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部署实施方案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系统安装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手册》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用户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操作手册》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系统应急处置方案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》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《项目上线总结报告》</w:t>
      </w:r>
    </w:p>
    <w:p>
      <w:pPr>
        <w:pStyle w:val="1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根据项目实施需要，对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我社人员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提供培训完成知识转移。</w:t>
      </w:r>
    </w:p>
    <w:p>
      <w:pPr>
        <w:pStyle w:val="15"/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（二）验收</w:t>
      </w:r>
    </w:p>
    <w:p>
      <w:pPr>
        <w:pStyle w:val="15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部署完成并运行一个月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后，由投标方提请验收。投标方应将项目相关的全部有关技术文件、资料、及招标文件和合同要求的其他材料交付招标人。</w:t>
      </w:r>
    </w:p>
    <w:p>
      <w:pPr>
        <w:pStyle w:val="15"/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（三）维保服务</w:t>
      </w:r>
    </w:p>
    <w:p>
      <w:pPr>
        <w:pStyle w:val="15"/>
        <w:numPr>
          <w:ilvl w:val="0"/>
          <w:numId w:val="0"/>
        </w:numPr>
        <w:ind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投标方须提供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维保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期，维保期从项目验收合格之日起开始计算。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维保服务包括但不限于系统的稳定运行维护和应急保障、系统软件更新、漏洞库更新、恶意代码库更新等。</w:t>
      </w:r>
    </w:p>
    <w:p>
      <w:pPr>
        <w:pStyle w:val="15"/>
        <w:numPr>
          <w:ilvl w:val="0"/>
          <w:numId w:val="0"/>
        </w:numPr>
        <w:ind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5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润圆-3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ourier 10 Pitc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7</w:t>
    </w:r>
    <w:r>
      <w:rPr>
        <w:rFonts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8262D"/>
    <w:multiLevelType w:val="multilevel"/>
    <w:tmpl w:val="0298262D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122C5F88"/>
    <w:multiLevelType w:val="multilevel"/>
    <w:tmpl w:val="122C5F88"/>
    <w:lvl w:ilvl="0" w:tentative="0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E47A35"/>
    <w:multiLevelType w:val="multilevel"/>
    <w:tmpl w:val="19E47A35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21725754"/>
    <w:multiLevelType w:val="multilevel"/>
    <w:tmpl w:val="21725754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1A5D44"/>
    <w:multiLevelType w:val="multilevel"/>
    <w:tmpl w:val="231A5D44"/>
    <w:lvl w:ilvl="0" w:tentative="0">
      <w:start w:val="1"/>
      <w:numFmt w:val="bullet"/>
      <w:lvlText w:val="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5">
    <w:nsid w:val="3DB03CAB"/>
    <w:multiLevelType w:val="multilevel"/>
    <w:tmpl w:val="3DB03CAB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6">
    <w:nsid w:val="4A6C4A7A"/>
    <w:multiLevelType w:val="multilevel"/>
    <w:tmpl w:val="4A6C4A7A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7">
    <w:nsid w:val="52AD6FFE"/>
    <w:multiLevelType w:val="multilevel"/>
    <w:tmpl w:val="52AD6FFE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2B37479"/>
    <w:multiLevelType w:val="multilevel"/>
    <w:tmpl w:val="52B37479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9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条"/>
      <w:lvlJc w:val="left"/>
      <w:pPr>
        <w:ind w:left="2112" w:hanging="432"/>
      </w:pPr>
      <w:rPr>
        <w:rFonts w:hint="eastAsia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860" w:hanging="576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297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3537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264" w:hanging="1584"/>
      </w:pPr>
      <w:rPr>
        <w:rFonts w:hint="eastAsia"/>
      </w:rPr>
    </w:lvl>
  </w:abstractNum>
  <w:abstractNum w:abstractNumId="10">
    <w:nsid w:val="561F3AFB"/>
    <w:multiLevelType w:val="multilevel"/>
    <w:tmpl w:val="561F3AFB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1">
    <w:nsid w:val="659303E9"/>
    <w:multiLevelType w:val="multilevel"/>
    <w:tmpl w:val="659303E9"/>
    <w:lvl w:ilvl="0" w:tentative="0">
      <w:start w:val="1"/>
      <w:numFmt w:val="bullet"/>
      <w:lvlText w:val="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2">
    <w:nsid w:val="71727A95"/>
    <w:multiLevelType w:val="multilevel"/>
    <w:tmpl w:val="71727A95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jliZGEyZTA1YmE2NDM0YWE1Njg2MGMyZjg1NWQifQ=="/>
  </w:docVars>
  <w:rsids>
    <w:rsidRoot w:val="63574EFC"/>
    <w:rsid w:val="02406B7E"/>
    <w:rsid w:val="0281396C"/>
    <w:rsid w:val="029A1B3E"/>
    <w:rsid w:val="05426524"/>
    <w:rsid w:val="09272F6A"/>
    <w:rsid w:val="0DCB2C80"/>
    <w:rsid w:val="11740332"/>
    <w:rsid w:val="11D7020E"/>
    <w:rsid w:val="14B52807"/>
    <w:rsid w:val="186062B1"/>
    <w:rsid w:val="18EE295C"/>
    <w:rsid w:val="1C4B69D5"/>
    <w:rsid w:val="1E723722"/>
    <w:rsid w:val="208A2D9A"/>
    <w:rsid w:val="22CE6D9B"/>
    <w:rsid w:val="264A2CA8"/>
    <w:rsid w:val="29FFA33C"/>
    <w:rsid w:val="2A4917DD"/>
    <w:rsid w:val="2AFD6C12"/>
    <w:rsid w:val="2C347AC6"/>
    <w:rsid w:val="2CB665B6"/>
    <w:rsid w:val="344668DC"/>
    <w:rsid w:val="34F03F67"/>
    <w:rsid w:val="359B57DB"/>
    <w:rsid w:val="364F3CE2"/>
    <w:rsid w:val="38C83E60"/>
    <w:rsid w:val="396F02C3"/>
    <w:rsid w:val="3B5A583B"/>
    <w:rsid w:val="3CFA5D8B"/>
    <w:rsid w:val="3FD31F8D"/>
    <w:rsid w:val="4057286D"/>
    <w:rsid w:val="420936C7"/>
    <w:rsid w:val="425863FC"/>
    <w:rsid w:val="42F73E67"/>
    <w:rsid w:val="45B95AA0"/>
    <w:rsid w:val="45C8557B"/>
    <w:rsid w:val="46EE732F"/>
    <w:rsid w:val="474E1D21"/>
    <w:rsid w:val="492F0BC7"/>
    <w:rsid w:val="498F3115"/>
    <w:rsid w:val="4A4C6847"/>
    <w:rsid w:val="4A602A20"/>
    <w:rsid w:val="4D205177"/>
    <w:rsid w:val="50044261"/>
    <w:rsid w:val="516A3A56"/>
    <w:rsid w:val="530879CB"/>
    <w:rsid w:val="53B12DCB"/>
    <w:rsid w:val="599224B3"/>
    <w:rsid w:val="5E3C04AC"/>
    <w:rsid w:val="5EEE2580"/>
    <w:rsid w:val="5FB92779"/>
    <w:rsid w:val="600D4814"/>
    <w:rsid w:val="603E1EDD"/>
    <w:rsid w:val="62173786"/>
    <w:rsid w:val="63574EFC"/>
    <w:rsid w:val="64277EAA"/>
    <w:rsid w:val="680947E3"/>
    <w:rsid w:val="69AB3134"/>
    <w:rsid w:val="6DD14CF4"/>
    <w:rsid w:val="6DEC1F6B"/>
    <w:rsid w:val="758E56B6"/>
    <w:rsid w:val="7B1D14A8"/>
    <w:rsid w:val="7DD601B2"/>
    <w:rsid w:val="7FFEB24B"/>
    <w:rsid w:val="7FFF4F25"/>
    <w:rsid w:val="D75C6580"/>
    <w:rsid w:val="ECAF5AE1"/>
    <w:rsid w:val="EFE68986"/>
    <w:rsid w:val="F5AC9BAA"/>
    <w:rsid w:val="FBF887C4"/>
    <w:rsid w:val="FE9FD072"/>
    <w:rsid w:val="FF9E91A5"/>
    <w:rsid w:val="FFD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line="360" w:lineRule="auto"/>
      <w:ind w:left="0" w:firstLine="200" w:firstLineChars="200"/>
      <w:outlineLvl w:val="2"/>
    </w:pPr>
    <w:rPr>
      <w:rFonts w:ascii="宋体" w:hAnsi="宋体"/>
      <w:bCs/>
      <w:kern w:val="2"/>
      <w:sz w:val="24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paragraph" w:customStyle="1" w:styleId="10">
    <w:name w:val="BodyText1I"/>
    <w:basedOn w:val="11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11">
    <w:name w:val="BodyText"/>
    <w:basedOn w:val="1"/>
    <w:qFormat/>
    <w:uiPriority w:val="99"/>
    <w:pPr>
      <w:spacing w:after="120"/>
      <w:textAlignment w:val="baseline"/>
    </w:pPr>
  </w:style>
  <w:style w:type="paragraph" w:styleId="12">
    <w:name w:val="List Paragraph"/>
    <w:basedOn w:val="13"/>
    <w:qFormat/>
    <w:uiPriority w:val="34"/>
    <w:pPr>
      <w:ind w:firstLine="420"/>
    </w:p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15">
    <w:name w:val="正文1"/>
    <w:basedOn w:val="1"/>
    <w:qFormat/>
    <w:uiPriority w:val="0"/>
    <w:pPr>
      <w:spacing w:line="560" w:lineRule="exact"/>
      <w:ind w:firstLine="480" w:firstLineChars="200"/>
    </w:pPr>
    <w:rPr>
      <w:rFonts w:ascii="仿宋" w:hAnsi="仿宋" w:eastAsia="仿宋"/>
      <w:sz w:val="24"/>
      <w:szCs w:val="24"/>
    </w:rPr>
  </w:style>
  <w:style w:type="paragraph" w:customStyle="1" w:styleId="16">
    <w:name w:val="！正文"/>
    <w:basedOn w:val="1"/>
    <w:qFormat/>
    <w:uiPriority w:val="0"/>
    <w:pPr>
      <w:spacing w:line="500" w:lineRule="exact"/>
      <w:ind w:firstLine="480" w:firstLineChars="200"/>
    </w:pPr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3329</Words>
  <Characters>3500</Characters>
  <Lines>0</Lines>
  <Paragraphs>0</Paragraphs>
  <TotalTime>4</TotalTime>
  <ScaleCrop>false</ScaleCrop>
  <LinksUpToDate>false</LinksUpToDate>
  <CharactersWithSpaces>3516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2022-12-22T01:53:00Z</dcterms:created>
  <dc:creator>慎独宁鸣</dc:creator>
  <cp:lastModifiedBy>gzrc</cp:lastModifiedBy>
  <cp:lastPrinted>2024-04-03T01:19:00Z</cp:lastPrinted>
  <dcterms:modified xsi:type="dcterms:W3CDTF">2024-05-28T16:04:54Z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097F84B4908EA6A23A2201669B6C80D9</vt:lpwstr>
  </property>
</Properties>
</file>