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57" w:rightChars="-27"/>
        <w:jc w:val="center"/>
        <w:rPr>
          <w:rFonts w:ascii="宋体" w:hAnsi="宋体" w:eastAsia="宋体" w:cs="Times New Roman"/>
          <w:color w:val="000000"/>
          <w:sz w:val="44"/>
          <w:szCs w:val="44"/>
        </w:rPr>
      </w:pPr>
    </w:p>
    <w:p>
      <w:pPr>
        <w:spacing w:line="360" w:lineRule="auto"/>
        <w:ind w:right="63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63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63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63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63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63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630"/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eastAsia="zh-CN"/>
        </w:rPr>
        <w:t>贵州乌当农村商业银行股份有限</w:t>
      </w:r>
      <w:r>
        <w:rPr>
          <w:rFonts w:hint="eastAsia" w:ascii="宋体" w:hAnsi="宋体" w:eastAsia="宋体" w:cs="Times New Roman"/>
          <w:sz w:val="44"/>
          <w:szCs w:val="44"/>
        </w:rPr>
        <w:t>公司</w:t>
      </w:r>
    </w:p>
    <w:p>
      <w:pPr>
        <w:spacing w:line="360" w:lineRule="auto"/>
        <w:ind w:right="630"/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</w:rPr>
        <w:t>环境信息披露报告</w:t>
      </w:r>
    </w:p>
    <w:p>
      <w:pPr>
        <w:spacing w:line="360" w:lineRule="auto"/>
        <w:ind w:right="63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63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63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63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63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63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630"/>
        <w:rPr>
          <w:rFonts w:ascii="Times New Roman" w:hAnsi="Times New Roman" w:eastAsia="仿宋_GB2312" w:cs="Times New Roman"/>
          <w:sz w:val="32"/>
          <w:szCs w:val="32"/>
          <w:u w:val="thick"/>
        </w:rPr>
      </w:pPr>
    </w:p>
    <w:p>
      <w:pPr>
        <w:spacing w:line="360" w:lineRule="auto"/>
        <w:ind w:right="630" w:firstLine="640" w:firstLineChars="200"/>
        <w:rPr>
          <w:rFonts w:ascii="Times New Roman" w:hAnsi="Times New Roman" w:eastAsia="仿宋_GB2312" w:cs="Times New Roman"/>
          <w:sz w:val="32"/>
          <w:szCs w:val="32"/>
          <w:u w:val="thick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报告年度：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color w:val="FFFFFF" w:themeColor="background1"/>
          <w:sz w:val="32"/>
          <w:szCs w:val="32"/>
          <w:u w:val="single"/>
          <w14:textFill>
            <w14:solidFill>
              <w14:schemeClr w14:val="bg1"/>
            </w14:solidFill>
          </w14:textFill>
        </w:rPr>
        <w:t>（</w:t>
      </w:r>
    </w:p>
    <w:p>
      <w:pPr>
        <w:spacing w:line="360" w:lineRule="auto"/>
        <w:ind w:right="63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编写单位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（公章）</w:t>
      </w:r>
    </w:p>
    <w:p>
      <w:pPr>
        <w:spacing w:line="360" w:lineRule="auto"/>
        <w:ind w:right="630"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编制日期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2024年4月</w:t>
      </w:r>
    </w:p>
    <w:p>
      <w:pPr>
        <w:pStyle w:val="2"/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乌当农商银行202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年度环境信息披露报告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一、基本信息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公司名称：贵州乌当农村商业银行股份有限公司；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注册地址：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贵州省贵阳市乌当区新添大道北段164号附9号臣功新天地15幢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9152010021459000XG；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范围：吸收公众存款，发放短期、中期和长期贷款，办理国内结算，办理票据承兑与贴现；代理发行、代理兑付、承销政府债券；买卖政府债券、金融债券；从事同业拆借；从事银行卡业务（借记卡）；代理收付款项及代理保险业务；提供保险箱服务；经中国银行业监督管理机构批准的其他业务；房屋租赁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年度概况</w:t>
      </w:r>
      <w:r>
        <w:rPr>
          <w:rFonts w:hint="eastAsia" w:ascii="黑体" w:hAnsi="黑体" w:eastAsia="黑体"/>
          <w:sz w:val="32"/>
          <w:szCs w:val="32"/>
          <w:lang w:eastAsia="zh-CN"/>
        </w:rPr>
        <w:t>及绿色金融发展战略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我行积极倡导将绿色环保产业作为战略客群的金融服务重点，不断开展绿色金融创新。制定《贵州乌当农村商业银行股份有限公司2022-2024三年战略发展规划》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将绿色金融发展纳入战略规划，探索绿色金融创新模式和绿色金融特色品牌。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为深入贯彻落实党中央、国务院和省委、省政府的决策部署，全面推进绿色产业扶贫投资基金工作，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巩固拓展</w:t>
      </w:r>
      <w:r>
        <w:rPr>
          <w:rFonts w:hint="eastAsia" w:ascii="仿宋_GB2312" w:hAnsi="仿宋_GB2312" w:eastAsia="仿宋_GB2312" w:cs="仿宋_GB2312"/>
          <w:sz w:val="32"/>
          <w:szCs w:val="32"/>
        </w:rPr>
        <w:t>脱贫攻坚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，我行成立绿色产业扶贫投资基金贷款专项工作领导小组，根据《贵州省农村信用社绿色信贷管理指引》要求，积极投放绿色信贷，尤其是对乡村振兴重点领域的信贷支持。截止202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年底，我行绿色信贷户数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376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20458.74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万元，其中专项统计台账绿色信贷有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5219.14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结合“绿水青山就是金山银山”的发展理念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省、贵阳市出台了一系列政策指导。我行服务辖区旅游资源突出、绿色资源丰富，持续加大绿色金融机制的探索，构建绿色发展方式，实施差异化绿色信贷政策，将信贷资源精准及时地配置给农村市场，加大对“三农”领域的信贷投入，以绿色金融推动我行资产质量不断优化，全面提升绿色金融发展水平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、环境及绿色金融相关治理结构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我行将绿色金融、绿色信贷与环境等相关议题作为公司治理和经营战略的重要一环。积极推进节约、环保、可持续发展等绿色金融理念与发展战略和经营管理相融合，制定绿色金融发展战略和目标，董事会审批听取高级管理层在绿色金融方面的工作报告，监督、评估本行绿色金融发展战略执行情况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高级管理层根据董事会的决定，建立相应机制和流程，明确职责和权限，负责督导绿色信贷战略的有效实施，向董事会报告绿色信贷发展情况。明确一名高管人员负责牵头绿色信贷工作，组织开展并归口管理绿色信贷各项工作，加快推进绿色、低碳、循环经济建设，加强环境管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（三）我行成立绿色产业扶贫投资基金贷款专项工作领导小组，由董事长担任组长，行长担任副组长，其他行领导及相关部门负责人为组员，全面指导我行绿色信贷业务。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资产管理部负责整体工作的协调、推动、督办和落实。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资产管理部、个贷中心、普惠三农事业部、大客户部负责对推荐客户进行审查，对符合我行贷款资质的客户进行贷款授信业务的办理。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资产管理部安排专人负责日常监测工作，并建立“日监测、周上报、月通报”工作机制。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各营业网点负责人负责</w:t>
      </w:r>
      <w:r>
        <w:rPr>
          <w:rFonts w:hint="eastAsia" w:ascii="仿宋_GB2312" w:eastAsia="仿宋_GB2312"/>
          <w:sz w:val="32"/>
          <w:szCs w:val="32"/>
          <w:lang w:eastAsia="zh-CN"/>
        </w:rPr>
        <w:t>所辖区域工作，</w:t>
      </w:r>
      <w:r>
        <w:rPr>
          <w:rFonts w:hint="eastAsia" w:ascii="仿宋_GB2312" w:eastAsia="仿宋_GB2312"/>
          <w:sz w:val="32"/>
          <w:szCs w:val="32"/>
        </w:rPr>
        <w:t>以全面推进绿色产业基金为契机，助推全省脱贫攻坚战役取得全胜，确保在这场输不起也不能输的战役中不掉队、不落伍。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、环境及绿色金融相关政策制度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我行严格遵守国家及地区相关法律法规，遵照执行</w:t>
      </w:r>
      <w:r>
        <w:rPr>
          <w:rFonts w:hint="eastAsia" w:ascii="仿宋_GB2312" w:eastAsia="仿宋_GB2312"/>
          <w:sz w:val="32"/>
          <w:szCs w:val="32"/>
          <w:lang w:eastAsia="zh-CN"/>
        </w:rPr>
        <w:t>上级管理部门制定的</w:t>
      </w:r>
      <w:r>
        <w:rPr>
          <w:rFonts w:hint="eastAsia" w:ascii="仿宋_GB2312" w:eastAsia="仿宋_GB2312"/>
          <w:sz w:val="32"/>
          <w:szCs w:val="32"/>
        </w:rPr>
        <w:t>绿色金融相关的制度建设和工作</w:t>
      </w:r>
      <w:r>
        <w:rPr>
          <w:rFonts w:hint="eastAsia" w:ascii="仿宋_GB2312" w:eastAsia="仿宋_GB2312"/>
          <w:sz w:val="32"/>
          <w:szCs w:val="32"/>
          <w:lang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如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（一）中共中央、国务院《关于加快推进生态文明建设的意见》和《生态文明体制改革总体方案》、七部委《关于构建绿色金融体系的指导意见》(银发 [2016] 228号)等文件精神。大力发展绿色信贷等业务，防范绿色环保相关金融风险，促进经济绿色转型发展。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）贵州省农村信用社先后发布《贵州省农村信用社绿色信贷管理指引（暂行）》《贵州省农村信用社加强绿色金融建设助力碳达峰碳中和指导意见（2021-2025年）》等文件。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我行严格遵守相关法律法规，重视企业管治，持续优化我行治理水平，推动我行内部环境与社会风险准入、退出机制建设，积极践行地方法人金融机构排头兵作用，助力绿色经济，按照人民银行发布的绿色金融标准、省联社印发的绿色信贷管理指引，加大对乡村振兴重点领域的金融支持，对“两高一剩”行业限制信贷投放，对落后产能企业加快退出进度，以助推产业结构调整，促进当地经济可持续发展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五、环境风险管理</w:t>
      </w:r>
      <w:r>
        <w:rPr>
          <w:rFonts w:hint="eastAsia" w:ascii="黑体" w:hAnsi="黑体" w:eastAsia="黑体"/>
          <w:sz w:val="32"/>
          <w:szCs w:val="32"/>
          <w:lang w:eastAsia="zh-CN"/>
        </w:rPr>
        <w:t>及机遇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（一）环境风险和机遇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首先，</w:t>
      </w:r>
      <w:r>
        <w:rPr>
          <w:rFonts w:hint="eastAsia" w:ascii="仿宋_GB2312" w:eastAsia="仿宋_GB2312"/>
          <w:sz w:val="32"/>
          <w:szCs w:val="32"/>
        </w:rPr>
        <w:t>环境风险管理对我行而言是一种全新的风险管理，是近年来随着经济发展模式转变、社会责任意识逐渐增强而发展起来的，我行缺乏相应的全面管理经验；其次，环境风险管理涉及面广、复杂性强、专业化程度高，我行人才储备不能满足要求，增加了我行相关风险识别的难度；</w:t>
      </w:r>
      <w:r>
        <w:rPr>
          <w:rFonts w:hint="eastAsia" w:ascii="仿宋_GB2312" w:eastAsia="仿宋_GB2312"/>
          <w:sz w:val="32"/>
          <w:szCs w:val="32"/>
          <w:lang w:eastAsia="zh-CN"/>
        </w:rPr>
        <w:t>最后</w:t>
      </w:r>
      <w:r>
        <w:rPr>
          <w:rFonts w:hint="eastAsia" w:ascii="仿宋_GB2312" w:eastAsia="仿宋_GB2312"/>
          <w:sz w:val="32"/>
          <w:szCs w:val="32"/>
        </w:rPr>
        <w:t>，环境风险的影响越来越大，可以直接或间接影响到我行面临的信用风险、市场风险、声誉风险等，而且随着社会对环保、安全、土地、健康等问题的日益重视，环境风险的受关注程度显得愈发突出，延误或者错误判断，都将导致信息的传递和决策失效，给我行造成一定的风险损失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随着碳达峰、碳中和等相关政策的持续推进，将为我行拓展绿色金融业务提供新的机遇，将有利于我行发挥金融支持绿色发展的功能，以资金配置引导产业结构、能源结构向绿色低碳转型。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（二）环境风险和机遇对我行业务、战略的影响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可持续发展、支持绿色长期投资行为，推动农村一二三产业融合发展，加大对农村种养殖大户、家庭农场、农民专业合作社、村股份经济合作社、农村小微企业、新型农业综合体等新型农业经营主体的信贷投放，进一步优化信贷结构。我行制定的《贵州乌当农村商业银行股份有限公司2022-2024三年战略发展规划》中明确绿色金融为我行重要信贷投放领域。将绿色经济领域作为信贷投放的重要战略方向，从战略层面规划了适合我行中长期发展绿色金融的蓝图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黑体" w:hAnsi="黑体" w:eastAsia="黑体"/>
          <w:sz w:val="32"/>
          <w:szCs w:val="32"/>
          <w:lang w:eastAsia="zh-CN"/>
        </w:rPr>
        <w:t>经营活动的</w:t>
      </w:r>
      <w:r>
        <w:rPr>
          <w:rFonts w:hint="eastAsia" w:ascii="黑体" w:hAnsi="黑体" w:eastAsia="黑体"/>
          <w:sz w:val="32"/>
          <w:szCs w:val="32"/>
        </w:rPr>
        <w:t>环境影响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行始终坚持“绿色”银行理念，在遵守国家及地区有关法律法规的基础上，落实各项绿色办公措施，把保护环境、节约资源等理念贯穿于银行运营中，一是节约用电、用水。加强照明节电管理，使用节能灯具及电器，减少照明设备电耗，做到人走灯熄；强化日常节电措施，建立健全节电管理制度和设备操作规程，减少不必要的办公电器和非办公用电。二是节约办公费用。加强办公经费和办公用品的使用管理，规范办公用品的配备，实行统一集中采购；开发电子对账系统用于对公业务对账，开发贷后全流程管理系统减少纸质材料留存，通过内网对信贷审批、用印审批、请假审批，以减少办公纸质资料印发；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年我行积极鼓励客户使用手机银行、网上银行线上办理业务，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2023年全年我行电子交易笔数4978.25万笔，柜面业务交易笔数158.29万笔，</w:t>
      </w:r>
      <w:r>
        <w:rPr>
          <w:rFonts w:hint="eastAsia" w:ascii="仿宋_GB2312" w:eastAsia="仿宋_GB2312"/>
          <w:sz w:val="32"/>
          <w:szCs w:val="32"/>
        </w:rPr>
        <w:t xml:space="preserve">电子渠道交易替代率达到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96.92</w:t>
      </w:r>
      <w:r>
        <w:rPr>
          <w:rFonts w:hint="eastAsia" w:ascii="仿宋_GB2312" w:eastAsia="仿宋_GB2312"/>
          <w:sz w:val="32"/>
          <w:szCs w:val="32"/>
        </w:rPr>
        <w:t>%，</w:t>
      </w:r>
      <w:r>
        <w:rPr>
          <w:rFonts w:hint="eastAsia" w:ascii="仿宋_GB2312" w:eastAsia="仿宋_GB2312"/>
          <w:sz w:val="32"/>
          <w:szCs w:val="32"/>
          <w:lang w:eastAsia="zh-CN"/>
        </w:rPr>
        <w:t>大幅</w:t>
      </w:r>
      <w:r>
        <w:rPr>
          <w:rFonts w:hint="eastAsia" w:ascii="仿宋_GB2312" w:eastAsia="仿宋_GB2312"/>
          <w:sz w:val="32"/>
          <w:szCs w:val="32"/>
        </w:rPr>
        <w:t>减少柜面传票用纸消耗。三是减少会务支出。精简会议，提升会议质量，积极倡导视频会议形式，降低会议成本；加强车辆管理，降低油耗。四是加强食堂管理，倡导员工文明用餐，实施光盘行动，对垃圾进行合理分类，进一步提升垃圾回收处理效能，减少环境污染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投融资活动</w:t>
      </w:r>
      <w:r>
        <w:rPr>
          <w:rFonts w:ascii="黑体" w:hAnsi="黑体" w:eastAsia="黑体"/>
          <w:sz w:val="32"/>
          <w:szCs w:val="32"/>
        </w:rPr>
        <w:t>的</w:t>
      </w:r>
      <w:r>
        <w:rPr>
          <w:rFonts w:hint="eastAsia" w:ascii="黑体" w:hAnsi="黑体" w:eastAsia="黑体"/>
          <w:sz w:val="32"/>
          <w:szCs w:val="32"/>
        </w:rPr>
        <w:t>环境影响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本行自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2019年以来，大力发展绿色信贷，积极支持和促进低碳经济发展，积极支持战略性新兴产业、科技创新性产业发展，近三年的绿色信贷规模逐年递增，绿色信贷余额规模不断增加。截止2023年末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，人行专项统计台账绿色信贷余额5219.14万元，持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有绿色金融债2000万元。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八、绿色金融创新做法及成果奖项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我行建立以绿色信贷理念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主导的信贷业务体系和风险管理框架，突出“绿色优先，一票否决”</w:t>
      </w:r>
      <w:r>
        <w:rPr>
          <w:rFonts w:hint="eastAsia" w:ascii="仿宋_GB2312" w:eastAsia="仿宋_GB2312"/>
          <w:sz w:val="32"/>
          <w:szCs w:val="32"/>
          <w:lang w:eastAsia="zh-CN"/>
        </w:rPr>
        <w:t>，对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bidi="ar"/>
        </w:rPr>
        <w:t>涉及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eastAsia="zh-CN" w:bidi="ar"/>
        </w:rPr>
        <w:t>重大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bidi="ar"/>
        </w:rPr>
        <w:t>环境风险事件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eastAsia="zh-CN" w:bidi="ar"/>
        </w:rPr>
        <w:t>企业进行准入禁止</w:t>
      </w:r>
      <w:r>
        <w:rPr>
          <w:rFonts w:hint="eastAsia" w:ascii="仿宋_GB2312" w:eastAsia="仿宋_GB2312"/>
          <w:sz w:val="32"/>
          <w:szCs w:val="32"/>
        </w:rPr>
        <w:t>。同时制定绿色信贷风险评估口径，进行动态评估与分类，信贷重点投向瞄准三农、小微、大健康、大数据、大旅游、田园综合体、脱贫攻坚等。并对存量业务进行梳理，逐步清理质量较差的企业，切实做到将政策落到实处，提升我行的知名度和社会影响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为解决农户及小微企业融资难的问题，我行在对涉及乡村振兴的农户及小微企业贷款简化信贷审批流程，加快审批进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度,降低准入门槛，为农户发展送资金、为小微发展谋出路。</w:t>
      </w:r>
    </w:p>
    <w:p>
      <w:pPr>
        <w:spacing w:line="60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为促进辖内农村经济高质量发展，推进美好乡村建设，提升农村特色产业竞争力，实现乡村振兴的目标，我行持续支持乡村振兴产业、不断加大金融支持力度。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截止2023年12月31日，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行支持“十二大农业特色产业”贷款余额为5.05亿元，其中：茶叶产业0.29亿元、食用菌产业0.05亿元、蔬菜产业1.15亿元、牛羊产业0.45亿元、特色林业（竹、油茶、花椒、皂角等）0.02亿元，水果产业0.86亿元、生猪产业1.45亿元、中药材（石斛等）产业0.14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元、生态渔业0.09亿元，辣椒产业0.04亿元、生态家禽产业0.55亿元。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专注服务“三农”和小微企业，始终坚持以做小、做散、做精为市场定位发展原则，加大对涉农及小微企业的贷款支持力度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助推农业优质产业升级。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九、支持普惠主体及中小企业绿色发展情况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我行</w:t>
      </w:r>
      <w:r>
        <w:rPr>
          <w:rFonts w:hint="eastAsia" w:ascii="仿宋_GB2312" w:hAnsi="仿宋_GB2312" w:eastAsia="仿宋_GB2312" w:cs="仿宋_GB2312"/>
          <w:sz w:val="32"/>
          <w:szCs w:val="32"/>
        </w:rPr>
        <w:t>为夯实农村及普惠小微市场基础，全面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施网格化管理，通过对辖区内合理划分服务网格，秉承以“客户为中心”的服务理念，将服务划分到机构、责任落实到个人，实行“定格、定责、定员”的网格管理模式，为客户配置专门的金融服务人员，关注客户信贷、储蓄、结算等金融需求，关心客户生产生活，</w:t>
      </w:r>
      <w:r>
        <w:rPr>
          <w:rFonts w:hint="eastAsia" w:ascii="仿宋_GB2312" w:hAnsi="仿宋_GB2312" w:eastAsia="仿宋_GB2312" w:cs="仿宋_GB2312"/>
          <w:sz w:val="32"/>
          <w:szCs w:val="32"/>
        </w:rPr>
        <w:t>精准定位和识别目标客户，提升农村金融及普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惠小微服务质效，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搭建农村金融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及普惠小微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服务新平台。截止2023年12月31日，我行普惠型小微企业贷款余额33.4亿元，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年初增加1.51亿元，增速4.74%，各项贷款（剔除转帖现）余额164.34亿元，较年初158.74亿元增加5.6亿元，增速为3.53%，普惠小微企业贷款增速高于各项贷款增速1.21个百分点；普惠型小微企业贷款户数7751户，较年初6930户增加821户；2023年新发放普惠型小微企业贷款平均利率8.93%，较年初下降2.78%；普惠型小微企业贷款不良率6.64%，较各项贷款平均不良率3.93%高2.71个百分点，顺利完成两增两控目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积极支持辖内新型农业经营主体生产经营，辖内新型农业经营主体共计499户（农业龙头企业13户、农民专业合作社270户，家庭农场164户，种养殖大户52户），我行已建档户数为499户，建档面100%。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新型农业经营主体贷款余额1.21亿元，其中：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龙头农业企业贷款5户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余额0.83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元；家庭农场贷款34户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余额0.</w:t>
      </w:r>
      <w:r>
        <w:rPr>
          <w:rFonts w:hint="eastAsia" w:ascii="仿宋_GB2312" w:hAnsi="仿宋_GB2312" w:eastAsia="仿宋_GB2312" w:cs="仿宋_GB2312"/>
          <w:sz w:val="32"/>
          <w:szCs w:val="32"/>
        </w:rPr>
        <w:t>07亿元；农业专业合作社贷款141户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余额0.31亿元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，助推宜居宜业和美乡村建设。</w:t>
      </w:r>
      <w:bookmarkStart w:id="0" w:name="_GoBack"/>
      <w:bookmarkEnd w:id="0"/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十、数据梳理、校验及保护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我行通过多重举措进一步提升信息安全管理水平，守住信息安全底线。统一采购安装亚信安全防病毒软件，在所有内网电脑进行安装部署。内网终端禁用未经认证U盘，在杀毒软件策略中</w:t>
      </w:r>
      <w:r>
        <w:rPr>
          <w:rFonts w:hint="eastAsia" w:ascii="仿宋_GB2312" w:eastAsia="仿宋_GB2312"/>
          <w:sz w:val="32"/>
          <w:szCs w:val="32"/>
          <w:lang w:eastAsia="zh-CN"/>
        </w:rPr>
        <w:t>提高</w:t>
      </w:r>
      <w:r>
        <w:rPr>
          <w:rFonts w:hint="eastAsia" w:ascii="仿宋_GB2312" w:eastAsia="仿宋_GB2312"/>
          <w:sz w:val="32"/>
          <w:szCs w:val="32"/>
        </w:rPr>
        <w:t>定时扫描的频率，病毒查杀扫描频次为每周一次，并于每月定期进行全盘扫描，同时加强终端的漏洞扫描修复工作。多措并举，遏制病毒木马的蔓延，确保网络安全。数据安全管理办法中要求各操作员密码长度应不少于8位，密码应包含大写字母、小写字母、数字及特殊符号中的三项及以上类别，密码应至少90天修改一次，避免使用初始密码，限制连续登录次数不大于5次，用户账户最小化授权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为促进辖内农村经济高质量发展，推进美好乡村建设，提升农村特色产业竞争力，实现乡村振兴的目标，我行在支持乡村振兴产业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加大金融支持力度</w:t>
      </w:r>
      <w:r>
        <w:rPr>
          <w:rFonts w:hint="eastAsia" w:ascii="仿宋_GB2312" w:eastAsia="仿宋_GB2312"/>
          <w:sz w:val="32"/>
          <w:szCs w:val="32"/>
          <w:lang w:eastAsia="zh-CN"/>
        </w:rPr>
        <w:t>上持续发力</w:t>
      </w:r>
      <w:r>
        <w:rPr>
          <w:rFonts w:hint="eastAsia" w:ascii="仿宋_GB2312" w:eastAsia="仿宋_GB2312"/>
          <w:sz w:val="32"/>
          <w:szCs w:val="32"/>
        </w:rPr>
        <w:t>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年，我们既要正视困难，又要坚定信心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我行将继续围绕绿色发展理念，坚持绿色发展战略，坚持稳字当头、稳中求进，扎实推动我行绿色金融发展，促进</w:t>
      </w:r>
      <w:r>
        <w:rPr>
          <w:rFonts w:hint="eastAsia" w:ascii="仿宋_GB2312" w:eastAsia="仿宋_GB2312"/>
          <w:sz w:val="32"/>
          <w:szCs w:val="32"/>
          <w:lang w:eastAsia="zh-CN"/>
        </w:rPr>
        <w:t>辖区</w:t>
      </w:r>
      <w:r>
        <w:rPr>
          <w:rFonts w:hint="eastAsia" w:ascii="仿宋_GB2312" w:eastAsia="仿宋_GB2312"/>
          <w:sz w:val="32"/>
          <w:szCs w:val="32"/>
        </w:rPr>
        <w:t>绿色金融高质量发展，为国家碳达峰、碳中和的可持续发展目标如期实现助力。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乌当农商银行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A9"/>
    <w:rsid w:val="00063C66"/>
    <w:rsid w:val="0010607C"/>
    <w:rsid w:val="0011363F"/>
    <w:rsid w:val="00160144"/>
    <w:rsid w:val="00176D29"/>
    <w:rsid w:val="0018546C"/>
    <w:rsid w:val="001D2181"/>
    <w:rsid w:val="0023308B"/>
    <w:rsid w:val="00261D5A"/>
    <w:rsid w:val="002A6EA9"/>
    <w:rsid w:val="00321568"/>
    <w:rsid w:val="00342E1F"/>
    <w:rsid w:val="003769BD"/>
    <w:rsid w:val="003C141A"/>
    <w:rsid w:val="004139A7"/>
    <w:rsid w:val="00490C78"/>
    <w:rsid w:val="00503CC9"/>
    <w:rsid w:val="005268BD"/>
    <w:rsid w:val="00543446"/>
    <w:rsid w:val="00595D9E"/>
    <w:rsid w:val="005C51C3"/>
    <w:rsid w:val="00682BE8"/>
    <w:rsid w:val="006C4640"/>
    <w:rsid w:val="006D34DB"/>
    <w:rsid w:val="006E316A"/>
    <w:rsid w:val="00716023"/>
    <w:rsid w:val="007368C6"/>
    <w:rsid w:val="00747B11"/>
    <w:rsid w:val="007D3742"/>
    <w:rsid w:val="008623D0"/>
    <w:rsid w:val="00870B8B"/>
    <w:rsid w:val="00896129"/>
    <w:rsid w:val="008B6015"/>
    <w:rsid w:val="00933523"/>
    <w:rsid w:val="00941B8D"/>
    <w:rsid w:val="00981670"/>
    <w:rsid w:val="009E03EE"/>
    <w:rsid w:val="00A57F88"/>
    <w:rsid w:val="00A6246E"/>
    <w:rsid w:val="00B308EA"/>
    <w:rsid w:val="00B31053"/>
    <w:rsid w:val="00B57A3C"/>
    <w:rsid w:val="00B73C16"/>
    <w:rsid w:val="00BC14A5"/>
    <w:rsid w:val="00BF412D"/>
    <w:rsid w:val="00C2076B"/>
    <w:rsid w:val="00C419AF"/>
    <w:rsid w:val="00C911AB"/>
    <w:rsid w:val="00C93B77"/>
    <w:rsid w:val="00C94241"/>
    <w:rsid w:val="00CB1CC1"/>
    <w:rsid w:val="00E81A51"/>
    <w:rsid w:val="00E84A67"/>
    <w:rsid w:val="00EE1014"/>
    <w:rsid w:val="00F22161"/>
    <w:rsid w:val="00F53880"/>
    <w:rsid w:val="00FB1328"/>
    <w:rsid w:val="07AB751D"/>
    <w:rsid w:val="0B361A5D"/>
    <w:rsid w:val="10307B36"/>
    <w:rsid w:val="116C3624"/>
    <w:rsid w:val="139B0414"/>
    <w:rsid w:val="1721379D"/>
    <w:rsid w:val="1C637EFE"/>
    <w:rsid w:val="1F231E4B"/>
    <w:rsid w:val="266B6458"/>
    <w:rsid w:val="2B2F45C8"/>
    <w:rsid w:val="2EE84A4E"/>
    <w:rsid w:val="31A66C16"/>
    <w:rsid w:val="39FB7F66"/>
    <w:rsid w:val="42687F3A"/>
    <w:rsid w:val="4E8A0C35"/>
    <w:rsid w:val="54C0313E"/>
    <w:rsid w:val="568D5990"/>
    <w:rsid w:val="5EF843B9"/>
    <w:rsid w:val="6721190E"/>
    <w:rsid w:val="685D74C2"/>
    <w:rsid w:val="719B1888"/>
    <w:rsid w:val="72D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595</Words>
  <Characters>3397</Characters>
  <Lines>28</Lines>
  <Paragraphs>7</Paragraphs>
  <TotalTime>14</TotalTime>
  <ScaleCrop>false</ScaleCrop>
  <LinksUpToDate>false</LinksUpToDate>
  <CharactersWithSpaces>3985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2023-06-06T06:59:00Z</dcterms:created>
  <dc:creator>Phoenix</dc:creator>
  <cp:lastModifiedBy>唐婷婷</cp:lastModifiedBy>
  <dcterms:modified xsi:type="dcterms:W3CDTF">2024-04-30T02:12:57Z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