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spacing w:line="560" w:lineRule="exact"/>
        <w:rPr>
          <w:highlight w:val="none"/>
        </w:rPr>
      </w:pPr>
    </w:p>
    <w:p>
      <w:pPr>
        <w:keepNext w:val="0"/>
        <w:keepLines w:val="0"/>
        <w:pageBreakBefore w:val="0"/>
        <w:kinsoku/>
        <w:wordWrap/>
        <w:overflowPunct/>
        <w:autoSpaceDE/>
        <w:autoSpaceDN/>
        <w:bidi w:val="0"/>
        <w:spacing w:line="560" w:lineRule="exact"/>
        <w:jc w:val="center"/>
        <w:rPr>
          <w:rFonts w:hint="eastAsia" w:ascii="宋体" w:hAnsi="宋体" w:eastAsia="宋体" w:cs="Times New Roman"/>
          <w:kern w:val="2"/>
          <w:sz w:val="48"/>
          <w:szCs w:val="52"/>
          <w:highlight w:val="none"/>
          <w:lang w:val="en-US" w:eastAsia="zh-CN" w:bidi="ar-SA"/>
        </w:rPr>
      </w:pPr>
    </w:p>
    <w:p>
      <w:pPr>
        <w:keepNext w:val="0"/>
        <w:keepLines w:val="0"/>
        <w:pageBreakBefore w:val="0"/>
        <w:kinsoku/>
        <w:wordWrap/>
        <w:overflowPunct/>
        <w:autoSpaceDE/>
        <w:autoSpaceDN/>
        <w:bidi w:val="0"/>
        <w:spacing w:line="560" w:lineRule="exact"/>
        <w:jc w:val="center"/>
        <w:rPr>
          <w:rFonts w:hint="eastAsia" w:ascii="宋体" w:hAnsi="宋体" w:eastAsia="宋体" w:cs="Times New Roman"/>
          <w:kern w:val="2"/>
          <w:sz w:val="48"/>
          <w:szCs w:val="52"/>
          <w:highlight w:val="none"/>
          <w:lang w:val="en-US" w:eastAsia="zh-CN" w:bidi="ar-SA"/>
        </w:rPr>
      </w:pPr>
    </w:p>
    <w:p>
      <w:pPr>
        <w:keepNext w:val="0"/>
        <w:keepLines w:val="0"/>
        <w:pageBreakBefore w:val="0"/>
        <w:kinsoku/>
        <w:wordWrap/>
        <w:overflowPunct/>
        <w:autoSpaceDE/>
        <w:autoSpaceDN/>
        <w:bidi w:val="0"/>
        <w:spacing w:line="560" w:lineRule="exact"/>
        <w:jc w:val="center"/>
        <w:rPr>
          <w:rFonts w:hint="eastAsia" w:ascii="宋体" w:hAnsi="宋体" w:eastAsia="宋体" w:cs="Times New Roman"/>
          <w:kern w:val="2"/>
          <w:sz w:val="48"/>
          <w:szCs w:val="52"/>
          <w:highlight w:val="none"/>
          <w:lang w:val="en-US" w:eastAsia="zh-CN" w:bidi="ar-SA"/>
        </w:rPr>
      </w:pPr>
    </w:p>
    <w:p>
      <w:pPr>
        <w:keepNext w:val="0"/>
        <w:keepLines w:val="0"/>
        <w:pageBreakBefore w:val="0"/>
        <w:kinsoku/>
        <w:wordWrap/>
        <w:overflowPunct/>
        <w:autoSpaceDE/>
        <w:autoSpaceDN/>
        <w:bidi w:val="0"/>
        <w:spacing w:line="560" w:lineRule="exact"/>
        <w:jc w:val="center"/>
        <w:rPr>
          <w:rFonts w:hint="eastAsia" w:ascii="宋体" w:hAnsi="宋体" w:eastAsia="宋体" w:cs="Times New Roman"/>
          <w:kern w:val="2"/>
          <w:sz w:val="48"/>
          <w:szCs w:val="52"/>
          <w:highlight w:val="none"/>
          <w:lang w:val="en-US" w:eastAsia="zh-CN" w:bidi="ar-SA"/>
        </w:rPr>
      </w:pPr>
      <w:bookmarkStart w:id="28" w:name="_GoBack"/>
      <w:bookmarkEnd w:id="28"/>
    </w:p>
    <w:p>
      <w:pPr>
        <w:keepNext w:val="0"/>
        <w:keepLines w:val="0"/>
        <w:pageBreakBefore w:val="0"/>
        <w:kinsoku/>
        <w:wordWrap/>
        <w:overflowPunct/>
        <w:autoSpaceDE/>
        <w:autoSpaceDN/>
        <w:bidi w:val="0"/>
        <w:spacing w:line="560" w:lineRule="exact"/>
        <w:jc w:val="center"/>
        <w:rPr>
          <w:rFonts w:hint="eastAsia" w:ascii="宋体" w:hAnsi="宋体" w:eastAsia="宋体" w:cs="Times New Roman"/>
          <w:kern w:val="2"/>
          <w:sz w:val="48"/>
          <w:szCs w:val="52"/>
          <w:highlight w:val="none"/>
          <w:lang w:val="en-US" w:eastAsia="zh-CN" w:bidi="ar-SA"/>
        </w:rPr>
      </w:pPr>
    </w:p>
    <w:p>
      <w:pPr>
        <w:keepNext w:val="0"/>
        <w:keepLines w:val="0"/>
        <w:pageBreakBefore w:val="0"/>
        <w:kinsoku/>
        <w:wordWrap/>
        <w:overflowPunct/>
        <w:autoSpaceDE/>
        <w:autoSpaceDN/>
        <w:bidi w:val="0"/>
        <w:spacing w:line="560" w:lineRule="exact"/>
        <w:jc w:val="center"/>
        <w:rPr>
          <w:rFonts w:hint="eastAsia" w:ascii="宋体" w:hAnsi="宋体" w:eastAsia="宋体" w:cs="Times New Roman"/>
          <w:kern w:val="2"/>
          <w:sz w:val="48"/>
          <w:szCs w:val="52"/>
          <w:highlight w:val="none"/>
          <w:lang w:val="en-US" w:eastAsia="zh-CN" w:bidi="ar-SA"/>
        </w:rPr>
      </w:pPr>
    </w:p>
    <w:p>
      <w:pPr>
        <w:keepNext w:val="0"/>
        <w:keepLines w:val="0"/>
        <w:pageBreakBefore w:val="0"/>
        <w:kinsoku/>
        <w:wordWrap/>
        <w:overflowPunct/>
        <w:autoSpaceDE/>
        <w:autoSpaceDN/>
        <w:bidi w:val="0"/>
        <w:spacing w:line="560" w:lineRule="exact"/>
        <w:jc w:val="center"/>
        <w:rPr>
          <w:rFonts w:hint="eastAsia" w:ascii="宋体" w:hAnsi="宋体" w:eastAsia="宋体" w:cs="Times New Roman"/>
          <w:kern w:val="2"/>
          <w:sz w:val="48"/>
          <w:szCs w:val="52"/>
          <w:highlight w:val="none"/>
          <w:lang w:val="en-US" w:eastAsia="zh-CN" w:bidi="ar-SA"/>
        </w:rPr>
      </w:pPr>
    </w:p>
    <w:p>
      <w:pPr>
        <w:keepNext w:val="0"/>
        <w:keepLines w:val="0"/>
        <w:pageBreakBefore w:val="0"/>
        <w:kinsoku/>
        <w:wordWrap/>
        <w:overflowPunct/>
        <w:autoSpaceDE/>
        <w:autoSpaceDN/>
        <w:bidi w:val="0"/>
        <w:spacing w:line="560" w:lineRule="exact"/>
        <w:jc w:val="center"/>
        <w:rPr>
          <w:rFonts w:hint="eastAsia" w:ascii="宋体" w:hAnsi="宋体" w:eastAsia="宋体" w:cs="Times New Roman"/>
          <w:kern w:val="2"/>
          <w:sz w:val="48"/>
          <w:szCs w:val="52"/>
          <w:highlight w:val="none"/>
          <w:lang w:val="en-US" w:eastAsia="zh-CN" w:bidi="ar-SA"/>
        </w:rPr>
      </w:pPr>
    </w:p>
    <w:p>
      <w:pPr>
        <w:keepNext w:val="0"/>
        <w:keepLines w:val="0"/>
        <w:pageBreakBefore w:val="0"/>
        <w:kinsoku/>
        <w:wordWrap/>
        <w:overflowPunct/>
        <w:autoSpaceDE/>
        <w:autoSpaceDN/>
        <w:bidi w:val="0"/>
        <w:spacing w:line="560" w:lineRule="exact"/>
        <w:jc w:val="center"/>
        <w:rPr>
          <w:rFonts w:hint="eastAsia" w:ascii="宋体" w:hAnsi="宋体" w:eastAsia="宋体" w:cs="Times New Roman"/>
          <w:b/>
          <w:bCs/>
          <w:kern w:val="2"/>
          <w:sz w:val="48"/>
          <w:szCs w:val="52"/>
          <w:highlight w:val="none"/>
          <w:lang w:val="en-US" w:eastAsia="zh-CN" w:bidi="ar-SA"/>
        </w:rPr>
      </w:pPr>
      <w:r>
        <w:rPr>
          <w:rFonts w:hint="eastAsia" w:ascii="宋体" w:hAnsi="宋体" w:eastAsia="宋体" w:cs="Times New Roman"/>
          <w:b/>
          <w:bCs/>
          <w:kern w:val="2"/>
          <w:sz w:val="48"/>
          <w:szCs w:val="52"/>
          <w:highlight w:val="none"/>
          <w:lang w:val="en-US" w:eastAsia="zh-CN" w:bidi="ar-SA"/>
        </w:rPr>
        <w:t>贵州惠水农村商业银行股份有限公司</w:t>
      </w:r>
    </w:p>
    <w:p>
      <w:pPr>
        <w:keepNext w:val="0"/>
        <w:keepLines w:val="0"/>
        <w:pageBreakBefore w:val="0"/>
        <w:kinsoku/>
        <w:wordWrap/>
        <w:overflowPunct/>
        <w:autoSpaceDE/>
        <w:autoSpaceDN/>
        <w:bidi w:val="0"/>
        <w:spacing w:line="560" w:lineRule="exact"/>
        <w:jc w:val="center"/>
        <w:rPr>
          <w:rFonts w:hint="default" w:ascii="宋体" w:hAnsi="宋体" w:eastAsia="宋体" w:cs="Times New Roman"/>
          <w:b/>
          <w:bCs/>
          <w:kern w:val="2"/>
          <w:sz w:val="48"/>
          <w:szCs w:val="52"/>
          <w:highlight w:val="no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Times New Roman"/>
          <w:b/>
          <w:bCs/>
          <w:kern w:val="2"/>
          <w:sz w:val="48"/>
          <w:szCs w:val="52"/>
          <w:highlight w:val="none"/>
          <w:lang w:val="en-US" w:eastAsia="zh-CN" w:bidi="ar-SA"/>
        </w:rPr>
        <w:t>2023年度信息披露报告</w:t>
      </w:r>
    </w:p>
    <w:p>
      <w:pPr>
        <w:keepNext w:val="0"/>
        <w:keepLines w:val="0"/>
        <w:pageBreakBefore w:val="0"/>
        <w:kinsoku/>
        <w:wordWrap/>
        <w:overflowPunct/>
        <w:autoSpaceDE/>
        <w:autoSpaceDN/>
        <w:bidi w:val="0"/>
        <w:spacing w:before="0" w:after="0" w:line="560" w:lineRule="exact"/>
        <w:ind w:left="0" w:leftChars="0" w:right="0" w:rightChars="0" w:firstLine="0" w:firstLineChars="0"/>
        <w:jc w:val="center"/>
      </w:pPr>
      <w:sdt>
        <w:sdtPr>
          <w:rPr>
            <w:rFonts w:ascii="宋体" w:hAnsi="宋体" w:eastAsia="宋体" w:cs="Times New Roman"/>
            <w:kern w:val="2"/>
            <w:sz w:val="21"/>
            <w:szCs w:val="22"/>
            <w:lang w:val="en-US" w:eastAsia="zh-CN" w:bidi="ar-SA"/>
          </w:rPr>
          <w:id w:val="147477755"/>
          <w:docPartObj>
            <w:docPartGallery w:val="Table of Contents"/>
            <w:docPartUnique/>
          </w:docPartObj>
        </w:sdtPr>
        <w:sdtEndPr>
          <w:rPr>
            <w:rFonts w:ascii="Times New Roman" w:hAnsi="Times New Roman" w:eastAsia="宋体" w:cs="Times New Roman"/>
            <w:kern w:val="2"/>
            <w:sz w:val="20"/>
            <w:szCs w:val="20"/>
            <w:lang w:val="en-US" w:eastAsia="zh-CN" w:bidi="ar-SA"/>
          </w:rPr>
        </w:sdtEndPr>
        <w:sdtContent>
          <w:bookmarkStart w:id="0" w:name="_Toc16932_WPSOffice_Level1"/>
        </w:sdtContent>
      </w:sdt>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ascii="Times New Roman" w:hAnsi="Times New Roman" w:eastAsia="黑体"/>
          <w:sz w:val="32"/>
          <w:szCs w:val="32"/>
          <w:highlight w:val="none"/>
        </w:rPr>
      </w:pPr>
      <w:r>
        <w:rPr>
          <w:rFonts w:hint="eastAsia" w:ascii="Times New Roman" w:hAnsi="Times New Roman" w:eastAsia="黑体"/>
          <w:sz w:val="32"/>
          <w:szCs w:val="32"/>
          <w:highlight w:val="none"/>
        </w:rPr>
        <w:t>第一章</w:t>
      </w:r>
      <w:r>
        <w:rPr>
          <w:rFonts w:ascii="Times New Roman" w:hAnsi="Times New Roman" w:eastAsia="黑体"/>
          <w:sz w:val="32"/>
          <w:szCs w:val="32"/>
          <w:highlight w:val="none"/>
        </w:rPr>
        <w:t xml:space="preserve">  </w:t>
      </w:r>
      <w:r>
        <w:rPr>
          <w:rFonts w:hint="eastAsia" w:ascii="Times New Roman" w:hAnsi="Times New Roman" w:eastAsia="黑体"/>
          <w:sz w:val="32"/>
          <w:szCs w:val="32"/>
          <w:highlight w:val="none"/>
        </w:rPr>
        <w:t>本行概况</w:t>
      </w:r>
      <w:bookmarkEnd w:id="0"/>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9"/>
        <w:rPr>
          <w:rFonts w:ascii="Times New Roman" w:hAnsi="Times New Roman" w:eastAsia="仿宋_GB2312"/>
          <w:sz w:val="32"/>
          <w:szCs w:val="32"/>
          <w:highlight w:val="none"/>
        </w:rPr>
      </w:pPr>
      <w:r>
        <w:rPr>
          <w:rFonts w:hint="eastAsia" w:ascii="Times New Roman" w:hAnsi="Times New Roman" w:eastAsia="黑体"/>
          <w:sz w:val="32"/>
          <w:szCs w:val="32"/>
          <w:highlight w:val="none"/>
        </w:rPr>
        <w:t>一、本行注册名称：</w:t>
      </w:r>
      <w:r>
        <w:rPr>
          <w:rFonts w:hint="eastAsia" w:ascii="Times New Roman" w:hAnsi="Times New Roman" w:eastAsia="仿宋_GB2312"/>
          <w:sz w:val="32"/>
          <w:szCs w:val="32"/>
          <w:highlight w:val="none"/>
        </w:rPr>
        <w:t>贵州惠水农村商业银行股份有限公司（简称</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惠水农商银行</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，下称</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本行</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9"/>
        <w:rPr>
          <w:rFonts w:ascii="Times New Roman" w:hAnsi="Times New Roman" w:eastAsia="黑体"/>
          <w:sz w:val="32"/>
          <w:szCs w:val="32"/>
          <w:highlight w:val="none"/>
        </w:rPr>
      </w:pPr>
      <w:r>
        <w:rPr>
          <w:rFonts w:hint="eastAsia" w:ascii="Times New Roman" w:hAnsi="Times New Roman" w:eastAsia="仿宋_GB2312"/>
          <w:sz w:val="32"/>
          <w:szCs w:val="32"/>
          <w:highlight w:val="none"/>
        </w:rPr>
        <w:t>本行英文名称：</w:t>
      </w:r>
      <w:r>
        <w:rPr>
          <w:rFonts w:ascii="Times New Roman" w:hAnsi="Times New Roman" w:eastAsia="仿宋_GB2312"/>
          <w:sz w:val="32"/>
          <w:szCs w:val="32"/>
          <w:highlight w:val="none"/>
        </w:rPr>
        <w:t>Guizhou Huishui Rural Commercial Bank Company Limited</w:t>
      </w:r>
      <w:r>
        <w:rPr>
          <w:rFonts w:hint="eastAsia" w:ascii="Times New Roman" w:hAnsi="Times New Roman" w:eastAsia="仿宋_GB2312"/>
          <w:sz w:val="32"/>
          <w:szCs w:val="32"/>
          <w:highlight w:val="none"/>
        </w:rPr>
        <w:t>（简称</w:t>
      </w:r>
      <w:r>
        <w:rPr>
          <w:rFonts w:ascii="Times New Roman" w:hAnsi="Times New Roman" w:eastAsia="仿宋_GB2312"/>
          <w:sz w:val="32"/>
          <w:szCs w:val="32"/>
          <w:highlight w:val="none"/>
        </w:rPr>
        <w:t xml:space="preserve"> Huishui Rural Commercial Bank</w:t>
      </w:r>
      <w:r>
        <w:rPr>
          <w:rFonts w:hint="eastAsia" w:ascii="Times New Roman" w:hAnsi="Times New Roman" w:eastAsia="仿宋_GB2312"/>
          <w:sz w:val="32"/>
          <w:szCs w:val="32"/>
          <w:highlight w:val="none"/>
        </w:rPr>
        <w:t>或</w:t>
      </w:r>
      <w:r>
        <w:rPr>
          <w:rFonts w:ascii="Times New Roman" w:hAnsi="Times New Roman" w:eastAsia="仿宋_GB2312"/>
          <w:sz w:val="32"/>
          <w:szCs w:val="32"/>
          <w:highlight w:val="none"/>
        </w:rPr>
        <w:t>HSRCB</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9"/>
        <w:rPr>
          <w:rFonts w:ascii="Times New Roman" w:hAnsi="Times New Roman" w:eastAsia="黑体"/>
          <w:sz w:val="32"/>
          <w:szCs w:val="32"/>
          <w:highlight w:val="none"/>
        </w:rPr>
      </w:pPr>
      <w:r>
        <w:rPr>
          <w:rFonts w:hint="eastAsia" w:ascii="Times New Roman" w:hAnsi="Times New Roman" w:eastAsia="黑体"/>
          <w:sz w:val="32"/>
          <w:szCs w:val="32"/>
          <w:highlight w:val="none"/>
        </w:rPr>
        <w:t>二、本行法定代表人：辜贤玉</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9"/>
        <w:rPr>
          <w:rFonts w:ascii="Times New Roman" w:hAnsi="Times New Roman" w:eastAsia="黑体"/>
          <w:sz w:val="32"/>
          <w:szCs w:val="32"/>
          <w:highlight w:val="none"/>
        </w:rPr>
      </w:pPr>
      <w:r>
        <w:rPr>
          <w:rFonts w:hint="eastAsia" w:ascii="Times New Roman" w:hAnsi="Times New Roman" w:eastAsia="黑体"/>
          <w:sz w:val="32"/>
          <w:szCs w:val="32"/>
          <w:highlight w:val="none"/>
        </w:rPr>
        <w:t>三、本行注册地址及办公地址：</w:t>
      </w:r>
      <w:r>
        <w:rPr>
          <w:rFonts w:hint="eastAsia" w:ascii="Times New Roman" w:hAnsi="Times New Roman" w:eastAsia="仿宋_GB2312"/>
          <w:sz w:val="32"/>
          <w:szCs w:val="32"/>
          <w:highlight w:val="none"/>
        </w:rPr>
        <w:t>贵州省黔南布依族苗族自治州惠水县城北新区贵惠大道西侧。邮政编码：</w:t>
      </w:r>
      <w:r>
        <w:rPr>
          <w:rFonts w:ascii="Times New Roman" w:hAnsi="Times New Roman" w:eastAsia="仿宋_GB2312"/>
          <w:sz w:val="32"/>
          <w:szCs w:val="32"/>
          <w:highlight w:val="none"/>
        </w:rPr>
        <w:t>550600</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9"/>
        <w:rPr>
          <w:rFonts w:ascii="Times New Roman" w:hAnsi="Times New Roman" w:eastAsia="黑体"/>
          <w:sz w:val="32"/>
          <w:szCs w:val="32"/>
          <w:highlight w:val="none"/>
        </w:rPr>
      </w:pPr>
      <w:r>
        <w:rPr>
          <w:rFonts w:hint="eastAsia" w:ascii="Times New Roman" w:hAnsi="Times New Roman" w:eastAsia="黑体"/>
          <w:sz w:val="32"/>
          <w:szCs w:val="32"/>
          <w:highlight w:val="none"/>
        </w:rPr>
        <w:t>四、本行选定的信息披露方式</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9"/>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年度报告披露的网址：</w:t>
      </w:r>
      <w:r>
        <w:rPr>
          <w:highlight w:val="none"/>
        </w:rPr>
        <w:fldChar w:fldCharType="begin"/>
      </w:r>
      <w:r>
        <w:rPr>
          <w:highlight w:val="none"/>
        </w:rPr>
        <w:instrText xml:space="preserve"> HYPERLINK "http://qnhs.gznxbank.com/" </w:instrText>
      </w:r>
      <w:r>
        <w:rPr>
          <w:highlight w:val="none"/>
        </w:rPr>
        <w:fldChar w:fldCharType="separate"/>
      </w:r>
      <w:r>
        <w:rPr>
          <w:rStyle w:val="9"/>
          <w:rFonts w:ascii="Times New Roman" w:hAnsi="Times New Roman" w:eastAsia="仿宋_GB2312"/>
          <w:sz w:val="32"/>
          <w:szCs w:val="32"/>
          <w:highlight w:val="none"/>
        </w:rPr>
        <w:t>http://qnhs.gznxbank.com/</w:t>
      </w:r>
      <w:r>
        <w:rPr>
          <w:rStyle w:val="9"/>
          <w:rFonts w:ascii="Times New Roman" w:hAnsi="Times New Roman" w:eastAsia="仿宋_GB2312"/>
          <w:sz w:val="32"/>
          <w:szCs w:val="32"/>
          <w:highlight w:val="none"/>
        </w:rPr>
        <w:fldChar w:fldCharType="end"/>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9"/>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年度报告备置地点：惠水农商银行董事会办公室及下辖各营业网点</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9"/>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信息披露事务联系人：吴翠平</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9"/>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联系电话：</w:t>
      </w:r>
      <w:r>
        <w:rPr>
          <w:rFonts w:ascii="Times New Roman" w:hAnsi="Times New Roman" w:eastAsia="仿宋_GB2312"/>
          <w:color w:val="000000"/>
          <w:sz w:val="32"/>
          <w:szCs w:val="32"/>
          <w:highlight w:val="none"/>
        </w:rPr>
        <w:t>0854-</w:t>
      </w:r>
      <w:r>
        <w:rPr>
          <w:rFonts w:hint="eastAsia" w:ascii="Times New Roman" w:hAnsi="Times New Roman" w:eastAsia="仿宋_GB2312"/>
          <w:color w:val="000000"/>
          <w:sz w:val="32"/>
          <w:szCs w:val="32"/>
          <w:highlight w:val="none"/>
        </w:rPr>
        <w:t>6235660</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9"/>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电子邮箱：540028201</w:t>
      </w:r>
      <w:r>
        <w:rPr>
          <w:rFonts w:ascii="Times New Roman" w:hAnsi="Times New Roman" w:eastAsia="仿宋_GB2312"/>
          <w:color w:val="000000"/>
          <w:sz w:val="32"/>
          <w:szCs w:val="32"/>
          <w:highlight w:val="none"/>
        </w:rPr>
        <w:t>@qq.com</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9"/>
        <w:rPr>
          <w:rFonts w:ascii="Times New Roman" w:hAnsi="Times New Roman" w:eastAsia="黑体"/>
          <w:color w:val="000000"/>
          <w:sz w:val="32"/>
          <w:szCs w:val="32"/>
          <w:highlight w:val="none"/>
        </w:rPr>
      </w:pPr>
      <w:r>
        <w:rPr>
          <w:rFonts w:hint="eastAsia" w:ascii="Times New Roman" w:hAnsi="Times New Roman" w:eastAsia="黑体"/>
          <w:color w:val="000000"/>
          <w:sz w:val="32"/>
          <w:szCs w:val="32"/>
          <w:highlight w:val="none"/>
        </w:rPr>
        <w:t>五、聘请的会计师事务所名称及办公地址</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9"/>
        <w:rPr>
          <w:rFonts w:ascii="Times New Roman" w:hAnsi="Times New Roman" w:eastAsia="仿宋_GB2312"/>
          <w:color w:val="000000"/>
          <w:sz w:val="32"/>
          <w:szCs w:val="32"/>
          <w:highlight w:val="none"/>
        </w:rPr>
      </w:pPr>
      <w:r>
        <w:rPr>
          <w:rFonts w:hint="eastAsia" w:ascii="Times New Roman" w:hAnsi="Times New Roman" w:eastAsia="黑体"/>
          <w:color w:val="000000"/>
          <w:sz w:val="32"/>
          <w:szCs w:val="32"/>
          <w:highlight w:val="none"/>
        </w:rPr>
        <w:t>名称：</w:t>
      </w:r>
      <w:r>
        <w:rPr>
          <w:rFonts w:hint="eastAsia" w:ascii="Times New Roman" w:hAnsi="Times New Roman" w:eastAsia="仿宋_GB2312"/>
          <w:color w:val="000000"/>
          <w:sz w:val="32"/>
          <w:szCs w:val="32"/>
          <w:highlight w:val="none"/>
        </w:rPr>
        <w:t>贵州源信益会计师事务所（普通合伙）</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9"/>
        <w:rPr>
          <w:rFonts w:ascii="Times New Roman" w:hAnsi="Times New Roman" w:eastAsia="仿宋_GB2312"/>
          <w:sz w:val="32"/>
          <w:szCs w:val="32"/>
          <w:highlight w:val="none"/>
        </w:rPr>
      </w:pPr>
      <w:r>
        <w:rPr>
          <w:rFonts w:hint="eastAsia" w:ascii="Times New Roman" w:hAnsi="Times New Roman" w:eastAsia="黑体"/>
          <w:sz w:val="32"/>
          <w:szCs w:val="32"/>
          <w:highlight w:val="none"/>
        </w:rPr>
        <w:t>办公地址：</w:t>
      </w:r>
      <w:r>
        <w:rPr>
          <w:rFonts w:hint="eastAsia" w:ascii="Times New Roman" w:hAnsi="Times New Roman" w:eastAsia="仿宋_GB2312"/>
          <w:sz w:val="32"/>
          <w:szCs w:val="32"/>
          <w:highlight w:val="none"/>
        </w:rPr>
        <w:t>贵州省贵阳市观山湖区会展城SOHO办公区F座11楼1号</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9"/>
        <w:rPr>
          <w:rFonts w:ascii="Times New Roman" w:hAnsi="Times New Roman" w:eastAsia="黑体"/>
          <w:sz w:val="32"/>
          <w:szCs w:val="32"/>
          <w:highlight w:val="none"/>
        </w:rPr>
      </w:pPr>
      <w:r>
        <w:rPr>
          <w:rFonts w:hint="eastAsia" w:ascii="Times New Roman" w:hAnsi="Times New Roman" w:eastAsia="黑体"/>
          <w:sz w:val="32"/>
          <w:szCs w:val="32"/>
          <w:highlight w:val="none"/>
        </w:rPr>
        <w:t>六、其他有关信息</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9"/>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本行经银监会批准日期：</w:t>
      </w:r>
      <w:r>
        <w:rPr>
          <w:rFonts w:ascii="Times New Roman" w:hAnsi="Times New Roman" w:eastAsia="仿宋_GB2312"/>
          <w:sz w:val="32"/>
          <w:szCs w:val="32"/>
          <w:highlight w:val="none"/>
        </w:rPr>
        <w:t>2015</w:t>
      </w:r>
      <w:r>
        <w:rPr>
          <w:rFonts w:hint="eastAsia" w:ascii="Times New Roman" w:hAnsi="Times New Roman" w:eastAsia="仿宋_GB2312"/>
          <w:sz w:val="32"/>
          <w:szCs w:val="32"/>
          <w:highlight w:val="none"/>
        </w:rPr>
        <w:t>年</w:t>
      </w:r>
      <w:r>
        <w:rPr>
          <w:rFonts w:ascii="Times New Roman" w:hAnsi="Times New Roman" w:eastAsia="仿宋_GB2312"/>
          <w:sz w:val="32"/>
          <w:szCs w:val="32"/>
          <w:highlight w:val="none"/>
        </w:rPr>
        <w:t>1</w:t>
      </w:r>
      <w:r>
        <w:rPr>
          <w:rFonts w:hint="eastAsia" w:ascii="Times New Roman" w:hAnsi="Times New Roman" w:eastAsia="仿宋_GB2312"/>
          <w:sz w:val="32"/>
          <w:szCs w:val="32"/>
          <w:highlight w:val="none"/>
        </w:rPr>
        <w:t>月</w:t>
      </w:r>
      <w:r>
        <w:rPr>
          <w:rFonts w:ascii="Times New Roman" w:hAnsi="Times New Roman" w:eastAsia="仿宋_GB2312"/>
          <w:sz w:val="32"/>
          <w:szCs w:val="32"/>
          <w:highlight w:val="none"/>
        </w:rPr>
        <w:t>23</w:t>
      </w:r>
      <w:r>
        <w:rPr>
          <w:rFonts w:hint="eastAsia" w:ascii="Times New Roman" w:hAnsi="Times New Roman" w:eastAsia="仿宋_GB2312"/>
          <w:sz w:val="32"/>
          <w:szCs w:val="32"/>
          <w:highlight w:val="none"/>
        </w:rPr>
        <w:t>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9"/>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统一社会信用代码：</w:t>
      </w:r>
      <w:r>
        <w:rPr>
          <w:rFonts w:ascii="Times New Roman" w:hAnsi="Times New Roman" w:eastAsia="仿宋_GB2312"/>
          <w:sz w:val="32"/>
          <w:szCs w:val="32"/>
          <w:highlight w:val="none"/>
        </w:rPr>
        <w:t>91522731MA6DJDF479</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9"/>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本行注册登记日期：</w:t>
      </w:r>
      <w:r>
        <w:rPr>
          <w:rFonts w:ascii="Times New Roman" w:hAnsi="Times New Roman" w:eastAsia="仿宋_GB2312"/>
          <w:sz w:val="32"/>
          <w:szCs w:val="32"/>
          <w:highlight w:val="none"/>
        </w:rPr>
        <w:t>2015</w:t>
      </w:r>
      <w:r>
        <w:rPr>
          <w:rFonts w:hint="eastAsia" w:ascii="Times New Roman" w:hAnsi="Times New Roman" w:eastAsia="仿宋_GB2312"/>
          <w:sz w:val="32"/>
          <w:szCs w:val="32"/>
          <w:highlight w:val="none"/>
        </w:rPr>
        <w:t>年</w:t>
      </w:r>
      <w:r>
        <w:rPr>
          <w:rFonts w:ascii="Times New Roman" w:hAnsi="Times New Roman" w:eastAsia="仿宋_GB2312"/>
          <w:sz w:val="32"/>
          <w:szCs w:val="32"/>
          <w:highlight w:val="none"/>
        </w:rPr>
        <w:t>11</w:t>
      </w:r>
      <w:r>
        <w:rPr>
          <w:rFonts w:hint="eastAsia" w:ascii="Times New Roman" w:hAnsi="Times New Roman" w:eastAsia="仿宋_GB2312"/>
          <w:sz w:val="32"/>
          <w:szCs w:val="32"/>
          <w:highlight w:val="none"/>
        </w:rPr>
        <w:t>月</w:t>
      </w:r>
      <w:r>
        <w:rPr>
          <w:rFonts w:ascii="Times New Roman" w:hAnsi="Times New Roman" w:eastAsia="仿宋_GB2312"/>
          <w:sz w:val="32"/>
          <w:szCs w:val="32"/>
          <w:highlight w:val="none"/>
        </w:rPr>
        <w:t>1</w:t>
      </w:r>
      <w:r>
        <w:rPr>
          <w:rFonts w:hint="eastAsia" w:ascii="Times New Roman" w:hAnsi="Times New Roman" w:eastAsia="仿宋_GB2312"/>
          <w:sz w:val="32"/>
          <w:szCs w:val="32"/>
          <w:highlight w:val="none"/>
        </w:rPr>
        <w:t>0日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9"/>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登记地点：惠水县工商行政管理局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9"/>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本行经济性质：股份有限公司（非上市、自然人投资或控股）</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本行注册资金：人民币31872</w:t>
      </w:r>
      <w:r>
        <w:rPr>
          <w:rFonts w:hint="eastAsia" w:ascii="Times New Roman" w:hAnsi="Times New Roman" w:eastAsia="仿宋_GB2312"/>
          <w:sz w:val="32"/>
          <w:szCs w:val="32"/>
          <w:highlight w:val="none"/>
          <w:lang w:val="en-US" w:eastAsia="zh-CN"/>
        </w:rPr>
        <w:t>.8785</w:t>
      </w:r>
      <w:r>
        <w:rPr>
          <w:rFonts w:hint="eastAsia" w:ascii="Times New Roman" w:hAnsi="Times New Roman" w:eastAsia="仿宋_GB2312"/>
          <w:sz w:val="32"/>
          <w:szCs w:val="32"/>
          <w:highlight w:val="none"/>
        </w:rPr>
        <w:t>万元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Times New Roman" w:hAnsi="Times New Roman" w:eastAsia="仿宋_GB2312"/>
          <w:sz w:val="32"/>
          <w:szCs w:val="32"/>
          <w:highlight w:val="none"/>
          <w:lang w:val="en-US"/>
        </w:rPr>
      </w:pPr>
      <w:r>
        <w:rPr>
          <w:rFonts w:hint="eastAsia" w:ascii="Times New Roman" w:hAnsi="Times New Roman" w:eastAsia="仿宋_GB2312"/>
          <w:sz w:val="32"/>
          <w:szCs w:val="32"/>
          <w:highlight w:val="none"/>
          <w:lang w:eastAsia="zh-CN"/>
        </w:rPr>
        <w:t>客服电话：</w:t>
      </w:r>
      <w:r>
        <w:rPr>
          <w:rFonts w:hint="eastAsia" w:ascii="Times New Roman" w:hAnsi="Times New Roman" w:eastAsia="仿宋_GB2312"/>
          <w:sz w:val="32"/>
          <w:szCs w:val="32"/>
          <w:highlight w:val="none"/>
          <w:lang w:val="en-US" w:eastAsia="zh-CN"/>
        </w:rPr>
        <w:t>96688</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eastAsia="zh-CN"/>
        </w:rPr>
        <w:t>投诉电话：</w:t>
      </w:r>
      <w:r>
        <w:rPr>
          <w:rFonts w:hint="eastAsia" w:ascii="Times New Roman" w:hAnsi="Times New Roman" w:eastAsia="仿宋_GB2312"/>
          <w:sz w:val="32"/>
          <w:szCs w:val="32"/>
          <w:highlight w:val="none"/>
          <w:lang w:val="en-US" w:eastAsia="zh-CN"/>
        </w:rPr>
        <w:t>0854-6222267</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eastAsia="zh-CN"/>
        </w:rPr>
        <w:t>各分支机构营业场所：</w:t>
      </w:r>
    </w:p>
    <w:tbl>
      <w:tblPr>
        <w:tblStyle w:val="6"/>
        <w:tblW w:w="8856" w:type="dxa"/>
        <w:tblInd w:w="0" w:type="dxa"/>
        <w:shd w:val="clear" w:color="auto" w:fill="auto"/>
        <w:tblLayout w:type="autofit"/>
        <w:tblCellMar>
          <w:top w:w="0" w:type="dxa"/>
          <w:left w:w="0" w:type="dxa"/>
          <w:bottom w:w="0" w:type="dxa"/>
          <w:right w:w="0" w:type="dxa"/>
        </w:tblCellMar>
      </w:tblPr>
      <w:tblGrid>
        <w:gridCol w:w="606"/>
        <w:gridCol w:w="1614"/>
        <w:gridCol w:w="1485"/>
        <w:gridCol w:w="5151"/>
      </w:tblGrid>
      <w:tr>
        <w:tblPrEx>
          <w:shd w:val="clear" w:color="auto" w:fill="auto"/>
          <w:tblCellMar>
            <w:top w:w="0" w:type="dxa"/>
            <w:left w:w="0" w:type="dxa"/>
            <w:bottom w:w="0" w:type="dxa"/>
            <w:right w:w="0" w:type="dxa"/>
          </w:tblCellMar>
        </w:tblPrEx>
        <w:trPr>
          <w:trHeight w:val="397" w:hRule="exact"/>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序号</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网点名称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联系电话</w:t>
            </w:r>
          </w:p>
        </w:tc>
        <w:tc>
          <w:tcPr>
            <w:tcW w:w="5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经营地址</w:t>
            </w:r>
          </w:p>
        </w:tc>
      </w:tr>
      <w:tr>
        <w:tblPrEx>
          <w:tblCellMar>
            <w:top w:w="0" w:type="dxa"/>
            <w:left w:w="0" w:type="dxa"/>
            <w:bottom w:w="0" w:type="dxa"/>
            <w:right w:w="0" w:type="dxa"/>
          </w:tblCellMar>
        </w:tblPrEx>
        <w:trPr>
          <w:trHeight w:val="397" w:hRule="exact"/>
        </w:trPr>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营业部</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0854-6230339</w:t>
            </w:r>
          </w:p>
        </w:tc>
        <w:tc>
          <w:tcPr>
            <w:tcW w:w="5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贵州省惠水县城北新区贵惠大道西侧</w:t>
            </w:r>
          </w:p>
        </w:tc>
      </w:tr>
      <w:tr>
        <w:tblPrEx>
          <w:tblCellMar>
            <w:top w:w="0" w:type="dxa"/>
            <w:left w:w="0" w:type="dxa"/>
            <w:bottom w:w="0" w:type="dxa"/>
            <w:right w:w="0" w:type="dxa"/>
          </w:tblCellMar>
        </w:tblPrEx>
        <w:trPr>
          <w:trHeight w:val="397" w:hRule="exact"/>
        </w:trPr>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振兴分理处</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0854-6225496</w:t>
            </w:r>
          </w:p>
        </w:tc>
        <w:tc>
          <w:tcPr>
            <w:tcW w:w="5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贵州省惠水县涟江街道办事处盛兴禧花园</w:t>
            </w:r>
          </w:p>
        </w:tc>
      </w:tr>
      <w:tr>
        <w:tblPrEx>
          <w:tblCellMar>
            <w:top w:w="0" w:type="dxa"/>
            <w:left w:w="0" w:type="dxa"/>
            <w:bottom w:w="0" w:type="dxa"/>
            <w:right w:w="0" w:type="dxa"/>
          </w:tblCellMar>
        </w:tblPrEx>
        <w:trPr>
          <w:trHeight w:val="397" w:hRule="exact"/>
        </w:trPr>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新城分理处</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0854-6226914</w:t>
            </w:r>
          </w:p>
        </w:tc>
        <w:tc>
          <w:tcPr>
            <w:tcW w:w="5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贵州省惠水县涟江街道办事处涟江南路涟江印象商住楼</w:t>
            </w:r>
          </w:p>
        </w:tc>
      </w:tr>
      <w:tr>
        <w:tblPrEx>
          <w:tblCellMar>
            <w:top w:w="0" w:type="dxa"/>
            <w:left w:w="0" w:type="dxa"/>
            <w:bottom w:w="0" w:type="dxa"/>
            <w:right w:w="0" w:type="dxa"/>
          </w:tblCellMar>
        </w:tblPrEx>
        <w:trPr>
          <w:trHeight w:val="397" w:hRule="exact"/>
        </w:trPr>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惠兴分理处</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0854-6221901</w:t>
            </w:r>
          </w:p>
        </w:tc>
        <w:tc>
          <w:tcPr>
            <w:tcW w:w="5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贵州省惠水县涟江街道办事处圆台东路4号</w:t>
            </w:r>
          </w:p>
        </w:tc>
      </w:tr>
      <w:tr>
        <w:tblPrEx>
          <w:tblCellMar>
            <w:top w:w="0" w:type="dxa"/>
            <w:left w:w="0" w:type="dxa"/>
            <w:bottom w:w="0" w:type="dxa"/>
            <w:right w:w="0" w:type="dxa"/>
          </w:tblCellMar>
        </w:tblPrEx>
        <w:trPr>
          <w:trHeight w:val="397" w:hRule="exact"/>
        </w:trPr>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时代分理处</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0854-6526889</w:t>
            </w:r>
          </w:p>
        </w:tc>
        <w:tc>
          <w:tcPr>
            <w:tcW w:w="5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贵州省惠水县涟江街道办事处纸酒路恒基时代广场</w:t>
            </w:r>
          </w:p>
        </w:tc>
      </w:tr>
      <w:tr>
        <w:tblPrEx>
          <w:tblCellMar>
            <w:top w:w="0" w:type="dxa"/>
            <w:left w:w="0" w:type="dxa"/>
            <w:bottom w:w="0" w:type="dxa"/>
            <w:right w:w="0" w:type="dxa"/>
          </w:tblCellMar>
        </w:tblPrEx>
        <w:trPr>
          <w:trHeight w:val="397" w:hRule="exact"/>
        </w:trPr>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凤山支行</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0854-6221901</w:t>
            </w:r>
          </w:p>
        </w:tc>
        <w:tc>
          <w:tcPr>
            <w:tcW w:w="5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贵州省惠水县涟江街道办事处圆台东路4号</w:t>
            </w:r>
          </w:p>
        </w:tc>
      </w:tr>
      <w:tr>
        <w:tblPrEx>
          <w:tblCellMar>
            <w:top w:w="0" w:type="dxa"/>
            <w:left w:w="0" w:type="dxa"/>
            <w:bottom w:w="0" w:type="dxa"/>
            <w:right w:w="0" w:type="dxa"/>
          </w:tblCellMar>
        </w:tblPrEx>
        <w:trPr>
          <w:trHeight w:val="397" w:hRule="exact"/>
        </w:trPr>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凤兴分理处</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0854-6221351</w:t>
            </w:r>
          </w:p>
        </w:tc>
        <w:tc>
          <w:tcPr>
            <w:tcW w:w="5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贵州省惠水县和平镇人民北路1号</w:t>
            </w:r>
          </w:p>
        </w:tc>
      </w:tr>
      <w:tr>
        <w:tblPrEx>
          <w:tblCellMar>
            <w:top w:w="0" w:type="dxa"/>
            <w:left w:w="0" w:type="dxa"/>
            <w:bottom w:w="0" w:type="dxa"/>
            <w:right w:w="0" w:type="dxa"/>
          </w:tblCellMar>
        </w:tblPrEx>
        <w:trPr>
          <w:trHeight w:val="397" w:hRule="exact"/>
        </w:trPr>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濛江支行</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0854-6327432</w:t>
            </w:r>
          </w:p>
        </w:tc>
        <w:tc>
          <w:tcPr>
            <w:tcW w:w="5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贵州省惠水县濛江街道办事处高镇村</w:t>
            </w:r>
          </w:p>
        </w:tc>
      </w:tr>
      <w:tr>
        <w:tblPrEx>
          <w:tblCellMar>
            <w:top w:w="0" w:type="dxa"/>
            <w:left w:w="0" w:type="dxa"/>
            <w:bottom w:w="0" w:type="dxa"/>
            <w:right w:w="0" w:type="dxa"/>
          </w:tblCellMar>
        </w:tblPrEx>
        <w:trPr>
          <w:trHeight w:val="397" w:hRule="exact"/>
        </w:trPr>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长田分理处</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0854-6358255</w:t>
            </w:r>
          </w:p>
        </w:tc>
        <w:tc>
          <w:tcPr>
            <w:tcW w:w="5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贵州省惠水县长田工业园区</w:t>
            </w:r>
          </w:p>
        </w:tc>
      </w:tr>
      <w:tr>
        <w:tblPrEx>
          <w:tblCellMar>
            <w:top w:w="0" w:type="dxa"/>
            <w:left w:w="0" w:type="dxa"/>
            <w:bottom w:w="0" w:type="dxa"/>
            <w:right w:w="0" w:type="dxa"/>
          </w:tblCellMar>
        </w:tblPrEx>
        <w:trPr>
          <w:trHeight w:val="397" w:hRule="exact"/>
        </w:trPr>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好花红支行</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0854-6424232</w:t>
            </w:r>
          </w:p>
        </w:tc>
        <w:tc>
          <w:tcPr>
            <w:tcW w:w="5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贵州省惠水县好花红镇三都村</w:t>
            </w:r>
          </w:p>
        </w:tc>
      </w:tr>
      <w:tr>
        <w:tblPrEx>
          <w:tblCellMar>
            <w:top w:w="0" w:type="dxa"/>
            <w:left w:w="0" w:type="dxa"/>
            <w:bottom w:w="0" w:type="dxa"/>
            <w:right w:w="0" w:type="dxa"/>
          </w:tblCellMar>
        </w:tblPrEx>
        <w:trPr>
          <w:trHeight w:val="397" w:hRule="exact"/>
        </w:trPr>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毛家苑支行</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0854-6429443</w:t>
            </w:r>
          </w:p>
        </w:tc>
        <w:tc>
          <w:tcPr>
            <w:tcW w:w="5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贵州省惠水县好花红镇新门村</w:t>
            </w:r>
          </w:p>
        </w:tc>
      </w:tr>
      <w:tr>
        <w:tblPrEx>
          <w:tblCellMar>
            <w:top w:w="0" w:type="dxa"/>
            <w:left w:w="0" w:type="dxa"/>
            <w:bottom w:w="0" w:type="dxa"/>
            <w:right w:w="0" w:type="dxa"/>
          </w:tblCellMar>
        </w:tblPrEx>
        <w:trPr>
          <w:trHeight w:val="397" w:hRule="exact"/>
        </w:trPr>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摆金支行</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0854-6524611</w:t>
            </w:r>
          </w:p>
        </w:tc>
        <w:tc>
          <w:tcPr>
            <w:tcW w:w="5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贵州省惠水县摆金镇摆金村</w:t>
            </w:r>
          </w:p>
        </w:tc>
      </w:tr>
      <w:tr>
        <w:tblPrEx>
          <w:tblCellMar>
            <w:top w:w="0" w:type="dxa"/>
            <w:left w:w="0" w:type="dxa"/>
            <w:bottom w:w="0" w:type="dxa"/>
            <w:right w:w="0" w:type="dxa"/>
          </w:tblCellMar>
        </w:tblPrEx>
        <w:trPr>
          <w:trHeight w:val="397" w:hRule="exact"/>
        </w:trPr>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岗度分理处</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0854-6534808</w:t>
            </w:r>
          </w:p>
        </w:tc>
        <w:tc>
          <w:tcPr>
            <w:tcW w:w="5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贵州省惠水县岗度镇岗度村</w:t>
            </w:r>
          </w:p>
        </w:tc>
      </w:tr>
      <w:tr>
        <w:tblPrEx>
          <w:tblCellMar>
            <w:top w:w="0" w:type="dxa"/>
            <w:left w:w="0" w:type="dxa"/>
            <w:bottom w:w="0" w:type="dxa"/>
            <w:right w:w="0" w:type="dxa"/>
          </w:tblCellMar>
        </w:tblPrEx>
        <w:trPr>
          <w:trHeight w:val="397" w:hRule="exact"/>
        </w:trPr>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雅水支行</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0854-6564746</w:t>
            </w:r>
          </w:p>
        </w:tc>
        <w:tc>
          <w:tcPr>
            <w:tcW w:w="5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贵州省惠水县雅水镇雅水村</w:t>
            </w:r>
          </w:p>
        </w:tc>
      </w:tr>
      <w:tr>
        <w:tblPrEx>
          <w:tblCellMar>
            <w:top w:w="0" w:type="dxa"/>
            <w:left w:w="0" w:type="dxa"/>
            <w:bottom w:w="0" w:type="dxa"/>
            <w:right w:w="0" w:type="dxa"/>
          </w:tblCellMar>
        </w:tblPrEx>
        <w:trPr>
          <w:trHeight w:val="397" w:hRule="exact"/>
        </w:trPr>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芦山支行</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0854-6494824</w:t>
            </w:r>
          </w:p>
        </w:tc>
        <w:tc>
          <w:tcPr>
            <w:tcW w:w="5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贵州省惠水县芦山镇芦山村</w:t>
            </w:r>
          </w:p>
        </w:tc>
      </w:tr>
      <w:tr>
        <w:tblPrEx>
          <w:tblCellMar>
            <w:top w:w="0" w:type="dxa"/>
            <w:left w:w="0" w:type="dxa"/>
            <w:bottom w:w="0" w:type="dxa"/>
            <w:right w:w="0" w:type="dxa"/>
          </w:tblCellMar>
        </w:tblPrEx>
        <w:trPr>
          <w:trHeight w:val="397" w:hRule="exact"/>
        </w:trPr>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王佑支行</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0854-6488801</w:t>
            </w:r>
          </w:p>
        </w:tc>
        <w:tc>
          <w:tcPr>
            <w:tcW w:w="5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贵州省惠水县王佑镇王佑村</w:t>
            </w:r>
          </w:p>
        </w:tc>
      </w:tr>
      <w:tr>
        <w:tblPrEx>
          <w:tblCellMar>
            <w:top w:w="0" w:type="dxa"/>
            <w:left w:w="0" w:type="dxa"/>
            <w:bottom w:w="0" w:type="dxa"/>
            <w:right w:w="0" w:type="dxa"/>
          </w:tblCellMar>
        </w:tblPrEx>
        <w:trPr>
          <w:trHeight w:val="397" w:hRule="exact"/>
        </w:trPr>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17</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羡塘支行</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0854-6459088</w:t>
            </w:r>
          </w:p>
        </w:tc>
        <w:tc>
          <w:tcPr>
            <w:tcW w:w="5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贵州省惠水县羡塘镇红旗村</w:t>
            </w:r>
          </w:p>
        </w:tc>
      </w:tr>
      <w:tr>
        <w:tblPrEx>
          <w:tblCellMar>
            <w:top w:w="0" w:type="dxa"/>
            <w:left w:w="0" w:type="dxa"/>
            <w:bottom w:w="0" w:type="dxa"/>
            <w:right w:w="0" w:type="dxa"/>
          </w:tblCellMar>
        </w:tblPrEx>
        <w:trPr>
          <w:trHeight w:val="397" w:hRule="exact"/>
        </w:trPr>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断杉支行</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0854-6454369</w:t>
            </w:r>
          </w:p>
        </w:tc>
        <w:tc>
          <w:tcPr>
            <w:tcW w:w="5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贵州省惠水县断杉镇八大村街上</w:t>
            </w:r>
          </w:p>
        </w:tc>
      </w:tr>
      <w:tr>
        <w:tblPrEx>
          <w:tblCellMar>
            <w:top w:w="0" w:type="dxa"/>
            <w:left w:w="0" w:type="dxa"/>
            <w:bottom w:w="0" w:type="dxa"/>
            <w:right w:w="0" w:type="dxa"/>
          </w:tblCellMar>
        </w:tblPrEx>
        <w:trPr>
          <w:trHeight w:val="397" w:hRule="exact"/>
        </w:trPr>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19</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环南支行</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0854-6226196</w:t>
            </w:r>
          </w:p>
        </w:tc>
        <w:tc>
          <w:tcPr>
            <w:tcW w:w="5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贵州省惠水县涟江街道办事处振兴路106号</w:t>
            </w:r>
          </w:p>
        </w:tc>
      </w:tr>
      <w:tr>
        <w:tblPrEx>
          <w:tblCellMar>
            <w:top w:w="0" w:type="dxa"/>
            <w:left w:w="0" w:type="dxa"/>
            <w:bottom w:w="0" w:type="dxa"/>
            <w:right w:w="0" w:type="dxa"/>
          </w:tblCellMar>
        </w:tblPrEx>
        <w:trPr>
          <w:trHeight w:val="397" w:hRule="exact"/>
        </w:trPr>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涟江分理处</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0854-6230339</w:t>
            </w:r>
          </w:p>
        </w:tc>
        <w:tc>
          <w:tcPr>
            <w:tcW w:w="5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贵州省惠水县城北新区贵惠大道西侧</w:t>
            </w:r>
          </w:p>
        </w:tc>
      </w:tr>
      <w:tr>
        <w:tblPrEx>
          <w:tblCellMar>
            <w:top w:w="0" w:type="dxa"/>
            <w:left w:w="0" w:type="dxa"/>
            <w:bottom w:w="0" w:type="dxa"/>
            <w:right w:w="0" w:type="dxa"/>
          </w:tblCellMar>
        </w:tblPrEx>
        <w:trPr>
          <w:trHeight w:val="397" w:hRule="exact"/>
        </w:trPr>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南苑分理处</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0854-6320086</w:t>
            </w:r>
          </w:p>
        </w:tc>
        <w:tc>
          <w:tcPr>
            <w:tcW w:w="5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贵州省惠水县涟江街道县府南路南苑花城</w:t>
            </w:r>
          </w:p>
        </w:tc>
      </w:tr>
      <w:tr>
        <w:tblPrEx>
          <w:tblCellMar>
            <w:top w:w="0" w:type="dxa"/>
            <w:left w:w="0" w:type="dxa"/>
            <w:bottom w:w="0" w:type="dxa"/>
            <w:right w:w="0" w:type="dxa"/>
          </w:tblCellMar>
        </w:tblPrEx>
        <w:trPr>
          <w:trHeight w:val="397" w:hRule="exact"/>
        </w:trPr>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22</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三都分理处</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0854-6424232</w:t>
            </w:r>
          </w:p>
        </w:tc>
        <w:tc>
          <w:tcPr>
            <w:tcW w:w="5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spacing w:line="560" w:lineRule="exact"/>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贵州省惠水县好花红镇三都村</w:t>
            </w:r>
          </w:p>
        </w:tc>
      </w:tr>
    </w:tbl>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9"/>
        <w:rPr>
          <w:rFonts w:ascii="Times New Roman" w:hAnsi="Times New Roman" w:eastAsia="黑体"/>
          <w:sz w:val="32"/>
          <w:szCs w:val="32"/>
          <w:highlight w:val="none"/>
        </w:rPr>
      </w:pPr>
      <w:r>
        <w:rPr>
          <w:rFonts w:hint="eastAsia" w:ascii="Times New Roman" w:hAnsi="Times New Roman" w:eastAsia="黑体"/>
          <w:sz w:val="32"/>
          <w:szCs w:val="32"/>
          <w:highlight w:val="none"/>
        </w:rPr>
        <w:t>七、本行经营范围</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仿宋_GB2312"/>
          <w:color w:val="000000"/>
          <w:kern w:val="0"/>
          <w:sz w:val="32"/>
          <w:szCs w:val="32"/>
          <w:highlight w:val="none"/>
        </w:rPr>
      </w:pPr>
      <w:r>
        <w:rPr>
          <w:rFonts w:hint="eastAsia" w:ascii="Times New Roman" w:hAnsi="Times New Roman" w:eastAsia="仿宋_GB2312"/>
          <w:kern w:val="0"/>
          <w:sz w:val="32"/>
          <w:szCs w:val="32"/>
          <w:highlight w:val="none"/>
        </w:rPr>
        <w:t>本行《企业法人营业执照》列示的经营范围包括：</w:t>
      </w:r>
      <w:r>
        <w:rPr>
          <w:rFonts w:hint="eastAsia" w:ascii="Times New Roman" w:hAnsi="Times New Roman" w:eastAsia="仿宋_GB2312"/>
          <w:color w:val="000000"/>
          <w:kern w:val="0"/>
          <w:sz w:val="32"/>
          <w:szCs w:val="32"/>
          <w:highlight w:val="none"/>
        </w:rPr>
        <w:t>经营中国银行业监督管理委员会依照有关法律、行政法规和其他规定批准的业务，经营范围以批准文件所规定的为准。（依法须经批准的项目，经相关部门批准后方可开展经营活动）。</w:t>
      </w:r>
    </w:p>
    <w:p>
      <w:pPr>
        <w:keepNext w:val="0"/>
        <w:keepLines w:val="0"/>
        <w:pageBreakBefore w:val="0"/>
        <w:widowControl/>
        <w:kinsoku/>
        <w:wordWrap/>
        <w:overflowPunct/>
        <w:autoSpaceDE/>
        <w:autoSpaceDN/>
        <w:bidi w:val="0"/>
        <w:adjustRightInd w:val="0"/>
        <w:snapToGrid w:val="0"/>
        <w:spacing w:line="560" w:lineRule="exact"/>
        <w:jc w:val="center"/>
        <w:rPr>
          <w:rFonts w:hint="eastAsia" w:ascii="Times New Roman" w:hAnsi="Times New Roman" w:eastAsia="黑体"/>
          <w:color w:val="FF0000"/>
          <w:sz w:val="32"/>
          <w:szCs w:val="32"/>
          <w:highlight w:val="none"/>
        </w:rPr>
      </w:pPr>
      <w:bookmarkStart w:id="1" w:name="_Toc193883020"/>
    </w:p>
    <w:bookmarkEnd w:id="1"/>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ascii="Times New Roman" w:hAnsi="Times New Roman" w:eastAsia="黑体"/>
          <w:color w:val="auto"/>
          <w:sz w:val="32"/>
          <w:szCs w:val="32"/>
          <w:highlight w:val="none"/>
        </w:rPr>
      </w:pPr>
      <w:bookmarkStart w:id="2" w:name="_Toc16918_WPSOffice_Level1"/>
      <w:r>
        <w:rPr>
          <w:rFonts w:hint="eastAsia"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eastAsia="zh-CN"/>
        </w:rPr>
        <w:t>二</w:t>
      </w:r>
      <w:r>
        <w:rPr>
          <w:rFonts w:hint="eastAsia" w:ascii="Times New Roman" w:hAnsi="Times New Roman" w:eastAsia="黑体"/>
          <w:color w:val="auto"/>
          <w:sz w:val="32"/>
          <w:szCs w:val="32"/>
          <w:highlight w:val="none"/>
        </w:rPr>
        <w:t>章</w:t>
      </w:r>
      <w:r>
        <w:rPr>
          <w:rFonts w:ascii="Times New Roman" w:hAnsi="Times New Roman" w:eastAsia="黑体"/>
          <w:color w:val="auto"/>
          <w:sz w:val="32"/>
          <w:szCs w:val="32"/>
          <w:highlight w:val="none"/>
        </w:rPr>
        <w:t xml:space="preserve">  </w:t>
      </w:r>
      <w:r>
        <w:rPr>
          <w:rFonts w:hint="eastAsia" w:ascii="Times New Roman" w:hAnsi="Times New Roman" w:eastAsia="黑体"/>
          <w:color w:val="auto"/>
          <w:sz w:val="32"/>
          <w:szCs w:val="32"/>
          <w:highlight w:val="none"/>
        </w:rPr>
        <w:t>财务会计报告</w:t>
      </w:r>
      <w:bookmarkEnd w:id="2"/>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黑体"/>
          <w:color w:val="auto"/>
          <w:sz w:val="32"/>
          <w:szCs w:val="32"/>
          <w:highlight w:val="none"/>
        </w:rPr>
      </w:pPr>
      <w:bookmarkStart w:id="3" w:name="_Toc20615_WPSOffice_Level2"/>
      <w:r>
        <w:rPr>
          <w:rFonts w:hint="eastAsia" w:ascii="Times New Roman" w:hAnsi="Times New Roman" w:eastAsia="黑体"/>
          <w:color w:val="auto"/>
          <w:sz w:val="32"/>
          <w:szCs w:val="32"/>
          <w:highlight w:val="none"/>
        </w:rPr>
        <w:t>一、会计报表附注</w:t>
      </w:r>
      <w:bookmarkEnd w:id="3"/>
    </w:p>
    <w:p>
      <w:pPr>
        <w:keepNext w:val="0"/>
        <w:keepLines w:val="0"/>
        <w:pageBreakBefore w:val="0"/>
        <w:kinsoku/>
        <w:wordWrap/>
        <w:overflowPunct/>
        <w:topLinePunct w:val="0"/>
        <w:autoSpaceDE/>
        <w:autoSpaceDN/>
        <w:bidi w:val="0"/>
        <w:adjustRightInd w:val="0"/>
        <w:snapToGrid w:val="0"/>
        <w:spacing w:line="560" w:lineRule="exact"/>
        <w:ind w:firstLine="627" w:firstLineChars="196"/>
        <w:textAlignment w:val="auto"/>
        <w:outlineLvl w:val="9"/>
        <w:rPr>
          <w:rFonts w:ascii="Times New Roman" w:hAnsi="Times New Roman" w:eastAsia="仿宋_GB2312"/>
          <w:color w:val="FF0000"/>
          <w:sz w:val="32"/>
          <w:szCs w:val="32"/>
          <w:highlight w:val="none"/>
        </w:rPr>
      </w:pPr>
      <w:r>
        <w:rPr>
          <w:rFonts w:hint="eastAsia" w:ascii="Times New Roman" w:hAnsi="Times New Roman" w:eastAsia="仿宋_GB2312"/>
          <w:color w:val="auto"/>
          <w:sz w:val="32"/>
          <w:szCs w:val="32"/>
          <w:highlight w:val="none"/>
        </w:rPr>
        <w:t>本财务报表以持续经营为基础编制，根据实际发生的交易和事项，按照《企业会计准则---基本准则》和其他各项会计准则的规定进行确认和计量，在此基础上编制财务报表。</w:t>
      </w:r>
      <w:r>
        <w:rPr>
          <w:rFonts w:hint="eastAsia" w:ascii="Times New Roman" w:hAnsi="Times New Roman" w:eastAsia="仿宋_GB2312"/>
          <w:color w:val="FF0000"/>
          <w:sz w:val="32"/>
          <w:szCs w:val="32"/>
          <w:highlight w:val="none"/>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27" w:firstLineChars="196"/>
        <w:textAlignment w:val="auto"/>
        <w:outlineLvl w:val="9"/>
        <w:rPr>
          <w:rFonts w:ascii="Times New Roman" w:hAnsi="Times New Roman" w:eastAsia="黑体"/>
          <w:sz w:val="32"/>
          <w:szCs w:val="32"/>
          <w:highlight w:val="none"/>
        </w:rPr>
      </w:pPr>
      <w:r>
        <w:rPr>
          <w:rFonts w:hint="eastAsia" w:ascii="Times New Roman" w:hAnsi="Times New Roman" w:eastAsia="黑体"/>
          <w:sz w:val="32"/>
          <w:szCs w:val="32"/>
          <w:highlight w:val="none"/>
        </w:rPr>
        <w:t>（一）会计师事务所审计意见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我们审计了贵州惠水农村商业银行股份有限公司（以下简称贵行）财务报表，包括 2023 年 12 月 31 日的资产负债表，2023 年度的利润表、损益表、现金流量表、所有者权益变动表及相关财务报表附注。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我们认为，后附的财务报表在所有重大方面按照企业会计准则的规定编制，公允反映了贵行 2023 年 12 月 31 日的财务状况以及 2023 年度的经营成果和现金流量。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（二）会计政策和会计估计变更</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1.</w:t>
      </w:r>
      <w:r>
        <w:rPr>
          <w:rFonts w:hint="eastAsia" w:ascii="Times New Roman" w:hAnsi="Times New Roman" w:eastAsia="仿宋_GB2312"/>
          <w:color w:val="auto"/>
          <w:kern w:val="0"/>
          <w:sz w:val="32"/>
          <w:szCs w:val="32"/>
          <w:highlight w:val="none"/>
        </w:rPr>
        <w:t>会计制度。根据财政部、银保监会于2020年12月30日发布《关于进一步贯彻落实新金融工具相关会计准则的通知》财会〔2020〕22号文件，执行企业会计准则的非上市企业自2021年1月1日起施行《企业会计准则第22号——金融工具确认和计量》（财会〔2017〕7号）、《企业会计准则第23号——金融资产转移》（财会〔2017〕8号）、《企业会计准则第24号——套期会计》（财会〔2017〕9号）和《企业会计准则第37号——金融工具列报》（财会〔2017〕14号），简称新金融工具相关会计准则。贵州省农村信用社联合社及辖内各农村信用合作联社、农村商业银行于2021年1月1日起正式施行新金融工具相关会计准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仿宋_GB2312"/>
          <w:color w:val="auto"/>
          <w:kern w:val="0"/>
          <w:sz w:val="32"/>
          <w:szCs w:val="32"/>
          <w:highlight w:val="none"/>
        </w:rPr>
      </w:pPr>
      <w:r>
        <w:rPr>
          <w:rFonts w:ascii="Times New Roman" w:hAnsi="Times New Roman" w:eastAsia="仿宋_GB2312"/>
          <w:color w:val="auto"/>
          <w:sz w:val="32"/>
          <w:szCs w:val="32"/>
          <w:highlight w:val="none"/>
        </w:rPr>
        <w:t>2.</w:t>
      </w:r>
      <w:r>
        <w:rPr>
          <w:rFonts w:hint="eastAsia" w:ascii="Times New Roman" w:hAnsi="Times New Roman" w:eastAsia="仿宋_GB2312"/>
          <w:color w:val="auto"/>
          <w:sz w:val="32"/>
          <w:szCs w:val="32"/>
          <w:highlight w:val="none"/>
        </w:rPr>
        <w:t>本行的会计年度采用公历年度，即每年自1月1日起至12月31日止。</w:t>
      </w:r>
    </w:p>
    <w:p>
      <w:pPr>
        <w:keepNext w:val="0"/>
        <w:keepLines w:val="0"/>
        <w:pageBreakBefore w:val="0"/>
        <w:kinsoku/>
        <w:wordWrap/>
        <w:overflowPunct/>
        <w:topLinePunct w:val="0"/>
        <w:autoSpaceDE/>
        <w:autoSpaceDN/>
        <w:bidi w:val="0"/>
        <w:adjustRightInd w:val="0"/>
        <w:snapToGrid w:val="0"/>
        <w:spacing w:line="560" w:lineRule="exact"/>
        <w:ind w:firstLine="627" w:firstLineChars="196"/>
        <w:textAlignment w:val="auto"/>
        <w:outlineLvl w:val="9"/>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3.</w:t>
      </w:r>
      <w:r>
        <w:rPr>
          <w:rFonts w:hint="eastAsia" w:ascii="Times New Roman" w:hAnsi="Times New Roman" w:eastAsia="仿宋_GB2312"/>
          <w:color w:val="auto"/>
          <w:kern w:val="0"/>
          <w:sz w:val="32"/>
          <w:szCs w:val="32"/>
          <w:highlight w:val="none"/>
        </w:rPr>
        <w:t>记账基础和计价原则。以权责发生制为记账原则，以历史成本为计价基础。</w:t>
      </w:r>
    </w:p>
    <w:p>
      <w:pPr>
        <w:keepNext w:val="0"/>
        <w:keepLines w:val="0"/>
        <w:pageBreakBefore w:val="0"/>
        <w:kinsoku/>
        <w:wordWrap/>
        <w:overflowPunct/>
        <w:topLinePunct w:val="0"/>
        <w:autoSpaceDE/>
        <w:autoSpaceDN/>
        <w:bidi w:val="0"/>
        <w:adjustRightInd w:val="0"/>
        <w:snapToGrid w:val="0"/>
        <w:spacing w:line="560" w:lineRule="exact"/>
        <w:ind w:firstLine="627" w:firstLineChars="196"/>
        <w:textAlignment w:val="auto"/>
        <w:outlineLvl w:val="9"/>
        <w:rPr>
          <w:rFonts w:ascii="Times New Roman" w:hAnsi="Times New Roman" w:eastAsia="黑体"/>
          <w:kern w:val="0"/>
          <w:sz w:val="32"/>
          <w:szCs w:val="32"/>
          <w:highlight w:val="none"/>
        </w:rPr>
      </w:pPr>
      <w:r>
        <w:rPr>
          <w:rFonts w:hint="eastAsia" w:ascii="Times New Roman" w:hAnsi="Times New Roman" w:eastAsia="黑体"/>
          <w:kern w:val="0"/>
          <w:sz w:val="32"/>
          <w:szCs w:val="32"/>
          <w:highlight w:val="none"/>
        </w:rPr>
        <w:t>（三）关联交易情况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2023年，本行一般关联交易共计发生95笔，金额9650.97万元。均按规定向董事会下设合规与关联交易委员会报备。2023年，我行重大关联交易发生2笔，金额3963万元。关联方贷款执行利率、结息周期等参照相关贷款品种执行，无优于其他同类贷款的问题，未对关联方发放关系人贷款。</w:t>
      </w:r>
    </w:p>
    <w:p>
      <w:pPr>
        <w:keepNext w:val="0"/>
        <w:keepLines w:val="0"/>
        <w:pageBreakBefore w:val="0"/>
        <w:widowControl/>
        <w:kinsoku/>
        <w:wordWrap/>
        <w:overflowPunct/>
        <w:autoSpaceDE/>
        <w:autoSpaceDN/>
        <w:bidi w:val="0"/>
        <w:adjustRightInd w:val="0"/>
        <w:snapToGrid w:val="0"/>
        <w:spacing w:line="560" w:lineRule="exact"/>
        <w:ind w:firstLine="640" w:firstLineChars="200"/>
        <w:jc w:val="left"/>
        <w:textAlignment w:val="auto"/>
        <w:outlineLvl w:val="9"/>
        <w:rPr>
          <w:rFonts w:ascii="Times New Roman" w:hAnsi="Times New Roman" w:eastAsia="黑体"/>
          <w:sz w:val="32"/>
          <w:szCs w:val="32"/>
          <w:highlight w:val="none"/>
        </w:rPr>
      </w:pPr>
      <w:bookmarkStart w:id="4" w:name="_Toc28232_WPSOffice_Level2"/>
      <w:r>
        <w:rPr>
          <w:rFonts w:hint="eastAsia" w:ascii="Times New Roman" w:hAnsi="Times New Roman" w:eastAsia="黑体"/>
          <w:sz w:val="32"/>
          <w:szCs w:val="32"/>
          <w:highlight w:val="none"/>
        </w:rPr>
        <w:t>二、财务情况说明书</w:t>
      </w:r>
      <w:bookmarkEnd w:id="4"/>
      <w:bookmarkStart w:id="5" w:name="_Toc193883038"/>
    </w:p>
    <w:bookmarkEnd w:id="5"/>
    <w:p>
      <w:pPr>
        <w:keepNext w:val="0"/>
        <w:keepLines w:val="0"/>
        <w:pageBreakBefore w:val="0"/>
        <w:numPr>
          <w:ilvl w:val="0"/>
          <w:numId w:val="0"/>
        </w:numPr>
        <w:kinsoku/>
        <w:wordWrap/>
        <w:overflowPunct/>
        <w:topLinePunct/>
        <w:autoSpaceDE/>
        <w:autoSpaceDN/>
        <w:bidi w:val="0"/>
        <w:adjustRightInd w:val="0"/>
        <w:snapToGrid w:val="0"/>
        <w:spacing w:line="560" w:lineRule="exact"/>
        <w:ind w:firstLine="640" w:firstLineChars="200"/>
        <w:jc w:val="left"/>
        <w:textAlignment w:val="auto"/>
        <w:outlineLvl w:val="9"/>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报告期内，本行实现了规模、效益、质量同步增长。截止报告期末，本行资产总额</w:t>
      </w:r>
      <w:r>
        <w:rPr>
          <w:rFonts w:hint="eastAsia" w:ascii="Times New Roman" w:hAnsi="Times New Roman" w:eastAsia="仿宋_GB2312"/>
          <w:color w:val="auto"/>
          <w:sz w:val="32"/>
          <w:szCs w:val="32"/>
          <w:highlight w:val="none"/>
          <w:lang w:val="en-US" w:eastAsia="zh-CN"/>
        </w:rPr>
        <w:t>81.14</w:t>
      </w:r>
      <w:r>
        <w:rPr>
          <w:rFonts w:ascii="Times New Roman" w:hAnsi="Times New Roman" w:eastAsia="仿宋_GB2312"/>
          <w:color w:val="auto"/>
          <w:sz w:val="32"/>
          <w:szCs w:val="32"/>
          <w:highlight w:val="none"/>
        </w:rPr>
        <w:t>亿元，</w:t>
      </w:r>
      <w:r>
        <w:rPr>
          <w:rFonts w:hint="eastAsia" w:ascii="Times New Roman" w:hAnsi="Times New Roman" w:eastAsia="仿宋_GB2312"/>
          <w:color w:val="auto"/>
          <w:sz w:val="32"/>
          <w:szCs w:val="32"/>
          <w:highlight w:val="none"/>
        </w:rPr>
        <w:t>较年初</w:t>
      </w:r>
      <w:r>
        <w:rPr>
          <w:rFonts w:ascii="Times New Roman" w:hAnsi="Times New Roman" w:eastAsia="仿宋_GB2312"/>
          <w:color w:val="auto"/>
          <w:sz w:val="32"/>
          <w:szCs w:val="32"/>
          <w:highlight w:val="none"/>
        </w:rPr>
        <w:t>增加</w:t>
      </w:r>
      <w:r>
        <w:rPr>
          <w:rFonts w:hint="eastAsia" w:ascii="Times New Roman" w:hAnsi="Times New Roman" w:eastAsia="仿宋_GB2312"/>
          <w:color w:val="auto"/>
          <w:sz w:val="32"/>
          <w:szCs w:val="32"/>
          <w:highlight w:val="none"/>
          <w:lang w:val="en-US" w:eastAsia="zh-CN"/>
        </w:rPr>
        <w:t>7.45</w:t>
      </w:r>
      <w:r>
        <w:rPr>
          <w:rFonts w:ascii="Times New Roman" w:hAnsi="Times New Roman" w:eastAsia="仿宋_GB2312"/>
          <w:color w:val="auto"/>
          <w:sz w:val="32"/>
          <w:szCs w:val="32"/>
          <w:highlight w:val="none"/>
        </w:rPr>
        <w:t>亿元，增幅为</w:t>
      </w:r>
      <w:r>
        <w:rPr>
          <w:rFonts w:hint="eastAsia" w:ascii="Times New Roman" w:hAnsi="Times New Roman" w:eastAsia="仿宋_GB2312"/>
          <w:color w:val="auto"/>
          <w:sz w:val="32"/>
          <w:szCs w:val="32"/>
          <w:highlight w:val="none"/>
          <w:lang w:val="en-US" w:eastAsia="zh-CN"/>
        </w:rPr>
        <w:t>10.12</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2023年12月末，我行小微企业贷款增速4.68%,普惠型小微企业贷款增速8.41%，高于各类贷款（剔除转贴现）增速2.8个百分点，当年累放普惠小微型企业贷款加权平均利率较上年度平均值降低了0.33个百分点，完成“两增两控”阶段性目标，保持小微企业贷款业务平稳发展。</w:t>
      </w:r>
    </w:p>
    <w:p>
      <w:pPr>
        <w:keepNext w:val="0"/>
        <w:keepLines w:val="0"/>
        <w:pageBreakBefore w:val="0"/>
        <w:kinsoku/>
        <w:wordWrap/>
        <w:overflowPunct/>
        <w:topLinePunct/>
        <w:autoSpaceDE/>
        <w:autoSpaceDN/>
        <w:bidi w:val="0"/>
        <w:adjustRightInd w:val="0"/>
        <w:snapToGrid w:val="0"/>
        <w:spacing w:line="560" w:lineRule="exact"/>
        <w:jc w:val="center"/>
        <w:textAlignment w:val="auto"/>
        <w:outlineLvl w:val="9"/>
        <w:rPr>
          <w:rFonts w:hint="eastAsia" w:ascii="黑体" w:hAnsi="黑体" w:eastAsia="黑体" w:cs="黑体"/>
          <w:color w:val="auto"/>
          <w:sz w:val="32"/>
          <w:szCs w:val="32"/>
          <w:highlight w:val="none"/>
        </w:rPr>
      </w:pPr>
      <w:bookmarkStart w:id="6" w:name="_Toc5869_WPSOffice_Level1"/>
    </w:p>
    <w:p>
      <w:pPr>
        <w:keepNext w:val="0"/>
        <w:keepLines w:val="0"/>
        <w:pageBreakBefore w:val="0"/>
        <w:kinsoku/>
        <w:wordWrap/>
        <w:overflowPunct/>
        <w:topLinePunct/>
        <w:autoSpaceDE/>
        <w:autoSpaceDN/>
        <w:bidi w:val="0"/>
        <w:adjustRightInd w:val="0"/>
        <w:snapToGrid w:val="0"/>
        <w:spacing w:line="560" w:lineRule="exact"/>
        <w:jc w:val="center"/>
        <w:textAlignment w:val="auto"/>
        <w:outlineLvl w:val="9"/>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章   风险管理状况</w:t>
      </w:r>
      <w:bookmarkEnd w:id="6"/>
    </w:p>
    <w:p>
      <w:pPr>
        <w:keepNext w:val="0"/>
        <w:keepLines w:val="0"/>
        <w:pageBreakBefore w:val="0"/>
        <w:kinsoku/>
        <w:wordWrap/>
        <w:overflowPunct/>
        <w:topLinePunct/>
        <w:autoSpaceDE/>
        <w:autoSpaceDN/>
        <w:bidi w:val="0"/>
        <w:adjustRightInd w:val="0"/>
        <w:snapToGrid w:val="0"/>
        <w:spacing w:line="560" w:lineRule="exact"/>
        <w:ind w:firstLine="640" w:firstLineChars="200"/>
        <w:jc w:val="left"/>
        <w:textAlignment w:val="auto"/>
        <w:outlineLvl w:val="9"/>
        <w:rPr>
          <w:rFonts w:ascii="黑体" w:hAnsi="黑体" w:eastAsia="黑体" w:cs="黑体"/>
          <w:color w:val="auto"/>
          <w:sz w:val="32"/>
          <w:szCs w:val="32"/>
          <w:highlight w:val="none"/>
        </w:rPr>
      </w:pPr>
      <w:bookmarkStart w:id="7" w:name="_Toc7302_WPSOffice_Level2"/>
      <w:r>
        <w:rPr>
          <w:rFonts w:hint="eastAsia" w:ascii="黑体" w:hAnsi="黑体" w:eastAsia="黑体" w:cs="黑体"/>
          <w:color w:val="auto"/>
          <w:sz w:val="32"/>
          <w:szCs w:val="32"/>
          <w:highlight w:val="none"/>
        </w:rPr>
        <w:t>一、风险管理概述</w:t>
      </w:r>
      <w:bookmarkEnd w:id="7"/>
    </w:p>
    <w:p>
      <w:pPr>
        <w:keepNext w:val="0"/>
        <w:keepLines w:val="0"/>
        <w:pageBreakBefore w:val="0"/>
        <w:kinsoku/>
        <w:wordWrap/>
        <w:overflowPunct/>
        <w:topLinePunct/>
        <w:autoSpaceDE/>
        <w:autoSpaceDN/>
        <w:bidi w:val="0"/>
        <w:adjustRightInd w:val="0"/>
        <w:snapToGrid w:val="0"/>
        <w:spacing w:line="560" w:lineRule="exact"/>
        <w:ind w:firstLine="640" w:firstLineChars="200"/>
        <w:jc w:val="left"/>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本行从事的银行等金融业务具有各种类型的风险，业务经营中主要面临信用风险、流动性风险、市场风险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操作风险</w:t>
      </w:r>
      <w:r>
        <w:rPr>
          <w:rFonts w:hint="eastAsia" w:ascii="仿宋_GB2312" w:hAnsi="仿宋_GB2312" w:eastAsia="仿宋_GB2312" w:cs="仿宋_GB2312"/>
          <w:color w:val="auto"/>
          <w:sz w:val="32"/>
          <w:szCs w:val="32"/>
          <w:highlight w:val="none"/>
          <w:lang w:eastAsia="zh-CN"/>
        </w:rPr>
        <w:t>和声誉风险</w:t>
      </w:r>
      <w:r>
        <w:rPr>
          <w:rFonts w:hint="eastAsia" w:ascii="仿宋_GB2312" w:hAnsi="仿宋_GB2312" w:eastAsia="仿宋_GB2312" w:cs="仿宋_GB2312"/>
          <w:color w:val="auto"/>
          <w:sz w:val="32"/>
          <w:szCs w:val="32"/>
          <w:highlight w:val="none"/>
        </w:rPr>
        <w:t>。风险管理的目标是在风险和收益之间取得适当的平衡，确保在合理的风险水平下安全、稳健经营。</w:t>
      </w:r>
    </w:p>
    <w:p>
      <w:pPr>
        <w:keepNext w:val="0"/>
        <w:keepLines w:val="0"/>
        <w:pageBreakBefore w:val="0"/>
        <w:kinsoku/>
        <w:wordWrap/>
        <w:overflowPunct/>
        <w:topLinePunct/>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针对以上风险，董事会制定全面风险管理战略，监督本行风险管理及内部控制，并评估全行总体风险；经营管理层根据董事会制定的风险管理战略，制定并推动执行相应的风险管理政策、制度和程序；合规风险部、综合运营部等部门共同构成本行风险管理的主要职能部门，具体执行各项风险管理的政策和制度；内部审计部门负责对本行的风险管理和</w:t>
      </w:r>
      <w:r>
        <w:rPr>
          <w:rFonts w:hint="eastAsia" w:ascii="仿宋_GB2312" w:hAnsi="仿宋_GB2312" w:eastAsia="仿宋_GB2312" w:cs="仿宋_GB2312"/>
          <w:color w:val="auto"/>
          <w:sz w:val="32"/>
          <w:szCs w:val="32"/>
          <w:highlight w:val="none"/>
          <w:lang w:eastAsia="zh-CN"/>
        </w:rPr>
        <w:t>内部控制</w:t>
      </w:r>
      <w:r>
        <w:rPr>
          <w:rFonts w:hint="eastAsia" w:ascii="仿宋_GB2312" w:hAnsi="仿宋_GB2312" w:eastAsia="仿宋_GB2312" w:cs="仿宋_GB2312"/>
          <w:color w:val="auto"/>
          <w:sz w:val="32"/>
          <w:szCs w:val="32"/>
          <w:highlight w:val="none"/>
        </w:rPr>
        <w:t>进行独立的审计。</w:t>
      </w:r>
    </w:p>
    <w:p>
      <w:pPr>
        <w:keepNext w:val="0"/>
        <w:keepLines w:val="0"/>
        <w:pageBreakBefore w:val="0"/>
        <w:kinsoku/>
        <w:wordWrap/>
        <w:overflowPunct/>
        <w:topLinePunct/>
        <w:autoSpaceDE/>
        <w:autoSpaceDN/>
        <w:bidi w:val="0"/>
        <w:adjustRightInd w:val="0"/>
        <w:snapToGrid w:val="0"/>
        <w:spacing w:line="560" w:lineRule="exact"/>
        <w:ind w:firstLine="640" w:firstLineChars="200"/>
        <w:jc w:val="left"/>
        <w:textAlignment w:val="auto"/>
        <w:outlineLvl w:val="9"/>
        <w:rPr>
          <w:rFonts w:ascii="黑体" w:hAnsi="黑体" w:eastAsia="黑体" w:cs="黑体"/>
          <w:color w:val="auto"/>
          <w:sz w:val="32"/>
          <w:szCs w:val="32"/>
          <w:highlight w:val="none"/>
        </w:rPr>
      </w:pPr>
      <w:bookmarkStart w:id="8" w:name="_Toc1469_WPSOffice_Level2"/>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、信用风险</w:t>
      </w:r>
      <w:bookmarkEnd w:id="8"/>
    </w:p>
    <w:p>
      <w:pPr>
        <w:keepNext w:val="0"/>
        <w:keepLines w:val="0"/>
        <w:pageBreakBefore w:val="0"/>
        <w:kinsoku/>
        <w:wordWrap/>
        <w:overflowPunct/>
        <w:topLinePunct/>
        <w:autoSpaceDE/>
        <w:autoSpaceDN/>
        <w:bidi w:val="0"/>
        <w:adjustRightInd w:val="0"/>
        <w:snapToGrid w:val="0"/>
        <w:spacing w:line="560" w:lineRule="exact"/>
        <w:ind w:firstLine="640" w:firstLineChars="200"/>
        <w:jc w:val="left"/>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信用风险是指借款人或交易对手无法履行到期合同约定的义务或承担的风险。信用风险主要存在于对公业务、对私业务和资金业务（包括债权性投资）之中。</w:t>
      </w:r>
    </w:p>
    <w:p>
      <w:pPr>
        <w:keepNext w:val="0"/>
        <w:keepLines w:val="0"/>
        <w:pageBreakBefore w:val="0"/>
        <w:kinsoku/>
        <w:wordWrap/>
        <w:overflowPunct/>
        <w:topLinePunct/>
        <w:autoSpaceDE/>
        <w:autoSpaceDN/>
        <w:bidi w:val="0"/>
        <w:adjustRightInd w:val="0"/>
        <w:snapToGrid w:val="0"/>
        <w:spacing w:line="560" w:lineRule="exact"/>
        <w:ind w:firstLine="640" w:firstLineChars="200"/>
        <w:jc w:val="left"/>
        <w:textAlignment w:val="auto"/>
        <w:outlineLvl w:val="9"/>
        <w:rPr>
          <w:rFonts w:ascii="仿宋_GB2312" w:hAnsi="仿宋_GB2312" w:eastAsia="仿宋_GB2312" w:cs="仿宋_GB2312"/>
          <w:color w:val="0000FF"/>
          <w:sz w:val="32"/>
          <w:szCs w:val="32"/>
          <w:highlight w:val="none"/>
        </w:rPr>
      </w:pPr>
      <w:r>
        <w:rPr>
          <w:rFonts w:hint="eastAsia" w:ascii="仿宋_GB2312" w:hAnsi="仿宋_GB2312" w:eastAsia="仿宋_GB2312" w:cs="仿宋_GB2312"/>
          <w:color w:val="auto"/>
          <w:sz w:val="32"/>
          <w:szCs w:val="32"/>
          <w:highlight w:val="none"/>
        </w:rPr>
        <w:t>本行对包括授信调查的申报、授信审查审批、贷款发放、贷后监控和不良贷款管理等环节的信贷业务全流程实行规范化管理</w:t>
      </w:r>
      <w:r>
        <w:rPr>
          <w:rFonts w:hint="eastAsia" w:ascii="仿宋_GB2312" w:hAnsi="仿宋_GB2312" w:eastAsia="仿宋_GB2312" w:cs="仿宋_GB2312"/>
          <w:color w:val="auto"/>
          <w:sz w:val="32"/>
          <w:szCs w:val="32"/>
          <w:highlight w:val="none"/>
          <w:lang w:eastAsia="zh-CN"/>
        </w:rPr>
        <w:t>；建立完善的信用风险管理体系，实行信贷“三查制度”，即贷前调查、贷时审查、贷后检查；实行统一授信管理制度，先授信、后用信；实行审贷分离制度，信贷经营与审批职能严格分离；实行责任追究制度，对违法违规造成的风险损失进行责任认定，对主管责任大小追究风险责任；实现前、中、后台分离，制定本行风险偏好，确定各类贷款的风险警戒线，</w:t>
      </w:r>
      <w:r>
        <w:rPr>
          <w:rFonts w:hint="eastAsia" w:ascii="仿宋_GB2312" w:hAnsi="仿宋_GB2312" w:eastAsia="仿宋_GB2312" w:cs="仿宋_GB2312"/>
          <w:color w:val="auto"/>
          <w:sz w:val="32"/>
          <w:szCs w:val="32"/>
          <w:highlight w:val="none"/>
        </w:rPr>
        <w:t>并参照中国银监会制定的《贷款风险分类指引》，制定信贷资产风险分类相关制度，做实分类，提足</w:t>
      </w:r>
      <w:r>
        <w:rPr>
          <w:rFonts w:hint="eastAsia" w:ascii="仿宋_GB2312" w:hAnsi="仿宋_GB2312" w:eastAsia="仿宋_GB2312" w:cs="仿宋_GB2312"/>
          <w:color w:val="auto"/>
          <w:sz w:val="32"/>
          <w:szCs w:val="32"/>
          <w:highlight w:val="none"/>
          <w:lang w:eastAsia="zh-CN"/>
        </w:rPr>
        <w:t>贷款损失</w:t>
      </w:r>
      <w:r>
        <w:rPr>
          <w:rFonts w:hint="eastAsia" w:ascii="仿宋_GB2312" w:hAnsi="仿宋_GB2312" w:eastAsia="仿宋_GB2312" w:cs="仿宋_GB2312"/>
          <w:color w:val="auto"/>
          <w:sz w:val="32"/>
          <w:szCs w:val="32"/>
          <w:highlight w:val="none"/>
        </w:rPr>
        <w:t>准备，有效管理贷款信用风险。</w:t>
      </w:r>
    </w:p>
    <w:p>
      <w:pPr>
        <w:keepNext w:val="0"/>
        <w:keepLines w:val="0"/>
        <w:pageBreakBefore w:val="0"/>
        <w:kinsoku/>
        <w:wordWrap/>
        <w:overflowPunct/>
        <w:topLinePunct/>
        <w:autoSpaceDE/>
        <w:autoSpaceDN/>
        <w:bidi w:val="0"/>
        <w:adjustRightInd w:val="0"/>
        <w:snapToGrid w:val="0"/>
        <w:spacing w:line="560" w:lineRule="exact"/>
        <w:ind w:firstLine="640" w:firstLineChars="200"/>
        <w:jc w:val="left"/>
        <w:textAlignment w:val="auto"/>
        <w:outlineLvl w:val="9"/>
        <w:rPr>
          <w:rFonts w:ascii="黑体" w:hAnsi="黑体" w:eastAsia="黑体" w:cs="黑体"/>
          <w:color w:val="auto"/>
          <w:sz w:val="32"/>
          <w:szCs w:val="32"/>
          <w:highlight w:val="none"/>
        </w:rPr>
      </w:pPr>
      <w:bookmarkStart w:id="9" w:name="_Toc3829_WPSOffice_Level2"/>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、流动性风险</w:t>
      </w:r>
      <w:bookmarkEnd w:id="9"/>
    </w:p>
    <w:p>
      <w:pPr>
        <w:keepNext w:val="0"/>
        <w:keepLines w:val="0"/>
        <w:pageBreakBefore w:val="0"/>
        <w:kinsoku/>
        <w:wordWrap/>
        <w:overflowPunct/>
        <w:topLinePunct/>
        <w:autoSpaceDE/>
        <w:autoSpaceDN/>
        <w:bidi w:val="0"/>
        <w:adjustRightInd w:val="0"/>
        <w:snapToGrid w:val="0"/>
        <w:spacing w:line="560" w:lineRule="exact"/>
        <w:ind w:firstLine="640" w:firstLineChars="200"/>
        <w:jc w:val="left"/>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流动性风险指本行无法满足客户提前支取到期负债及新增贷款、合理融资等需求，或者无法以正常的成本来满足这些需求的风险。本行对流动性风险实施集中管理。</w:t>
      </w:r>
      <w:r>
        <w:rPr>
          <w:rFonts w:hint="eastAsia" w:ascii="仿宋_GB2312" w:hAnsi="仿宋_GB2312" w:eastAsia="仿宋_GB2312" w:cs="仿宋_GB2312"/>
          <w:color w:val="auto"/>
          <w:sz w:val="32"/>
          <w:szCs w:val="32"/>
          <w:highlight w:val="none"/>
          <w:lang w:eastAsia="zh-CN"/>
        </w:rPr>
        <w:t>按旬、</w:t>
      </w:r>
      <w:r>
        <w:rPr>
          <w:rFonts w:hint="eastAsia" w:ascii="仿宋_GB2312" w:hAnsi="仿宋_GB2312" w:eastAsia="仿宋_GB2312" w:cs="仿宋_GB2312"/>
          <w:color w:val="auto"/>
          <w:sz w:val="32"/>
          <w:szCs w:val="32"/>
          <w:highlight w:val="none"/>
        </w:rPr>
        <w:t>按月测算流动性指标，按季度上报流动性监测报告，加大对流动性日常管理和监测；采取日报形式，每日统计存、贷款变动情况，随时关注备付金比例、存贷款比例、短期资金流动性比例、流动性负债依存度、中长期贷款比例等指标，保持适当水平的流动性资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流动性风险指标达监管要求</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autoSpaceDE/>
        <w:autoSpaceDN/>
        <w:bidi w:val="0"/>
        <w:adjustRightInd w:val="0"/>
        <w:snapToGrid w:val="0"/>
        <w:spacing w:line="560" w:lineRule="exact"/>
        <w:ind w:firstLine="640" w:firstLineChars="200"/>
        <w:jc w:val="left"/>
        <w:rPr>
          <w:rFonts w:ascii="黑体" w:hAnsi="黑体" w:eastAsia="黑体" w:cs="黑体"/>
          <w:color w:val="auto"/>
          <w:sz w:val="32"/>
          <w:szCs w:val="32"/>
          <w:highlight w:val="none"/>
        </w:rPr>
      </w:pPr>
      <w:bookmarkStart w:id="10" w:name="_Toc675_WPSOffice_Level2"/>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、市场风险</w:t>
      </w:r>
      <w:bookmarkEnd w:id="10"/>
    </w:p>
    <w:p>
      <w:pPr>
        <w:keepNext w:val="0"/>
        <w:keepLines w:val="0"/>
        <w:pageBreakBefore w:val="0"/>
        <w:kinsoku/>
        <w:wordWrap/>
        <w:overflowPunct/>
        <w:topLinePunct/>
        <w:autoSpaceDE/>
        <w:autoSpaceDN/>
        <w:bidi w:val="0"/>
        <w:adjustRightInd w:val="0"/>
        <w:snapToGrid w:val="0"/>
        <w:spacing w:line="56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市场风险是指因市场价格出现不利变动而使银行表内和表外业务发生损失的风险。报告期内，本行目前的主要利润来源仍是存贷款利差，因此面临的市场风险主要是利率风险和行业风险。本行坚持资金的“安全性、流动性、效益性”营运，密切关注央行金融政策发布、利率价格指导，及时传达、修订金融产品利率，积极创建科学有效的市场风险管理制度，努力提高对市场风险的识别、量化、监测和控制能力。结合国家宏观调控政策和小微企业政策，控制好信贷投放，同时以用足用活营运资金为前提，大胆灵活地利用利率市场化，提高资金的整体盈利水平。结合区域经济行业风险情况，本行实行严格的行业准入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本行将合理配置投资</w:t>
      </w:r>
      <w:r>
        <w:rPr>
          <w:rFonts w:hint="eastAsia" w:ascii="仿宋_GB2312" w:hAnsi="仿宋_GB2312" w:eastAsia="仿宋_GB2312" w:cs="仿宋_GB2312"/>
          <w:color w:val="auto"/>
          <w:sz w:val="32"/>
          <w:szCs w:val="32"/>
          <w:highlight w:val="none"/>
          <w:lang w:eastAsia="zh-CN"/>
        </w:rPr>
        <w:t>和存贷款</w:t>
      </w:r>
      <w:r>
        <w:rPr>
          <w:rFonts w:hint="eastAsia" w:ascii="仿宋_GB2312" w:hAnsi="仿宋_GB2312" w:eastAsia="仿宋_GB2312" w:cs="仿宋_GB2312"/>
          <w:color w:val="auto"/>
          <w:sz w:val="32"/>
          <w:szCs w:val="32"/>
          <w:highlight w:val="none"/>
        </w:rPr>
        <w:t>期限，</w:t>
      </w:r>
      <w:r>
        <w:rPr>
          <w:rFonts w:hint="eastAsia" w:ascii="仿宋_GB2312" w:hAnsi="仿宋_GB2312" w:eastAsia="仿宋_GB2312" w:cs="仿宋_GB2312"/>
          <w:color w:val="auto"/>
          <w:sz w:val="32"/>
          <w:szCs w:val="32"/>
          <w:highlight w:val="none"/>
          <w:lang w:eastAsia="zh-CN"/>
        </w:rPr>
        <w:t>按季监测银行账簿最大经济价值变动比例和净利息收入情况</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autoSpaceDE/>
        <w:autoSpaceDN/>
        <w:bidi w:val="0"/>
        <w:adjustRightInd w:val="0"/>
        <w:snapToGrid w:val="0"/>
        <w:spacing w:line="560" w:lineRule="exact"/>
        <w:ind w:firstLine="640" w:firstLineChars="200"/>
        <w:jc w:val="left"/>
        <w:rPr>
          <w:rFonts w:ascii="黑体" w:hAnsi="黑体" w:eastAsia="黑体" w:cs="黑体"/>
          <w:color w:val="auto"/>
          <w:sz w:val="32"/>
          <w:szCs w:val="32"/>
          <w:highlight w:val="none"/>
        </w:rPr>
      </w:pPr>
      <w:bookmarkStart w:id="11" w:name="_Toc8141_WPSOffice_Level2"/>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、操作风险</w:t>
      </w:r>
      <w:bookmarkEnd w:id="11"/>
    </w:p>
    <w:p>
      <w:pPr>
        <w:keepNext w:val="0"/>
        <w:keepLines w:val="0"/>
        <w:pageBreakBefore w:val="0"/>
        <w:kinsoku/>
        <w:wordWrap/>
        <w:overflowPunct/>
        <w:topLinePunct/>
        <w:autoSpaceDE/>
        <w:autoSpaceDN/>
        <w:bidi w:val="0"/>
        <w:adjustRightInd w:val="0"/>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操作风险是指由于不完善或有问题的内部程序、员工和信息科技系统，以及外部事件所造成损失的风险。报告期内，我行认真贯彻监管部门案件防控工作的指导意见，落实案防风险责任，持续案防高压态势，有效防控案件及操作风险，实现“零案发”目标，本行防范操作风险的主要措施有：一是完善制度框架，持续开展制度“废、改、立”。二是加强风险排查，分别对各项业务合规性及风险情况开展排查，同时，结合监管要求，在全行范围内深入排查，</w:t>
      </w:r>
      <w:r>
        <w:rPr>
          <w:rFonts w:hint="eastAsia" w:ascii="仿宋_GB2312" w:hAnsi="仿宋_GB2312" w:eastAsia="仿宋_GB2312" w:cs="仿宋_GB2312"/>
          <w:color w:val="auto"/>
          <w:sz w:val="32"/>
          <w:szCs w:val="32"/>
          <w:highlight w:val="none"/>
          <w:lang w:eastAsia="zh-CN"/>
        </w:rPr>
        <w:t>开展</w:t>
      </w:r>
      <w:r>
        <w:rPr>
          <w:rFonts w:hint="eastAsia" w:ascii="仿宋_GB2312" w:hAnsi="仿宋_GB2312" w:eastAsia="仿宋_GB2312" w:cs="仿宋_GB2312"/>
          <w:color w:val="auto"/>
          <w:sz w:val="32"/>
          <w:szCs w:val="32"/>
          <w:highlight w:val="none"/>
        </w:rPr>
        <w:t>员工异常行为排查，确保员工队伍的健康发展。三是加强业务辅导，组织辖内营业网点业务骨干进行法律知识、信贷知识、预防职务犯罪教育、案件防控</w:t>
      </w:r>
      <w:r>
        <w:rPr>
          <w:rFonts w:hint="eastAsia" w:ascii="仿宋_GB2312" w:hAnsi="仿宋_GB2312" w:eastAsia="仿宋_GB2312" w:cs="仿宋_GB2312"/>
          <w:color w:val="auto"/>
          <w:sz w:val="32"/>
          <w:szCs w:val="32"/>
          <w:highlight w:val="none"/>
          <w:lang w:eastAsia="zh-CN"/>
        </w:rPr>
        <w:t>知识</w:t>
      </w:r>
      <w:r>
        <w:rPr>
          <w:rFonts w:hint="eastAsia" w:ascii="仿宋_GB2312" w:hAnsi="仿宋_GB2312" w:eastAsia="仿宋_GB2312" w:cs="仿宋_GB2312"/>
          <w:color w:val="auto"/>
          <w:sz w:val="32"/>
          <w:szCs w:val="32"/>
          <w:highlight w:val="none"/>
        </w:rPr>
        <w:t>等各类培训</w:t>
      </w:r>
      <w:r>
        <w:rPr>
          <w:rFonts w:hint="eastAsia" w:ascii="仿宋_GB2312" w:hAnsi="仿宋_GB2312" w:eastAsia="仿宋_GB2312" w:cs="仿宋_GB2312"/>
          <w:color w:val="auto"/>
          <w:sz w:val="32"/>
          <w:szCs w:val="32"/>
          <w:highlight w:val="none"/>
          <w:lang w:eastAsia="zh-CN"/>
        </w:rPr>
        <w:t>及警示教育</w:t>
      </w:r>
      <w:r>
        <w:rPr>
          <w:rFonts w:hint="eastAsia" w:ascii="仿宋_GB2312" w:hAnsi="仿宋_GB2312" w:eastAsia="仿宋_GB2312" w:cs="仿宋_GB2312"/>
          <w:color w:val="auto"/>
          <w:sz w:val="32"/>
          <w:szCs w:val="32"/>
          <w:highlight w:val="none"/>
        </w:rPr>
        <w:t>，全面提升业务能力，从源头防控风险。四是下发风险提示及法律辅导，开展警示</w:t>
      </w:r>
      <w:r>
        <w:rPr>
          <w:rFonts w:hint="eastAsia" w:ascii="仿宋_GB2312" w:hAnsi="仿宋_GB2312" w:eastAsia="仿宋_GB2312" w:cs="仿宋_GB2312"/>
          <w:color w:val="auto"/>
          <w:sz w:val="32"/>
          <w:szCs w:val="32"/>
          <w:highlight w:val="none"/>
          <w:lang w:eastAsia="zh-CN"/>
        </w:rPr>
        <w:t>及廉洁自律</w:t>
      </w:r>
      <w:r>
        <w:rPr>
          <w:rFonts w:hint="eastAsia" w:ascii="仿宋_GB2312" w:hAnsi="仿宋_GB2312" w:eastAsia="仿宋_GB2312" w:cs="仿宋_GB2312"/>
          <w:color w:val="auto"/>
          <w:sz w:val="32"/>
          <w:szCs w:val="32"/>
          <w:highlight w:val="none"/>
        </w:rPr>
        <w:t>教育</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高员工的法律合规意识及风险防控意识。五是加大科技建设。积极做好各类新兴业务的上线支撑及开发工作，加强了对科技信息操作风险的监测，统一管理辖内网点网络，防止网点线路出现问题导致生产中断引发操作风险。</w:t>
      </w:r>
    </w:p>
    <w:p>
      <w:pPr>
        <w:keepNext w:val="0"/>
        <w:keepLines w:val="0"/>
        <w:pageBreakBefore w:val="0"/>
        <w:kinsoku/>
        <w:wordWrap/>
        <w:overflowPunct/>
        <w:topLinePunct/>
        <w:autoSpaceDE/>
        <w:autoSpaceDN/>
        <w:bidi w:val="0"/>
        <w:adjustRightInd w:val="0"/>
        <w:snapToGrid w:val="0"/>
        <w:spacing w:line="560" w:lineRule="exact"/>
        <w:ind w:firstLine="640" w:firstLineChars="200"/>
        <w:jc w:val="left"/>
        <w:rPr>
          <w:rFonts w:ascii="黑体" w:hAnsi="黑体" w:eastAsia="黑体" w:cs="黑体"/>
          <w:color w:val="auto"/>
          <w:sz w:val="32"/>
          <w:szCs w:val="32"/>
          <w:highlight w:val="none"/>
        </w:rPr>
      </w:pPr>
      <w:bookmarkStart w:id="12" w:name="_Toc11551_WPSOffice_Level2"/>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eastAsia="zh-CN"/>
        </w:rPr>
        <w:t>声誉</w:t>
      </w:r>
      <w:r>
        <w:rPr>
          <w:rFonts w:hint="eastAsia" w:ascii="黑体" w:hAnsi="黑体" w:eastAsia="黑体" w:cs="黑体"/>
          <w:color w:val="auto"/>
          <w:sz w:val="32"/>
          <w:szCs w:val="32"/>
          <w:highlight w:val="none"/>
        </w:rPr>
        <w:t>风险</w:t>
      </w:r>
      <w:bookmarkEnd w:id="12"/>
    </w:p>
    <w:p>
      <w:pPr>
        <w:keepNext w:val="0"/>
        <w:keepLines w:val="0"/>
        <w:pageBreakBefore w:val="0"/>
        <w:kinsoku/>
        <w:wordWrap/>
        <w:overflowPunct/>
        <w:topLinePunct/>
        <w:autoSpaceDE/>
        <w:autoSpaceDN/>
        <w:bidi w:val="0"/>
        <w:adjustRightInd w:val="0"/>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声誉</w:t>
      </w:r>
      <w:r>
        <w:rPr>
          <w:rFonts w:hint="eastAsia" w:ascii="仿宋_GB2312" w:hAnsi="仿宋_GB2312" w:eastAsia="仿宋_GB2312" w:cs="仿宋_GB2312"/>
          <w:color w:val="auto"/>
          <w:sz w:val="32"/>
          <w:szCs w:val="32"/>
          <w:highlight w:val="none"/>
        </w:rPr>
        <w:t>风险是指因本行行为、从业人员行为或外部事件等，导致利益相关方、社会公众、媒体等对本行形成负面评价，从而损害本行品牌价值，不利本行正常经营，甚至影响到市场稳定和社会稳定的风险。报告期内，我行认真贯彻监管部门</w:t>
      </w:r>
      <w:r>
        <w:rPr>
          <w:rFonts w:hint="eastAsia" w:ascii="仿宋_GB2312" w:hAnsi="仿宋_GB2312" w:eastAsia="仿宋_GB2312" w:cs="仿宋_GB2312"/>
          <w:color w:val="auto"/>
          <w:sz w:val="32"/>
          <w:szCs w:val="32"/>
          <w:highlight w:val="none"/>
          <w:lang w:eastAsia="zh-CN"/>
        </w:rPr>
        <w:t>声誉风险隐患排查研判机制</w:t>
      </w:r>
      <w:r>
        <w:rPr>
          <w:rFonts w:hint="eastAsia" w:ascii="仿宋_GB2312" w:hAnsi="仿宋_GB2312" w:eastAsia="仿宋_GB2312" w:cs="仿宋_GB2312"/>
          <w:color w:val="auto"/>
          <w:sz w:val="32"/>
          <w:szCs w:val="32"/>
          <w:highlight w:val="none"/>
        </w:rPr>
        <w:t>工作</w:t>
      </w:r>
      <w:r>
        <w:rPr>
          <w:rFonts w:hint="eastAsia" w:ascii="仿宋_GB2312" w:hAnsi="仿宋_GB2312" w:eastAsia="仿宋_GB2312" w:cs="仿宋_GB2312"/>
          <w:color w:val="auto"/>
          <w:sz w:val="32"/>
          <w:szCs w:val="32"/>
          <w:highlight w:val="none"/>
          <w:lang w:eastAsia="zh-CN"/>
        </w:rPr>
        <w:t>要求</w:t>
      </w:r>
      <w:r>
        <w:rPr>
          <w:rFonts w:hint="eastAsia" w:ascii="仿宋_GB2312" w:hAnsi="仿宋_GB2312" w:eastAsia="仿宋_GB2312" w:cs="仿宋_GB2312"/>
          <w:color w:val="auto"/>
          <w:sz w:val="32"/>
          <w:szCs w:val="32"/>
          <w:highlight w:val="none"/>
        </w:rPr>
        <w:t>，落实</w:t>
      </w:r>
      <w:r>
        <w:rPr>
          <w:rFonts w:hint="eastAsia" w:ascii="仿宋_GB2312" w:hAnsi="仿宋_GB2312" w:eastAsia="仿宋_GB2312" w:cs="仿宋_GB2312"/>
          <w:color w:val="auto"/>
          <w:sz w:val="32"/>
          <w:szCs w:val="32"/>
          <w:highlight w:val="none"/>
          <w:lang w:eastAsia="zh-CN"/>
        </w:rPr>
        <w:t>声誉</w:t>
      </w:r>
      <w:r>
        <w:rPr>
          <w:rFonts w:hint="eastAsia" w:ascii="仿宋_GB2312" w:hAnsi="仿宋_GB2312" w:eastAsia="仿宋_GB2312" w:cs="仿宋_GB2312"/>
          <w:color w:val="auto"/>
          <w:sz w:val="32"/>
          <w:szCs w:val="32"/>
          <w:highlight w:val="none"/>
        </w:rPr>
        <w:t>风险责任，持续</w:t>
      </w:r>
      <w:r>
        <w:rPr>
          <w:rFonts w:hint="eastAsia" w:ascii="仿宋_GB2312" w:hAnsi="仿宋_GB2312" w:eastAsia="仿宋_GB2312" w:cs="仿宋_GB2312"/>
          <w:color w:val="auto"/>
          <w:sz w:val="32"/>
          <w:szCs w:val="32"/>
          <w:highlight w:val="none"/>
          <w:lang w:eastAsia="zh-CN"/>
        </w:rPr>
        <w:t>保持声誉防控</w:t>
      </w:r>
      <w:r>
        <w:rPr>
          <w:rFonts w:hint="eastAsia" w:ascii="仿宋_GB2312" w:hAnsi="仿宋_GB2312" w:eastAsia="仿宋_GB2312" w:cs="仿宋_GB2312"/>
          <w:color w:val="auto"/>
          <w:sz w:val="32"/>
          <w:szCs w:val="32"/>
          <w:highlight w:val="none"/>
        </w:rPr>
        <w:t>高压态势，有效防控</w:t>
      </w:r>
      <w:r>
        <w:rPr>
          <w:rFonts w:hint="eastAsia" w:ascii="仿宋_GB2312" w:hAnsi="仿宋_GB2312" w:eastAsia="仿宋_GB2312" w:cs="仿宋_GB2312"/>
          <w:color w:val="auto"/>
          <w:sz w:val="32"/>
          <w:szCs w:val="32"/>
          <w:highlight w:val="none"/>
          <w:lang w:eastAsia="zh-CN"/>
        </w:rPr>
        <w:t>声誉及舆情</w:t>
      </w:r>
      <w:r>
        <w:rPr>
          <w:rFonts w:hint="eastAsia" w:ascii="仿宋_GB2312" w:hAnsi="仿宋_GB2312" w:eastAsia="仿宋_GB2312" w:cs="仿宋_GB2312"/>
          <w:color w:val="auto"/>
          <w:sz w:val="32"/>
          <w:szCs w:val="32"/>
          <w:highlight w:val="none"/>
        </w:rPr>
        <w:t>风险，实现</w:t>
      </w:r>
      <w:r>
        <w:rPr>
          <w:rFonts w:hint="eastAsia" w:ascii="仿宋_GB2312" w:hAnsi="仿宋_GB2312" w:eastAsia="仿宋_GB2312" w:cs="仿宋_GB2312"/>
          <w:color w:val="auto"/>
          <w:sz w:val="32"/>
          <w:szCs w:val="32"/>
          <w:highlight w:val="none"/>
          <w:lang w:eastAsia="zh-CN"/>
        </w:rPr>
        <w:t>舆情风险可控：</w:t>
      </w:r>
      <w:r>
        <w:rPr>
          <w:rFonts w:hint="eastAsia" w:ascii="仿宋_GB2312" w:hAnsi="仿宋_GB2312" w:eastAsia="仿宋_GB2312" w:cs="仿宋_GB2312"/>
          <w:color w:val="auto"/>
          <w:sz w:val="32"/>
          <w:szCs w:val="32"/>
          <w:highlight w:val="none"/>
        </w:rPr>
        <w:t>一是</w:t>
      </w:r>
      <w:r>
        <w:rPr>
          <w:rFonts w:hint="eastAsia" w:ascii="仿宋_GB2312" w:hAnsi="仿宋_GB2312" w:eastAsia="仿宋_GB2312" w:cs="仿宋_GB2312"/>
          <w:color w:val="auto"/>
          <w:sz w:val="32"/>
          <w:szCs w:val="32"/>
          <w:highlight w:val="none"/>
          <w:lang w:eastAsia="zh-CN"/>
        </w:rPr>
        <w:t>制定</w:t>
      </w:r>
      <w:r>
        <w:rPr>
          <w:rFonts w:hint="eastAsia" w:ascii="仿宋_GB2312" w:hAnsi="仿宋_GB2312" w:eastAsia="仿宋_GB2312" w:cs="仿宋_GB2312"/>
          <w:color w:val="auto"/>
          <w:sz w:val="32"/>
          <w:szCs w:val="32"/>
          <w:highlight w:val="none"/>
        </w:rPr>
        <w:t>《贵州惠水农村商业银行股份有限公司突发重大风险事件应急预案》《贵州惠水农商银行网络舆情管理办法》《贵州惠水农村商业银行股份有限公司党委意识形态风险评估管理办法（试行）》等相关制度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规范舆情预警、防控和处置工作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二是加强风险排查，</w:t>
      </w:r>
      <w:r>
        <w:rPr>
          <w:rFonts w:hint="eastAsia" w:ascii="仿宋_GB2312" w:hAnsi="仿宋_GB2312" w:eastAsia="仿宋_GB2312" w:cs="仿宋_GB2312"/>
          <w:color w:val="auto"/>
          <w:sz w:val="32"/>
          <w:szCs w:val="32"/>
          <w:highlight w:val="none"/>
          <w:lang w:eastAsia="zh-CN"/>
        </w:rPr>
        <w:t>按季对舆情风险隐患、员工异常行为等进行排查，实时进行网络监测，并严格规范规划对外信息发布，防范声誉风险。</w:t>
      </w:r>
      <w:r>
        <w:rPr>
          <w:rFonts w:hint="eastAsia" w:ascii="仿宋_GB2312" w:hAnsi="仿宋_GB2312" w:eastAsia="仿宋_GB2312" w:cs="仿宋_GB2312"/>
          <w:color w:val="auto"/>
          <w:sz w:val="32"/>
          <w:szCs w:val="32"/>
          <w:highlight w:val="none"/>
        </w:rPr>
        <w:t>三是加强</w:t>
      </w:r>
      <w:r>
        <w:rPr>
          <w:rFonts w:hint="eastAsia" w:ascii="仿宋_GB2312" w:hAnsi="仿宋_GB2312" w:eastAsia="仿宋_GB2312" w:cs="仿宋_GB2312"/>
          <w:color w:val="auto"/>
          <w:sz w:val="32"/>
          <w:szCs w:val="32"/>
          <w:highlight w:val="none"/>
          <w:lang w:eastAsia="zh-CN"/>
        </w:rPr>
        <w:t>受理消费者投诉、信访接待等客户服务工作，全面执行黔农贵客服务，提升服务水平和服务能力。四是开展舆情演练工作，防范舆情引发声誉风险。</w:t>
      </w:r>
    </w:p>
    <w:p>
      <w:pPr>
        <w:keepNext w:val="0"/>
        <w:keepLines w:val="0"/>
        <w:pageBreakBefore w:val="0"/>
        <w:kinsoku/>
        <w:wordWrap/>
        <w:overflowPunct/>
        <w:autoSpaceDE/>
        <w:autoSpaceDN/>
        <w:bidi w:val="0"/>
        <w:adjustRightInd w:val="0"/>
        <w:snapToGrid w:val="0"/>
        <w:spacing w:line="560" w:lineRule="exact"/>
        <w:jc w:val="center"/>
        <w:rPr>
          <w:rFonts w:hint="eastAsia" w:ascii="Times New Roman" w:hAnsi="Times New Roman" w:eastAsia="黑体"/>
          <w:sz w:val="32"/>
          <w:szCs w:val="32"/>
          <w:highlight w:val="none"/>
        </w:rPr>
      </w:pPr>
      <w:bookmarkStart w:id="13" w:name="_Toc20615_WPSOffice_Level1"/>
    </w:p>
    <w:p>
      <w:pPr>
        <w:keepNext w:val="0"/>
        <w:keepLines w:val="0"/>
        <w:pageBreakBefore w:val="0"/>
        <w:kinsoku/>
        <w:wordWrap/>
        <w:overflowPunct/>
        <w:autoSpaceDE/>
        <w:autoSpaceDN/>
        <w:bidi w:val="0"/>
        <w:adjustRightInd w:val="0"/>
        <w:snapToGrid w:val="0"/>
        <w:spacing w:line="560" w:lineRule="exact"/>
        <w:jc w:val="center"/>
        <w:rPr>
          <w:rFonts w:ascii="Times New Roman" w:hAnsi="Times New Roman" w:eastAsia="黑体"/>
          <w:sz w:val="32"/>
          <w:szCs w:val="32"/>
          <w:highlight w:val="none"/>
        </w:rPr>
      </w:pPr>
      <w:r>
        <w:rPr>
          <w:rFonts w:hint="eastAsia" w:ascii="Times New Roman" w:hAnsi="Times New Roman" w:eastAsia="黑体"/>
          <w:sz w:val="32"/>
          <w:szCs w:val="32"/>
          <w:highlight w:val="none"/>
        </w:rPr>
        <w:t>第</w:t>
      </w:r>
      <w:r>
        <w:rPr>
          <w:rFonts w:hint="eastAsia" w:ascii="Times New Roman" w:hAnsi="Times New Roman" w:eastAsia="黑体"/>
          <w:sz w:val="32"/>
          <w:szCs w:val="32"/>
          <w:highlight w:val="none"/>
          <w:lang w:eastAsia="zh-CN"/>
        </w:rPr>
        <w:t>四</w:t>
      </w:r>
      <w:r>
        <w:rPr>
          <w:rFonts w:hint="eastAsia" w:ascii="Times New Roman" w:hAnsi="Times New Roman" w:eastAsia="黑体"/>
          <w:sz w:val="32"/>
          <w:szCs w:val="32"/>
          <w:highlight w:val="none"/>
        </w:rPr>
        <w:t>章</w:t>
      </w:r>
      <w:r>
        <w:rPr>
          <w:rFonts w:ascii="Times New Roman" w:hAnsi="Times New Roman" w:eastAsia="黑体"/>
          <w:sz w:val="32"/>
          <w:szCs w:val="32"/>
          <w:highlight w:val="none"/>
        </w:rPr>
        <w:t xml:space="preserve">  </w:t>
      </w:r>
      <w:r>
        <w:rPr>
          <w:rFonts w:hint="eastAsia" w:ascii="Times New Roman" w:hAnsi="Times New Roman" w:eastAsia="黑体"/>
          <w:sz w:val="32"/>
          <w:szCs w:val="32"/>
          <w:highlight w:val="none"/>
        </w:rPr>
        <w:t>公司治理情况</w:t>
      </w:r>
      <w:bookmarkEnd w:id="13"/>
    </w:p>
    <w:p>
      <w:pPr>
        <w:keepNext w:val="0"/>
        <w:keepLines w:val="0"/>
        <w:pageBreakBefore w:val="0"/>
        <w:kinsoku/>
        <w:wordWrap/>
        <w:overflowPunct/>
        <w:autoSpaceDE/>
        <w:autoSpaceDN/>
        <w:bidi w:val="0"/>
        <w:adjustRightInd w:val="0"/>
        <w:snapToGrid w:val="0"/>
        <w:spacing w:line="560" w:lineRule="exact"/>
        <w:ind w:firstLine="640" w:firstLineChars="200"/>
        <w:textAlignment w:val="baseline"/>
        <w:outlineLvl w:val="1"/>
        <w:rPr>
          <w:rFonts w:ascii="Times New Roman" w:hAnsi="Times New Roman" w:eastAsia="黑体"/>
          <w:bCs/>
          <w:kern w:val="30"/>
          <w:sz w:val="32"/>
          <w:szCs w:val="32"/>
          <w:highlight w:val="none"/>
        </w:rPr>
      </w:pPr>
      <w:bookmarkStart w:id="14" w:name="_Toc11876_WPSOffice_Level2"/>
      <w:r>
        <w:rPr>
          <w:rFonts w:hint="eastAsia" w:ascii="Times New Roman" w:hAnsi="Times New Roman" w:eastAsia="黑体"/>
          <w:bCs/>
          <w:kern w:val="30"/>
          <w:sz w:val="32"/>
          <w:szCs w:val="32"/>
          <w:highlight w:val="none"/>
        </w:rPr>
        <w:t>一、经营决策体系</w:t>
      </w:r>
      <w:bookmarkEnd w:id="14"/>
    </w:p>
    <w:p>
      <w:pPr>
        <w:keepNext w:val="0"/>
        <w:keepLines w:val="0"/>
        <w:pageBreakBefore w:val="0"/>
        <w:kinsoku/>
        <w:wordWrap/>
        <w:overflowPunct/>
        <w:autoSpaceDE/>
        <w:autoSpaceDN/>
        <w:bidi w:val="0"/>
        <w:adjustRightInd w:val="0"/>
        <w:snapToGrid w:val="0"/>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本行权力机构是股东大会，通过董事会进行决策、管理，由监事会行使监督职能。行长对董事会负责，执行董事会的各项决议，负责本行的日常经营管理工作。本行实行一级法人体制，通过董事会、监事会进行管理和监督。行长受聘于董事会，负责本行日常经营管理。本行各分支机构均为非独立核算单位，其经营管理活动根据总行授权进行，并对总行负责。报告期内，本行不断完善股东大会、董事会、监事会和经营管理层独立运作、有效制衡的公司治理结构，其核心目标是在尊重和保护存款人利益的前提下，追求股东价值的长期最大化。</w:t>
      </w:r>
      <w:r>
        <w:rPr>
          <w:rFonts w:hint="eastAsia" w:ascii="Times New Roman" w:hAnsi="Times New Roman" w:eastAsia="仿宋_GB2312"/>
          <w:color w:val="auto"/>
          <w:sz w:val="32"/>
          <w:szCs w:val="32"/>
          <w:highlight w:val="none"/>
          <w:lang w:eastAsia="zh-CN"/>
        </w:rPr>
        <w:t>本行无实际控制人。</w:t>
      </w:r>
    </w:p>
    <w:p>
      <w:pPr>
        <w:keepNext w:val="0"/>
        <w:keepLines w:val="0"/>
        <w:pageBreakBefore w:val="0"/>
        <w:kinsoku/>
        <w:wordWrap/>
        <w:overflowPunct/>
        <w:autoSpaceDE/>
        <w:autoSpaceDN/>
        <w:bidi w:val="0"/>
        <w:adjustRightInd w:val="0"/>
        <w:snapToGrid w:val="0"/>
        <w:spacing w:line="560" w:lineRule="exact"/>
        <w:ind w:firstLine="640" w:firstLineChars="200"/>
        <w:outlineLvl w:val="1"/>
        <w:rPr>
          <w:rFonts w:hint="eastAsia" w:ascii="Times New Roman" w:hAnsi="Times New Roman" w:eastAsia="黑体"/>
          <w:bCs/>
          <w:kern w:val="30"/>
          <w:sz w:val="32"/>
          <w:szCs w:val="32"/>
          <w:highlight w:val="none"/>
        </w:rPr>
      </w:pPr>
      <w:bookmarkStart w:id="15" w:name="_Toc193883064"/>
      <w:bookmarkStart w:id="16" w:name="_Toc26586_WPSOffice_Level2"/>
      <w:r>
        <w:rPr>
          <w:rFonts w:hint="eastAsia" w:ascii="Times New Roman" w:hAnsi="Times New Roman" w:eastAsia="黑体"/>
          <w:bCs/>
          <w:kern w:val="30"/>
          <w:sz w:val="32"/>
          <w:szCs w:val="32"/>
          <w:highlight w:val="none"/>
        </w:rPr>
        <w:t>二、股本变动及股东情况</w:t>
      </w:r>
      <w:bookmarkEnd w:id="15"/>
      <w:bookmarkEnd w:id="16"/>
    </w:p>
    <w:p>
      <w:pPr>
        <w:keepNext w:val="0"/>
        <w:keepLines w:val="0"/>
        <w:pageBreakBefore w:val="0"/>
        <w:kinsoku/>
        <w:wordWrap/>
        <w:overflowPunct/>
        <w:autoSpaceDE/>
        <w:autoSpaceDN/>
        <w:bidi w:val="0"/>
        <w:adjustRightInd w:val="0"/>
        <w:snapToGrid w:val="0"/>
        <w:spacing w:line="560" w:lineRule="exact"/>
        <w:ind w:firstLine="640" w:firstLineChars="200"/>
        <w:outlineLvl w:val="1"/>
        <w:rPr>
          <w:rFonts w:hint="default" w:ascii="仿宋_GB2312" w:hAnsi="仿宋_GB2312" w:eastAsia="楷体_GB2312" w:cs="仿宋_GB2312"/>
          <w:b w:val="0"/>
          <w:sz w:val="32"/>
          <w:highlight w:val="none"/>
          <w:lang w:val="en-US" w:eastAsia="zh-CN"/>
        </w:rPr>
      </w:pPr>
      <w:r>
        <w:rPr>
          <w:rFonts w:hint="eastAsia" w:ascii="Times New Roman" w:hAnsi="Times New Roman" w:eastAsia="仿宋_GB2312"/>
          <w:snapToGrid w:val="0"/>
          <w:color w:val="auto"/>
          <w:kern w:val="0"/>
          <w:sz w:val="32"/>
          <w:szCs w:val="32"/>
          <w:highlight w:val="none"/>
          <w:lang w:eastAsia="zh-CN"/>
        </w:rPr>
        <w:t>报告期内，</w:t>
      </w:r>
      <w:r>
        <w:rPr>
          <w:rFonts w:hint="eastAsia" w:ascii="Times New Roman" w:hAnsi="Times New Roman" w:eastAsia="仿宋_GB2312"/>
          <w:snapToGrid w:val="0"/>
          <w:color w:val="auto"/>
          <w:kern w:val="0"/>
          <w:sz w:val="32"/>
          <w:szCs w:val="32"/>
          <w:highlight w:val="none"/>
        </w:rPr>
        <w:t>本行股本</w:t>
      </w:r>
      <w:r>
        <w:rPr>
          <w:rFonts w:hint="eastAsia" w:ascii="Times New Roman" w:hAnsi="Times New Roman" w:eastAsia="仿宋_GB2312"/>
          <w:snapToGrid w:val="0"/>
          <w:color w:val="auto"/>
          <w:kern w:val="0"/>
          <w:sz w:val="32"/>
          <w:szCs w:val="32"/>
          <w:highlight w:val="none"/>
          <w:lang w:eastAsia="zh-CN"/>
        </w:rPr>
        <w:t>总额保持不变，</w:t>
      </w:r>
      <w:r>
        <w:rPr>
          <w:rFonts w:hint="eastAsia" w:ascii="Times New Roman" w:hAnsi="Times New Roman" w:eastAsia="仿宋_GB2312"/>
          <w:snapToGrid w:val="0"/>
          <w:color w:val="auto"/>
          <w:kern w:val="0"/>
          <w:sz w:val="32"/>
          <w:szCs w:val="32"/>
          <w:highlight w:val="none"/>
        </w:rPr>
        <w:t>股本总额为31872.88万元</w:t>
      </w:r>
      <w:r>
        <w:rPr>
          <w:rFonts w:hint="eastAsia" w:ascii="Times New Roman" w:hAnsi="Times New Roman" w:eastAsia="仿宋_GB2312"/>
          <w:snapToGrid w:val="0"/>
          <w:color w:val="auto"/>
          <w:kern w:val="0"/>
          <w:sz w:val="32"/>
          <w:szCs w:val="32"/>
          <w:highlight w:val="none"/>
          <w:lang w:eastAsia="zh-CN"/>
        </w:rPr>
        <w:t>。本行股东</w:t>
      </w:r>
      <w:r>
        <w:rPr>
          <w:rFonts w:hint="eastAsia" w:ascii="Times New Roman" w:hAnsi="Times New Roman" w:eastAsia="仿宋_GB2312"/>
          <w:snapToGrid w:val="0"/>
          <w:color w:val="auto"/>
          <w:kern w:val="0"/>
          <w:sz w:val="32"/>
          <w:szCs w:val="32"/>
          <w:highlight w:val="none"/>
        </w:rPr>
        <w:t>由自然人股和法人股组成，</w:t>
      </w:r>
      <w:r>
        <w:rPr>
          <w:rFonts w:hint="eastAsia" w:ascii="Times New Roman" w:hAnsi="Times New Roman" w:eastAsia="仿宋_GB2312"/>
          <w:snapToGrid w:val="0"/>
          <w:color w:val="auto"/>
          <w:kern w:val="0"/>
          <w:sz w:val="32"/>
          <w:szCs w:val="32"/>
          <w:highlight w:val="none"/>
          <w:lang w:eastAsia="zh-CN"/>
        </w:rPr>
        <w:t>截至</w:t>
      </w:r>
      <w:r>
        <w:rPr>
          <w:rFonts w:hint="default" w:ascii="Times New Roman" w:hAnsi="Times New Roman" w:eastAsia="仿宋_GB2312" w:cs="Times New Roman"/>
          <w:b w:val="0"/>
          <w:sz w:val="32"/>
          <w:highlight w:val="none"/>
        </w:rPr>
        <w:t>202</w:t>
      </w:r>
      <w:r>
        <w:rPr>
          <w:rFonts w:hint="eastAsia" w:ascii="Times New Roman" w:hAnsi="Times New Roman" w:eastAsia="仿宋_GB2312" w:cs="Times New Roman"/>
          <w:b w:val="0"/>
          <w:sz w:val="32"/>
          <w:highlight w:val="none"/>
          <w:lang w:val="en-US" w:eastAsia="zh-CN"/>
        </w:rPr>
        <w:t>3</w:t>
      </w:r>
      <w:r>
        <w:rPr>
          <w:rFonts w:hint="eastAsia" w:ascii="仿宋_GB2312" w:hAnsi="仿宋_GB2312" w:eastAsia="仿宋_GB2312" w:cs="仿宋_GB2312"/>
          <w:b w:val="0"/>
          <w:sz w:val="32"/>
          <w:highlight w:val="none"/>
        </w:rPr>
        <w:t>年</w:t>
      </w:r>
      <w:r>
        <w:rPr>
          <w:rFonts w:hint="default" w:ascii="Times New Roman" w:hAnsi="Times New Roman" w:eastAsia="仿宋_GB2312" w:cs="Times New Roman"/>
          <w:b w:val="0"/>
          <w:sz w:val="32"/>
          <w:highlight w:val="none"/>
        </w:rPr>
        <w:t>12</w:t>
      </w:r>
      <w:r>
        <w:rPr>
          <w:rFonts w:hint="eastAsia" w:ascii="仿宋_GB2312" w:hAnsi="仿宋_GB2312" w:eastAsia="仿宋_GB2312" w:cs="仿宋_GB2312"/>
          <w:b w:val="0"/>
          <w:sz w:val="32"/>
          <w:highlight w:val="none"/>
        </w:rPr>
        <w:t>月</w:t>
      </w:r>
      <w:r>
        <w:rPr>
          <w:rFonts w:hint="default" w:ascii="Times New Roman" w:hAnsi="Times New Roman" w:eastAsia="仿宋_GB2312" w:cs="Times New Roman"/>
          <w:b w:val="0"/>
          <w:sz w:val="32"/>
          <w:highlight w:val="none"/>
        </w:rPr>
        <w:t>31</w:t>
      </w:r>
      <w:r>
        <w:rPr>
          <w:rFonts w:hint="eastAsia" w:ascii="仿宋_GB2312" w:hAnsi="仿宋_GB2312" w:eastAsia="仿宋_GB2312" w:cs="仿宋_GB2312"/>
          <w:b w:val="0"/>
          <w:sz w:val="32"/>
          <w:highlight w:val="none"/>
        </w:rPr>
        <w:t>日，本行股东总数为</w:t>
      </w:r>
      <w:r>
        <w:rPr>
          <w:rFonts w:hint="default" w:ascii="Times New Roman" w:hAnsi="Times New Roman" w:eastAsia="仿宋_GB2312" w:cs="Times New Roman"/>
          <w:b w:val="0"/>
          <w:sz w:val="32"/>
          <w:highlight w:val="none"/>
        </w:rPr>
        <w:t>76</w:t>
      </w:r>
      <w:r>
        <w:rPr>
          <w:rFonts w:hint="default" w:ascii="Times New Roman" w:hAnsi="Times New Roman" w:eastAsia="仿宋_GB2312" w:cs="Times New Roman"/>
          <w:b w:val="0"/>
          <w:sz w:val="32"/>
          <w:highlight w:val="none"/>
          <w:lang w:val="en-US" w:eastAsia="zh-CN"/>
        </w:rPr>
        <w:t>6</w:t>
      </w:r>
      <w:r>
        <w:rPr>
          <w:rFonts w:hint="eastAsia" w:ascii="仿宋_GB2312" w:hAnsi="仿宋_GB2312" w:eastAsia="仿宋_GB2312" w:cs="仿宋_GB2312"/>
          <w:b w:val="0"/>
          <w:sz w:val="32"/>
          <w:highlight w:val="none"/>
          <w:lang w:val="en-US" w:eastAsia="zh-CN"/>
        </w:rPr>
        <w:t>户</w:t>
      </w:r>
      <w:r>
        <w:rPr>
          <w:rFonts w:hint="eastAsia" w:ascii="仿宋_GB2312" w:hAnsi="仿宋_GB2312" w:eastAsia="仿宋_GB2312" w:cs="仿宋_GB2312"/>
          <w:b w:val="0"/>
          <w:sz w:val="32"/>
          <w:highlight w:val="none"/>
        </w:rPr>
        <w:t>，其中法人股东</w:t>
      </w:r>
      <w:r>
        <w:rPr>
          <w:rFonts w:hint="default" w:ascii="Times New Roman" w:hAnsi="Times New Roman" w:eastAsia="仿宋_GB2312" w:cs="Times New Roman"/>
          <w:b w:val="0"/>
          <w:sz w:val="32"/>
          <w:highlight w:val="none"/>
          <w:lang w:val="en-US" w:eastAsia="zh-CN"/>
        </w:rPr>
        <w:t>21</w:t>
      </w:r>
      <w:r>
        <w:rPr>
          <w:rFonts w:hint="eastAsia" w:ascii="仿宋_GB2312" w:hAnsi="仿宋_GB2312" w:eastAsia="仿宋_GB2312" w:cs="仿宋_GB2312"/>
          <w:b w:val="0"/>
          <w:sz w:val="32"/>
          <w:highlight w:val="none"/>
          <w:lang w:val="en-US" w:eastAsia="zh-CN"/>
        </w:rPr>
        <w:t>户</w:t>
      </w:r>
      <w:r>
        <w:rPr>
          <w:rFonts w:hint="eastAsia" w:ascii="仿宋_GB2312" w:hAnsi="仿宋_GB2312" w:eastAsia="仿宋_GB2312" w:cs="仿宋_GB2312"/>
          <w:b w:val="0"/>
          <w:sz w:val="32"/>
          <w:highlight w:val="none"/>
        </w:rPr>
        <w:t>，自然人股东</w:t>
      </w:r>
      <w:r>
        <w:rPr>
          <w:rFonts w:hint="eastAsia" w:ascii="Times New Roman" w:hAnsi="Times New Roman" w:eastAsia="仿宋_GB2312" w:cs="Times New Roman"/>
          <w:b w:val="0"/>
          <w:sz w:val="32"/>
          <w:highlight w:val="none"/>
          <w:lang w:val="en-US" w:eastAsia="zh-CN"/>
        </w:rPr>
        <w:t>745</w:t>
      </w:r>
      <w:r>
        <w:rPr>
          <w:rFonts w:hint="eastAsia" w:ascii="仿宋_GB2312" w:hAnsi="仿宋_GB2312" w:eastAsia="仿宋_GB2312" w:cs="仿宋_GB2312"/>
          <w:b w:val="0"/>
          <w:sz w:val="32"/>
          <w:highlight w:val="none"/>
          <w:lang w:eastAsia="zh-CN"/>
        </w:rPr>
        <w:t>户</w:t>
      </w:r>
      <w:r>
        <w:rPr>
          <w:rFonts w:hint="eastAsia" w:ascii="Times New Roman" w:hAnsi="Times New Roman" w:eastAsia="仿宋_GB2312" w:cs="Times New Roman"/>
          <w:b w:val="0"/>
          <w:sz w:val="32"/>
          <w:highlight w:val="none"/>
          <w:lang w:val="en-US" w:eastAsia="zh-CN"/>
        </w:rPr>
        <w:t>。</w:t>
      </w:r>
    </w:p>
    <w:p>
      <w:pPr>
        <w:keepNext w:val="0"/>
        <w:keepLines w:val="0"/>
        <w:pageBreakBefore w:val="0"/>
        <w:kinsoku/>
        <w:wordWrap/>
        <w:overflowPunct/>
        <w:autoSpaceDE/>
        <w:autoSpaceDN/>
        <w:bidi w:val="0"/>
        <w:adjustRightInd w:val="0"/>
        <w:snapToGrid w:val="0"/>
        <w:spacing w:line="560" w:lineRule="exact"/>
        <w:ind w:firstLine="640" w:firstLineChars="200"/>
        <w:outlineLvl w:val="1"/>
        <w:rPr>
          <w:rFonts w:ascii="Times New Roman" w:hAnsi="Times New Roman" w:eastAsia="黑体"/>
          <w:bCs/>
          <w:kern w:val="30"/>
          <w:sz w:val="32"/>
          <w:szCs w:val="32"/>
          <w:highlight w:val="none"/>
        </w:rPr>
      </w:pPr>
      <w:bookmarkStart w:id="17" w:name="_Toc6365_WPSOffice_Level2"/>
      <w:r>
        <w:rPr>
          <w:rFonts w:hint="eastAsia" w:ascii="Times New Roman" w:hAnsi="Times New Roman" w:eastAsia="黑体"/>
          <w:bCs/>
          <w:kern w:val="30"/>
          <w:sz w:val="32"/>
          <w:szCs w:val="32"/>
          <w:highlight w:val="none"/>
        </w:rPr>
        <w:t>三、股东大会情况</w:t>
      </w:r>
      <w:bookmarkEnd w:id="17"/>
    </w:p>
    <w:p>
      <w:pPr>
        <w:keepNext w:val="0"/>
        <w:keepLines w:val="0"/>
        <w:pageBreakBefore w:val="0"/>
        <w:kinsoku/>
        <w:wordWrap/>
        <w:overflowPunct/>
        <w:autoSpaceDE/>
        <w:autoSpaceDN/>
        <w:bidi w:val="0"/>
        <w:spacing w:line="560" w:lineRule="exact"/>
        <w:ind w:firstLine="640" w:firstLineChars="200"/>
        <w:rPr>
          <w:rFonts w:hint="eastAsia" w:ascii="仿宋_GB2312" w:hAnsi="仿宋_GB2312" w:eastAsia="仿宋_GB2312" w:cs="仿宋_GB2312"/>
          <w:color w:val="FF0000"/>
          <w:sz w:val="32"/>
          <w:highlight w:val="none"/>
          <w:lang w:eastAsia="zh-CN"/>
        </w:rPr>
      </w:pPr>
      <w:r>
        <w:rPr>
          <w:rFonts w:hint="eastAsia" w:ascii="仿宋_GB2312" w:hAnsi="仿宋_GB2312" w:eastAsia="仿宋_GB2312" w:cs="仿宋_GB2312"/>
          <w:b w:val="0"/>
          <w:sz w:val="32"/>
          <w:highlight w:val="none"/>
          <w:lang w:val="en-US" w:eastAsia="zh-CN"/>
        </w:rPr>
        <w:t>股东大会职责</w:t>
      </w:r>
      <w:r>
        <w:rPr>
          <w:rFonts w:hint="eastAsia" w:ascii="Times New Roman" w:hAnsi="Times New Roman" w:eastAsia="仿宋_GB2312" w:cs="Times New Roman"/>
          <w:sz w:val="32"/>
          <w:highlight w:val="none"/>
          <w:lang w:val="en-US" w:eastAsia="zh-CN"/>
        </w:rPr>
        <w:t>包括审议批准本行的发展规划，决定本行的经营方针和投资计划；选举、更换和罢免非职工董事、非职工监事，决定有关董事、监事的报酬事项；审议批准董事会的报告；审议批准监事会或者监事的报告；审议批准本行的年度财务预算方案、决算方案、利润分配方案和弥补亏损方案；对本行新增或者减少注册资本作出决议；对本行发行债券和公开发行股份作出决议；对本行的合并、分立、解散、清算及变更公司形式等作出决议；修改本行章程；审议股东大会议事规则、董事会议事规则、监事会议事规则；审议批准本行除日常经营外重大的对外投资、资产收购或处置、资产抵押、对外担保、委托他人管理本行资金或其他资产等重大事项。本款所指重大事项是指金额超过本行最近一期经审计总资产30%的事项；听取银行业监督管理机构对本行的监管意见及本行执行整改情况的通报；听取监事会对董事的评价结果，以及监事会对监事的评价结果；听取本行支农支小发展战略规划落实情况的报告；审议法律法规、行政规章和本章程规定应当由股东大会决定的其他事项；对公司上市作出决议；审议批准股权激励计划方案；依照法律规定对收购本公司股份作出决议；对聘用或解聘为公司财务报告进行定期法定审计的会计师事务所作出决议。2023年本行股东大会召开1次，</w:t>
      </w:r>
      <w:r>
        <w:rPr>
          <w:rFonts w:hint="eastAsia" w:ascii="仿宋_GB2312" w:hAnsi="仿宋_GB2312" w:eastAsia="仿宋_GB2312" w:cs="仿宋_GB2312"/>
          <w:sz w:val="32"/>
          <w:highlight w:val="none"/>
        </w:rPr>
        <w:t>会议审议并通过了</w:t>
      </w:r>
      <w:r>
        <w:rPr>
          <w:rFonts w:hint="default" w:ascii="Times New Roman" w:hAnsi="Times New Roman" w:eastAsia="仿宋_GB2312" w:cs="Times New Roman"/>
          <w:sz w:val="32"/>
          <w:highlight w:val="none"/>
        </w:rPr>
        <w:t>14</w:t>
      </w:r>
      <w:r>
        <w:rPr>
          <w:rFonts w:hint="eastAsia" w:ascii="仿宋_GB2312" w:hAnsi="仿宋_GB2312" w:eastAsia="仿宋_GB2312" w:cs="仿宋_GB2312"/>
          <w:sz w:val="32"/>
          <w:highlight w:val="none"/>
        </w:rPr>
        <w:t>个提案</w:t>
      </w:r>
      <w:r>
        <w:rPr>
          <w:rFonts w:hint="eastAsia" w:ascii="仿宋_GB2312" w:hAnsi="宋体" w:eastAsia="仿宋_GB2312"/>
          <w:sz w:val="32"/>
          <w:szCs w:val="32"/>
          <w:highlight w:val="none"/>
          <w:lang w:eastAsia="zh-CN"/>
        </w:rPr>
        <w:t>。</w:t>
      </w:r>
    </w:p>
    <w:p>
      <w:pPr>
        <w:keepNext w:val="0"/>
        <w:keepLines w:val="0"/>
        <w:pageBreakBefore w:val="0"/>
        <w:kinsoku/>
        <w:wordWrap/>
        <w:overflowPunct/>
        <w:autoSpaceDE/>
        <w:autoSpaceDN/>
        <w:bidi w:val="0"/>
        <w:adjustRightInd w:val="0"/>
        <w:snapToGrid w:val="0"/>
        <w:spacing w:line="560" w:lineRule="exact"/>
        <w:ind w:firstLine="640" w:firstLineChars="200"/>
        <w:rPr>
          <w:rFonts w:ascii="Times New Roman" w:hAnsi="Times New Roman" w:eastAsia="黑体"/>
          <w:sz w:val="32"/>
          <w:szCs w:val="32"/>
          <w:highlight w:val="none"/>
        </w:rPr>
      </w:pPr>
      <w:bookmarkStart w:id="18" w:name="_Toc28179_WPSOffice_Level2"/>
      <w:r>
        <w:rPr>
          <w:rFonts w:hint="eastAsia" w:ascii="Times New Roman" w:hAnsi="Times New Roman" w:eastAsia="黑体"/>
          <w:sz w:val="32"/>
          <w:szCs w:val="32"/>
          <w:highlight w:val="none"/>
        </w:rPr>
        <w:t>四、董事会的构成及其工作情况</w:t>
      </w:r>
      <w:bookmarkEnd w:id="18"/>
    </w:p>
    <w:p>
      <w:pPr>
        <w:pStyle w:val="12"/>
        <w:keepNext w:val="0"/>
        <w:keepLines w:val="0"/>
        <w:pageBreakBefore w:val="0"/>
        <w:kinsoku/>
        <w:wordWrap/>
        <w:overflowPunct/>
        <w:autoSpaceDE/>
        <w:autoSpaceDN/>
        <w:bidi w:val="0"/>
        <w:spacing w:line="560" w:lineRule="exact"/>
        <w:ind w:firstLine="640" w:firstLineChars="200"/>
        <w:rPr>
          <w:rFonts w:hint="eastAsia" w:ascii="仿宋_GB2312" w:hAnsi="仿宋_GB2312" w:eastAsia="仿宋_GB2312" w:cs="仿宋_GB2312"/>
          <w:b w:val="0"/>
          <w:kern w:val="2"/>
          <w:sz w:val="32"/>
          <w:szCs w:val="22"/>
          <w:highlight w:val="none"/>
          <w:lang w:val="en-US" w:eastAsia="zh-CN" w:bidi="ar-SA"/>
        </w:rPr>
      </w:pPr>
      <w:r>
        <w:rPr>
          <w:rFonts w:hint="eastAsia" w:ascii="仿宋_GB2312" w:hAnsi="仿宋_GB2312" w:eastAsia="仿宋_GB2312" w:cs="仿宋_GB2312"/>
          <w:b w:val="0"/>
          <w:sz w:val="32"/>
          <w:highlight w:val="none"/>
        </w:rPr>
        <w:t>本行严格按照《章程》规定的董事任职资格和选聘程序选举董事，董事会的人数和人员构成符合法律法规的要求</w:t>
      </w:r>
      <w:r>
        <w:rPr>
          <w:rFonts w:hint="eastAsia" w:ascii="仿宋_GB2312" w:hAnsi="仿宋_GB2312" w:eastAsia="仿宋_GB2312" w:cs="仿宋_GB2312"/>
          <w:b w:val="0"/>
          <w:sz w:val="32"/>
          <w:highlight w:val="none"/>
          <w:lang w:eastAsia="zh-CN"/>
        </w:rPr>
        <w:t>，</w:t>
      </w:r>
      <w:r>
        <w:rPr>
          <w:rFonts w:hint="default" w:ascii="Times New Roman" w:hAnsi="Times New Roman" w:eastAsia="仿宋_GB2312" w:cs="Times New Roman"/>
          <w:b w:val="0"/>
          <w:sz w:val="32"/>
          <w:highlight w:val="none"/>
          <w:lang w:val="en-US" w:eastAsia="zh-CN"/>
        </w:rPr>
        <w:t>2023</w:t>
      </w:r>
      <w:r>
        <w:rPr>
          <w:rFonts w:hint="eastAsia" w:ascii="仿宋_GB2312" w:hAnsi="仿宋_GB2312" w:eastAsia="仿宋_GB2312" w:cs="仿宋_GB2312"/>
          <w:b w:val="0"/>
          <w:sz w:val="32"/>
          <w:highlight w:val="none"/>
          <w:lang w:val="en-US" w:eastAsia="zh-CN"/>
        </w:rPr>
        <w:t>年</w:t>
      </w:r>
      <w:r>
        <w:rPr>
          <w:rFonts w:hint="eastAsia" w:ascii="仿宋_GB2312" w:hAnsi="仿宋_GB2312" w:eastAsia="仿宋_GB2312" w:cs="仿宋_GB2312"/>
          <w:b w:val="0"/>
          <w:sz w:val="32"/>
          <w:highlight w:val="none"/>
        </w:rPr>
        <w:t>本行董事会由</w:t>
      </w:r>
      <w:r>
        <w:rPr>
          <w:rFonts w:hint="default" w:ascii="Times New Roman" w:hAnsi="Times New Roman" w:eastAsia="仿宋_GB2312" w:cs="Times New Roman"/>
          <w:b w:val="0"/>
          <w:sz w:val="32"/>
          <w:highlight w:val="none"/>
          <w:lang w:val="en-US" w:eastAsia="zh-CN"/>
        </w:rPr>
        <w:t>7</w:t>
      </w:r>
      <w:r>
        <w:rPr>
          <w:rFonts w:hint="eastAsia" w:ascii="仿宋_GB2312" w:hAnsi="仿宋_GB2312" w:eastAsia="仿宋_GB2312" w:cs="仿宋_GB2312"/>
          <w:b w:val="0"/>
          <w:sz w:val="32"/>
          <w:highlight w:val="none"/>
        </w:rPr>
        <w:t>名董事组成，其中职工董事</w:t>
      </w:r>
      <w:r>
        <w:rPr>
          <w:rFonts w:hint="default" w:ascii="Times New Roman" w:hAnsi="Times New Roman" w:eastAsia="仿宋_GB2312" w:cs="Times New Roman"/>
          <w:b w:val="0"/>
          <w:sz w:val="32"/>
          <w:highlight w:val="none"/>
          <w:lang w:val="en-US" w:eastAsia="zh-CN"/>
        </w:rPr>
        <w:t>2</w:t>
      </w:r>
      <w:r>
        <w:rPr>
          <w:rFonts w:hint="eastAsia" w:ascii="仿宋_GB2312" w:hAnsi="仿宋_GB2312" w:eastAsia="仿宋_GB2312" w:cs="仿宋_GB2312"/>
          <w:b w:val="0"/>
          <w:sz w:val="32"/>
          <w:highlight w:val="none"/>
        </w:rPr>
        <w:t>名</w:t>
      </w:r>
      <w:r>
        <w:rPr>
          <w:rFonts w:hint="eastAsia" w:ascii="仿宋_GB2312" w:hAnsi="仿宋_GB2312" w:eastAsia="仿宋_GB2312" w:cs="仿宋_GB2312"/>
          <w:b w:val="0"/>
          <w:sz w:val="32"/>
          <w:highlight w:val="none"/>
          <w:lang w:eastAsia="zh-CN"/>
        </w:rPr>
        <w:t>，股东董事</w:t>
      </w:r>
      <w:r>
        <w:rPr>
          <w:rFonts w:hint="default" w:ascii="Times New Roman" w:hAnsi="Times New Roman" w:eastAsia="仿宋_GB2312" w:cs="Times New Roman"/>
          <w:b w:val="0"/>
          <w:sz w:val="32"/>
          <w:highlight w:val="none"/>
          <w:lang w:val="en-US" w:eastAsia="zh-CN"/>
        </w:rPr>
        <w:t>2</w:t>
      </w:r>
      <w:r>
        <w:rPr>
          <w:rFonts w:hint="eastAsia" w:ascii="仿宋_GB2312" w:hAnsi="仿宋_GB2312" w:eastAsia="仿宋_GB2312" w:cs="仿宋_GB2312"/>
          <w:b w:val="0"/>
          <w:sz w:val="32"/>
          <w:highlight w:val="none"/>
          <w:lang w:val="en-US" w:eastAsia="zh-CN"/>
        </w:rPr>
        <w:t>名，</w:t>
      </w:r>
      <w:r>
        <w:rPr>
          <w:rFonts w:hint="default" w:ascii="Times New Roman" w:hAnsi="Times New Roman" w:eastAsia="仿宋_GB2312" w:cs="Times New Roman"/>
          <w:b w:val="0"/>
          <w:sz w:val="32"/>
          <w:highlight w:val="none"/>
          <w:lang w:val="en-US" w:eastAsia="zh-CN"/>
        </w:rPr>
        <w:t>3</w:t>
      </w:r>
      <w:r>
        <w:rPr>
          <w:rFonts w:hint="eastAsia" w:ascii="仿宋_GB2312" w:hAnsi="仿宋_GB2312" w:eastAsia="仿宋_GB2312" w:cs="仿宋_GB2312"/>
          <w:b w:val="0"/>
          <w:sz w:val="32"/>
          <w:highlight w:val="none"/>
        </w:rPr>
        <w:t>名独立董</w:t>
      </w:r>
      <w:r>
        <w:rPr>
          <w:rFonts w:hint="eastAsia" w:ascii="仿宋_GB2312" w:hAnsi="仿宋_GB2312" w:eastAsia="仿宋_GB2312" w:cs="仿宋_GB2312"/>
          <w:b w:val="0"/>
          <w:color w:val="auto"/>
          <w:sz w:val="32"/>
          <w:highlight w:val="none"/>
        </w:rPr>
        <w:t>事。</w:t>
      </w:r>
    </w:p>
    <w:p>
      <w:pPr>
        <w:keepNext w:val="0"/>
        <w:keepLines w:val="0"/>
        <w:pageBreakBefore w:val="0"/>
        <w:kinsoku/>
        <w:wordWrap/>
        <w:overflowPunct/>
        <w:autoSpaceDE/>
        <w:autoSpaceDN/>
        <w:bidi w:val="0"/>
        <w:spacing w:line="560" w:lineRule="exact"/>
        <w:ind w:firstLine="640" w:firstLineChars="200"/>
        <w:rPr>
          <w:rFonts w:hint="eastAsia" w:ascii="Times New Roman" w:hAnsi="Times New Roman" w:eastAsia="仿宋_GB2312" w:cs="Times New Roman"/>
          <w:b w:val="0"/>
          <w:sz w:val="32"/>
          <w:highlight w:val="none"/>
          <w:lang w:eastAsia="zh-CN"/>
        </w:rPr>
      </w:pPr>
      <w:r>
        <w:rPr>
          <w:rFonts w:hint="default" w:ascii="Times New Roman" w:hAnsi="Times New Roman" w:eastAsia="仿宋_GB2312" w:cs="Times New Roman"/>
          <w:b w:val="0"/>
          <w:sz w:val="32"/>
          <w:highlight w:val="none"/>
        </w:rPr>
        <w:t>董事会</w:t>
      </w:r>
      <w:r>
        <w:rPr>
          <w:rFonts w:hint="eastAsia" w:ascii="Times New Roman" w:hAnsi="Times New Roman" w:eastAsia="仿宋_GB2312" w:cs="Times New Roman"/>
          <w:b w:val="0"/>
          <w:sz w:val="32"/>
          <w:highlight w:val="none"/>
          <w:lang w:eastAsia="zh-CN"/>
        </w:rPr>
        <w:t>职责主要包括</w:t>
      </w:r>
      <w:r>
        <w:rPr>
          <w:rFonts w:hint="default" w:ascii="Times New Roman" w:hAnsi="Times New Roman" w:eastAsia="仿宋_GB2312" w:cs="Times New Roman"/>
          <w:b w:val="0"/>
          <w:sz w:val="32"/>
          <w:highlight w:val="none"/>
        </w:rPr>
        <w:t>召集股东大会，每年定期向股东大会报告工作</w:t>
      </w:r>
      <w:r>
        <w:rPr>
          <w:rFonts w:hint="eastAsia" w:ascii="Times New Roman" w:hAnsi="Times New Roman" w:eastAsia="仿宋_GB2312" w:cs="Times New Roman"/>
          <w:b w:val="0"/>
          <w:sz w:val="32"/>
          <w:highlight w:val="none"/>
          <w:lang w:eastAsia="zh-CN"/>
        </w:rPr>
        <w:t>；</w:t>
      </w:r>
      <w:r>
        <w:rPr>
          <w:rFonts w:hint="default" w:ascii="Times New Roman" w:hAnsi="Times New Roman" w:eastAsia="仿宋_GB2312" w:cs="Times New Roman"/>
          <w:b w:val="0"/>
          <w:sz w:val="32"/>
          <w:highlight w:val="none"/>
        </w:rPr>
        <w:t>执行股东大会决议</w:t>
      </w:r>
      <w:r>
        <w:rPr>
          <w:rFonts w:hint="eastAsia" w:ascii="Times New Roman" w:hAnsi="Times New Roman" w:eastAsia="仿宋_GB2312" w:cs="Times New Roman"/>
          <w:b w:val="0"/>
          <w:sz w:val="32"/>
          <w:highlight w:val="none"/>
          <w:lang w:eastAsia="zh-CN"/>
        </w:rPr>
        <w:t>；</w:t>
      </w:r>
      <w:r>
        <w:rPr>
          <w:rFonts w:hint="default" w:ascii="Times New Roman" w:hAnsi="Times New Roman" w:eastAsia="仿宋_GB2312" w:cs="Times New Roman"/>
          <w:b w:val="0"/>
          <w:sz w:val="32"/>
          <w:highlight w:val="none"/>
        </w:rPr>
        <w:t>制订行业基本自律制度</w:t>
      </w:r>
      <w:r>
        <w:rPr>
          <w:rFonts w:hint="eastAsia" w:ascii="Times New Roman" w:hAnsi="Times New Roman" w:eastAsia="仿宋_GB2312" w:cs="Times New Roman"/>
          <w:b w:val="0"/>
          <w:sz w:val="32"/>
          <w:highlight w:val="none"/>
          <w:lang w:eastAsia="zh-CN"/>
        </w:rPr>
        <w:t>；</w:t>
      </w:r>
      <w:r>
        <w:rPr>
          <w:rFonts w:hint="default" w:ascii="Times New Roman" w:hAnsi="Times New Roman" w:eastAsia="仿宋_GB2312" w:cs="Times New Roman"/>
          <w:b w:val="0"/>
          <w:sz w:val="32"/>
          <w:highlight w:val="none"/>
        </w:rPr>
        <w:t>制订本行的发展方针和工作规划</w:t>
      </w:r>
      <w:r>
        <w:rPr>
          <w:rFonts w:hint="eastAsia" w:ascii="Times New Roman" w:hAnsi="Times New Roman" w:eastAsia="仿宋_GB2312" w:cs="Times New Roman"/>
          <w:b w:val="0"/>
          <w:sz w:val="32"/>
          <w:highlight w:val="none"/>
          <w:lang w:eastAsia="zh-CN"/>
        </w:rPr>
        <w:t>；</w:t>
      </w:r>
      <w:r>
        <w:rPr>
          <w:rFonts w:hint="default" w:ascii="Times New Roman" w:hAnsi="Times New Roman" w:eastAsia="仿宋_GB2312" w:cs="Times New Roman"/>
          <w:b w:val="0"/>
          <w:sz w:val="32"/>
          <w:highlight w:val="none"/>
        </w:rPr>
        <w:t>制订本行年度财务预决算方案、利润分配方案和弥补亏损方案、大额捐赠及系统内定向扶持方案</w:t>
      </w:r>
      <w:r>
        <w:rPr>
          <w:rFonts w:hint="eastAsia" w:ascii="Times New Roman" w:hAnsi="Times New Roman" w:eastAsia="仿宋_GB2312" w:cs="Times New Roman"/>
          <w:b w:val="0"/>
          <w:sz w:val="32"/>
          <w:highlight w:val="none"/>
          <w:lang w:eastAsia="zh-CN"/>
        </w:rPr>
        <w:t>；</w:t>
      </w:r>
      <w:r>
        <w:rPr>
          <w:rFonts w:hint="default" w:ascii="Times New Roman" w:hAnsi="Times New Roman" w:eastAsia="仿宋_GB2312" w:cs="Times New Roman"/>
          <w:b w:val="0"/>
          <w:sz w:val="32"/>
          <w:highlight w:val="none"/>
        </w:rPr>
        <w:t>制订行业风险管理制度</w:t>
      </w:r>
      <w:r>
        <w:rPr>
          <w:rFonts w:hint="eastAsia" w:ascii="Times New Roman" w:hAnsi="Times New Roman" w:eastAsia="仿宋_GB2312" w:cs="Times New Roman"/>
          <w:b w:val="0"/>
          <w:sz w:val="32"/>
          <w:highlight w:val="none"/>
          <w:lang w:eastAsia="zh-CN"/>
        </w:rPr>
        <w:t>；</w:t>
      </w:r>
      <w:r>
        <w:rPr>
          <w:rFonts w:hint="default" w:ascii="Times New Roman" w:hAnsi="Times New Roman" w:eastAsia="仿宋_GB2312" w:cs="Times New Roman"/>
          <w:b w:val="0"/>
          <w:sz w:val="32"/>
          <w:highlight w:val="none"/>
        </w:rPr>
        <w:t>拟订本行变更注册资本的方案</w:t>
      </w:r>
      <w:r>
        <w:rPr>
          <w:rFonts w:hint="eastAsia" w:ascii="Times New Roman" w:hAnsi="Times New Roman" w:eastAsia="仿宋_GB2312" w:cs="Times New Roman"/>
          <w:b w:val="0"/>
          <w:sz w:val="32"/>
          <w:highlight w:val="none"/>
          <w:lang w:eastAsia="zh-CN"/>
        </w:rPr>
        <w:t>；</w:t>
      </w:r>
      <w:r>
        <w:rPr>
          <w:rFonts w:hint="default" w:ascii="Times New Roman" w:hAnsi="Times New Roman" w:eastAsia="仿宋_GB2312" w:cs="Times New Roman"/>
          <w:b w:val="0"/>
          <w:sz w:val="32"/>
          <w:highlight w:val="none"/>
        </w:rPr>
        <w:t>制定本行内设部门设置的具体方案</w:t>
      </w:r>
      <w:r>
        <w:rPr>
          <w:rFonts w:hint="eastAsia" w:ascii="Times New Roman" w:hAnsi="Times New Roman" w:eastAsia="仿宋_GB2312" w:cs="Times New Roman"/>
          <w:b w:val="0"/>
          <w:sz w:val="32"/>
          <w:highlight w:val="none"/>
          <w:lang w:eastAsia="zh-CN"/>
        </w:rPr>
        <w:t>；</w:t>
      </w:r>
      <w:r>
        <w:rPr>
          <w:rFonts w:hint="default" w:ascii="Times New Roman" w:hAnsi="Times New Roman" w:eastAsia="仿宋_GB2312" w:cs="Times New Roman"/>
          <w:b w:val="0"/>
          <w:sz w:val="32"/>
          <w:highlight w:val="none"/>
        </w:rPr>
        <w:t>拟订本行内设部门和人员编制的总体方案</w:t>
      </w:r>
      <w:r>
        <w:rPr>
          <w:rFonts w:hint="eastAsia" w:ascii="Times New Roman" w:hAnsi="Times New Roman" w:eastAsia="仿宋_GB2312" w:cs="Times New Roman"/>
          <w:b w:val="0"/>
          <w:sz w:val="32"/>
          <w:highlight w:val="none"/>
          <w:lang w:eastAsia="zh-CN"/>
        </w:rPr>
        <w:t>；</w:t>
      </w:r>
      <w:r>
        <w:rPr>
          <w:rFonts w:hint="default" w:ascii="Times New Roman" w:hAnsi="Times New Roman" w:eastAsia="仿宋_GB2312" w:cs="Times New Roman"/>
          <w:b w:val="0"/>
          <w:sz w:val="32"/>
          <w:highlight w:val="none"/>
        </w:rPr>
        <w:t>拟订本行合并、分立、解散和清算等事项的方案</w:t>
      </w:r>
      <w:r>
        <w:rPr>
          <w:rFonts w:hint="eastAsia" w:ascii="Times New Roman" w:hAnsi="Times New Roman" w:eastAsia="仿宋_GB2312" w:cs="Times New Roman"/>
          <w:b w:val="0"/>
          <w:sz w:val="32"/>
          <w:highlight w:val="none"/>
          <w:lang w:eastAsia="zh-CN"/>
        </w:rPr>
        <w:t>；</w:t>
      </w:r>
      <w:r>
        <w:rPr>
          <w:rFonts w:hint="default" w:ascii="Times New Roman" w:hAnsi="Times New Roman" w:eastAsia="仿宋_GB2312" w:cs="Times New Roman"/>
          <w:b w:val="0"/>
          <w:sz w:val="32"/>
          <w:highlight w:val="none"/>
        </w:rPr>
        <w:t>提出聘请或解聘为本行审计的会计师事务所方案</w:t>
      </w:r>
      <w:r>
        <w:rPr>
          <w:rFonts w:hint="eastAsia" w:ascii="Times New Roman" w:hAnsi="Times New Roman" w:eastAsia="仿宋_GB2312" w:cs="Times New Roman"/>
          <w:b w:val="0"/>
          <w:sz w:val="32"/>
          <w:highlight w:val="none"/>
          <w:lang w:eastAsia="zh-CN"/>
        </w:rPr>
        <w:t>；</w:t>
      </w:r>
      <w:r>
        <w:rPr>
          <w:rFonts w:hint="default" w:ascii="Times New Roman" w:hAnsi="Times New Roman" w:eastAsia="仿宋_GB2312" w:cs="Times New Roman"/>
          <w:b w:val="0"/>
          <w:sz w:val="32"/>
          <w:highlight w:val="none"/>
        </w:rPr>
        <w:t>根据行管部门意见拟定本行行业服务费用的收取标准</w:t>
      </w:r>
      <w:r>
        <w:rPr>
          <w:rFonts w:hint="eastAsia" w:ascii="Times New Roman" w:hAnsi="Times New Roman" w:eastAsia="仿宋_GB2312" w:cs="Times New Roman"/>
          <w:b w:val="0"/>
          <w:sz w:val="32"/>
          <w:highlight w:val="none"/>
          <w:lang w:eastAsia="zh-CN"/>
        </w:rPr>
        <w:t>；</w:t>
      </w:r>
      <w:r>
        <w:rPr>
          <w:rFonts w:hint="default" w:ascii="Times New Roman" w:hAnsi="Times New Roman" w:eastAsia="仿宋_GB2312" w:cs="Times New Roman"/>
          <w:b w:val="0"/>
          <w:sz w:val="32"/>
          <w:highlight w:val="none"/>
        </w:rPr>
        <w:t>制定本行高级管理人员及职工薪酬具体方案</w:t>
      </w:r>
      <w:r>
        <w:rPr>
          <w:rFonts w:hint="eastAsia" w:ascii="Times New Roman" w:hAnsi="Times New Roman" w:eastAsia="仿宋_GB2312" w:cs="Times New Roman"/>
          <w:b w:val="0"/>
          <w:sz w:val="32"/>
          <w:highlight w:val="none"/>
          <w:lang w:eastAsia="zh-CN"/>
        </w:rPr>
        <w:t>；</w:t>
      </w:r>
      <w:r>
        <w:rPr>
          <w:rFonts w:hint="default" w:ascii="Times New Roman" w:hAnsi="Times New Roman" w:eastAsia="仿宋_GB2312" w:cs="Times New Roman"/>
          <w:b w:val="0"/>
          <w:sz w:val="32"/>
          <w:highlight w:val="none"/>
        </w:rPr>
        <w:t>确定本行服务业务范围、内部管理和内部控制制度</w:t>
      </w:r>
      <w:r>
        <w:rPr>
          <w:rFonts w:hint="eastAsia" w:ascii="Times New Roman" w:hAnsi="Times New Roman" w:eastAsia="仿宋_GB2312" w:cs="Times New Roman"/>
          <w:b w:val="0"/>
          <w:sz w:val="32"/>
          <w:highlight w:val="none"/>
          <w:lang w:eastAsia="zh-CN"/>
        </w:rPr>
        <w:t>；</w:t>
      </w:r>
      <w:r>
        <w:rPr>
          <w:rFonts w:hint="default" w:ascii="Times New Roman" w:hAnsi="Times New Roman" w:eastAsia="仿宋_GB2312" w:cs="Times New Roman"/>
          <w:b w:val="0"/>
          <w:sz w:val="32"/>
          <w:highlight w:val="none"/>
        </w:rPr>
        <w:t>审议本行风险管理制度、策略，设立风险偏好；审批重大风险管理政策和程序；审议全面风险管理报告；审批全面风险和各类重要风险的披露</w:t>
      </w:r>
      <w:r>
        <w:rPr>
          <w:rFonts w:hint="eastAsia" w:ascii="Times New Roman" w:hAnsi="Times New Roman" w:eastAsia="仿宋_GB2312" w:cs="Times New Roman"/>
          <w:b w:val="0"/>
          <w:sz w:val="32"/>
          <w:highlight w:val="none"/>
          <w:lang w:eastAsia="zh-CN"/>
        </w:rPr>
        <w:t>；</w:t>
      </w:r>
      <w:r>
        <w:rPr>
          <w:rFonts w:hint="default" w:ascii="Times New Roman" w:hAnsi="Times New Roman" w:eastAsia="仿宋_GB2312" w:cs="Times New Roman"/>
          <w:b w:val="0"/>
          <w:sz w:val="32"/>
          <w:highlight w:val="none"/>
        </w:rPr>
        <w:t>确定下设各专业委员会的工作职责</w:t>
      </w:r>
      <w:r>
        <w:rPr>
          <w:rFonts w:hint="eastAsia" w:ascii="Times New Roman" w:hAnsi="Times New Roman" w:eastAsia="仿宋_GB2312" w:cs="Times New Roman"/>
          <w:b w:val="0"/>
          <w:sz w:val="32"/>
          <w:highlight w:val="none"/>
          <w:lang w:eastAsia="zh-CN"/>
        </w:rPr>
        <w:t>；</w:t>
      </w:r>
      <w:r>
        <w:rPr>
          <w:rFonts w:hint="default" w:ascii="Times New Roman" w:hAnsi="Times New Roman" w:eastAsia="仿宋_GB2312" w:cs="Times New Roman"/>
          <w:b w:val="0"/>
          <w:sz w:val="32"/>
          <w:highlight w:val="none"/>
        </w:rPr>
        <w:t>聘任或解聘本行行长，根据行长提名，聘任或解聘副行长、风险总监、财务和审计、稽核部门负责人等</w:t>
      </w:r>
      <w:r>
        <w:rPr>
          <w:rFonts w:hint="eastAsia" w:ascii="Times New Roman" w:hAnsi="Times New Roman" w:eastAsia="仿宋_GB2312" w:cs="Times New Roman"/>
          <w:b w:val="0"/>
          <w:sz w:val="32"/>
          <w:highlight w:val="none"/>
          <w:lang w:eastAsia="zh-CN"/>
        </w:rPr>
        <w:t>；</w:t>
      </w:r>
      <w:r>
        <w:rPr>
          <w:rFonts w:hint="default" w:ascii="Times New Roman" w:hAnsi="Times New Roman" w:eastAsia="仿宋_GB2312" w:cs="Times New Roman"/>
          <w:b w:val="0"/>
          <w:sz w:val="32"/>
          <w:highlight w:val="none"/>
        </w:rPr>
        <w:t>重大项目安排及大额资金使用</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rPr>
        <w:t>监督并确保本行高级管理层履行职责</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rPr>
        <w:t>指导、监督本行网点履职并负责对其考核评价</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rPr>
        <w:t>根据法律法规，对违法违规违纪人员提出处理意见</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rPr>
        <w:t>听取本行行长工作汇报并予以评价</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rPr>
        <w:t>监督本行执行国家法律法规和政策</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rPr>
        <w:t>监督本行业务活动的合法合规性</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rPr>
        <w:t>国家法律法规和股东大会授予的其他职权。</w:t>
      </w:r>
      <w:r>
        <w:rPr>
          <w:rFonts w:hint="eastAsia" w:ascii="仿宋_GB2312" w:hAnsi="仿宋_GB2312" w:eastAsia="仿宋_GB2312" w:cs="仿宋_GB2312"/>
          <w:sz w:val="32"/>
          <w:highlight w:val="none"/>
          <w:lang w:val="en-US" w:eastAsia="zh-CN"/>
        </w:rPr>
        <w:t>2023年</w:t>
      </w:r>
      <w:r>
        <w:rPr>
          <w:rFonts w:hint="eastAsia" w:ascii="仿宋_GB2312" w:hAnsi="仿宋_GB2312" w:eastAsia="仿宋_GB2312" w:cs="仿宋_GB2312"/>
          <w:sz w:val="32"/>
          <w:highlight w:val="none"/>
        </w:rPr>
        <w:t>我行董事会共召开</w:t>
      </w:r>
      <w:r>
        <w:rPr>
          <w:rFonts w:hint="default" w:ascii="Times New Roman" w:hAnsi="Times New Roman" w:eastAsia="仿宋_GB2312" w:cs="Times New Roman"/>
          <w:sz w:val="32"/>
          <w:highlight w:val="none"/>
          <w:lang w:val="en-US" w:eastAsia="zh-CN"/>
        </w:rPr>
        <w:t>8</w:t>
      </w:r>
      <w:r>
        <w:rPr>
          <w:rFonts w:hint="eastAsia" w:ascii="仿宋_GB2312" w:hAnsi="仿宋_GB2312" w:eastAsia="仿宋_GB2312" w:cs="仿宋_GB2312"/>
          <w:sz w:val="32"/>
          <w:highlight w:val="none"/>
        </w:rPr>
        <w:t>次会议，审议表决通过了</w:t>
      </w:r>
      <w:r>
        <w:rPr>
          <w:rFonts w:hint="default" w:ascii="Times New Roman" w:hAnsi="Times New Roman" w:eastAsia="仿宋_GB2312" w:cs="Times New Roman"/>
          <w:sz w:val="32"/>
          <w:highlight w:val="none"/>
        </w:rPr>
        <w:t>5</w:t>
      </w:r>
      <w:r>
        <w:rPr>
          <w:rFonts w:hint="eastAsia" w:ascii="Times New Roman" w:hAnsi="Times New Roman" w:eastAsia="仿宋_GB2312" w:cs="Times New Roman"/>
          <w:sz w:val="32"/>
          <w:highlight w:val="none"/>
          <w:lang w:val="en-US" w:eastAsia="zh-CN"/>
        </w:rPr>
        <w:t>1</w:t>
      </w:r>
      <w:r>
        <w:rPr>
          <w:rFonts w:hint="eastAsia" w:ascii="仿宋_GB2312" w:hAnsi="仿宋_GB2312" w:eastAsia="仿宋_GB2312" w:cs="仿宋_GB2312"/>
          <w:sz w:val="32"/>
          <w:highlight w:val="none"/>
        </w:rPr>
        <w:t>项决议</w:t>
      </w:r>
      <w:r>
        <w:rPr>
          <w:rFonts w:hint="eastAsia" w:ascii="仿宋_GB2312" w:hAnsi="仿宋_GB2312" w:eastAsia="仿宋_GB2312" w:cs="仿宋_GB2312"/>
          <w:sz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default"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惠水农商银行董事会下设提名与薪酬委员会、战略委员会、审计委员会、</w:t>
      </w:r>
      <w:r>
        <w:rPr>
          <w:rFonts w:hint="eastAsia" w:ascii="仿宋_GB2312" w:hAnsi="仿宋_GB2312" w:cs="仿宋_GB2312"/>
          <w:kern w:val="2"/>
          <w:sz w:val="32"/>
          <w:szCs w:val="22"/>
          <w:highlight w:val="none"/>
          <w:lang w:val="en-US" w:eastAsia="zh-CN" w:bidi="ar-SA"/>
        </w:rPr>
        <w:t>合规与</w:t>
      </w:r>
      <w:r>
        <w:rPr>
          <w:rFonts w:hint="eastAsia" w:ascii="仿宋_GB2312" w:hAnsi="仿宋_GB2312" w:eastAsia="仿宋_GB2312" w:cs="仿宋_GB2312"/>
          <w:kern w:val="2"/>
          <w:sz w:val="32"/>
          <w:szCs w:val="22"/>
          <w:highlight w:val="none"/>
          <w:lang w:val="en-US" w:eastAsia="zh-CN" w:bidi="ar-SA"/>
        </w:rPr>
        <w:t>关联交易控制委员会、风险管理委员会、“三农”金融发展委员会、消费者权益保护委员会、信息科技管理委员会等八个专门委员会和董事会办公室。各专门委员会分别制订有相应的议事规则和主要职责，并按照议事规则召开会议、履行职</w:t>
      </w:r>
      <w:r>
        <w:rPr>
          <w:rFonts w:hint="eastAsia" w:ascii="仿宋_GB2312" w:hAnsi="仿宋_GB2312" w:cs="仿宋_GB2312"/>
          <w:kern w:val="2"/>
          <w:sz w:val="32"/>
          <w:szCs w:val="22"/>
          <w:highlight w:val="none"/>
          <w:lang w:val="en-US" w:eastAsia="zh-CN" w:bidi="ar-SA"/>
        </w:rPr>
        <w:t>。2023年董事会各委员会共召开会议26次，分别为</w:t>
      </w:r>
      <w:r>
        <w:rPr>
          <w:rFonts w:hint="eastAsia" w:ascii="仿宋_GB2312" w:hAnsi="仿宋_GB2312" w:eastAsia="仿宋_GB2312" w:cs="仿宋_GB2312"/>
          <w:kern w:val="2"/>
          <w:sz w:val="32"/>
          <w:szCs w:val="22"/>
          <w:highlight w:val="none"/>
          <w:lang w:val="en-US" w:eastAsia="zh-CN" w:bidi="ar-SA"/>
        </w:rPr>
        <w:t>提名与薪酬委员会</w:t>
      </w:r>
      <w:r>
        <w:rPr>
          <w:rFonts w:hint="eastAsia" w:ascii="仿宋_GB2312" w:hAnsi="仿宋_GB2312" w:cs="仿宋_GB2312"/>
          <w:kern w:val="2"/>
          <w:sz w:val="32"/>
          <w:szCs w:val="22"/>
          <w:highlight w:val="none"/>
          <w:lang w:val="en-US" w:eastAsia="zh-CN" w:bidi="ar-SA"/>
        </w:rPr>
        <w:t>召开会议2次；</w:t>
      </w:r>
      <w:r>
        <w:rPr>
          <w:rFonts w:hint="eastAsia" w:ascii="仿宋_GB2312" w:hAnsi="仿宋_GB2312" w:eastAsia="仿宋_GB2312" w:cs="仿宋_GB2312"/>
          <w:kern w:val="2"/>
          <w:sz w:val="32"/>
          <w:szCs w:val="22"/>
          <w:highlight w:val="none"/>
          <w:lang w:val="en-US" w:eastAsia="zh-CN" w:bidi="ar-SA"/>
        </w:rPr>
        <w:t>战略委员会</w:t>
      </w:r>
      <w:r>
        <w:rPr>
          <w:rFonts w:hint="eastAsia" w:ascii="仿宋_GB2312" w:hAnsi="仿宋_GB2312" w:cs="仿宋_GB2312"/>
          <w:kern w:val="2"/>
          <w:sz w:val="32"/>
          <w:szCs w:val="22"/>
          <w:highlight w:val="none"/>
          <w:lang w:val="en-US" w:eastAsia="zh-CN" w:bidi="ar-SA"/>
        </w:rPr>
        <w:t>5次；</w:t>
      </w:r>
      <w:r>
        <w:rPr>
          <w:rFonts w:hint="eastAsia" w:ascii="仿宋_GB2312" w:hAnsi="仿宋_GB2312" w:eastAsia="仿宋_GB2312" w:cs="仿宋_GB2312"/>
          <w:kern w:val="2"/>
          <w:sz w:val="32"/>
          <w:szCs w:val="22"/>
          <w:highlight w:val="none"/>
          <w:lang w:val="en-US" w:eastAsia="zh-CN" w:bidi="ar-SA"/>
        </w:rPr>
        <w:t>审计委员会</w:t>
      </w:r>
      <w:r>
        <w:rPr>
          <w:rFonts w:hint="eastAsia" w:ascii="仿宋_GB2312" w:hAnsi="仿宋_GB2312" w:cs="仿宋_GB2312"/>
          <w:kern w:val="2"/>
          <w:sz w:val="32"/>
          <w:szCs w:val="22"/>
          <w:highlight w:val="none"/>
          <w:lang w:val="en-US" w:eastAsia="zh-CN" w:bidi="ar-SA"/>
        </w:rPr>
        <w:t>3次；合规与</w:t>
      </w:r>
      <w:r>
        <w:rPr>
          <w:rFonts w:hint="eastAsia" w:ascii="仿宋_GB2312" w:hAnsi="仿宋_GB2312" w:eastAsia="仿宋_GB2312" w:cs="仿宋_GB2312"/>
          <w:kern w:val="2"/>
          <w:sz w:val="32"/>
          <w:szCs w:val="22"/>
          <w:highlight w:val="none"/>
          <w:lang w:val="en-US" w:eastAsia="zh-CN" w:bidi="ar-SA"/>
        </w:rPr>
        <w:t>关联交易控制委员会</w:t>
      </w:r>
      <w:r>
        <w:rPr>
          <w:rFonts w:hint="eastAsia" w:ascii="仿宋_GB2312" w:hAnsi="仿宋_GB2312" w:cs="仿宋_GB2312"/>
          <w:kern w:val="2"/>
          <w:sz w:val="32"/>
          <w:szCs w:val="22"/>
          <w:highlight w:val="none"/>
          <w:lang w:val="en-US" w:eastAsia="zh-CN" w:bidi="ar-SA"/>
        </w:rPr>
        <w:t>6次；</w:t>
      </w:r>
      <w:r>
        <w:rPr>
          <w:rFonts w:hint="eastAsia" w:ascii="仿宋_GB2312" w:hAnsi="仿宋_GB2312" w:eastAsia="仿宋_GB2312" w:cs="仿宋_GB2312"/>
          <w:kern w:val="2"/>
          <w:sz w:val="32"/>
          <w:szCs w:val="22"/>
          <w:highlight w:val="none"/>
          <w:lang w:val="en-US" w:eastAsia="zh-CN" w:bidi="ar-SA"/>
        </w:rPr>
        <w:t>风险管理委员会</w:t>
      </w:r>
      <w:r>
        <w:rPr>
          <w:rFonts w:hint="eastAsia" w:ascii="仿宋_GB2312" w:hAnsi="仿宋_GB2312" w:cs="仿宋_GB2312"/>
          <w:kern w:val="2"/>
          <w:sz w:val="32"/>
          <w:szCs w:val="22"/>
          <w:highlight w:val="none"/>
          <w:lang w:val="en-US" w:eastAsia="zh-CN" w:bidi="ar-SA"/>
        </w:rPr>
        <w:t>5次；</w:t>
      </w:r>
      <w:r>
        <w:rPr>
          <w:rFonts w:hint="eastAsia" w:ascii="仿宋_GB2312" w:hAnsi="仿宋_GB2312" w:eastAsia="仿宋_GB2312" w:cs="仿宋_GB2312"/>
          <w:kern w:val="2"/>
          <w:sz w:val="32"/>
          <w:szCs w:val="22"/>
          <w:highlight w:val="none"/>
          <w:lang w:val="en-US" w:eastAsia="zh-CN" w:bidi="ar-SA"/>
        </w:rPr>
        <w:t>“三农”金融发展委员会</w:t>
      </w:r>
      <w:r>
        <w:rPr>
          <w:rFonts w:hint="eastAsia" w:ascii="仿宋_GB2312" w:hAnsi="仿宋_GB2312" w:cs="仿宋_GB2312"/>
          <w:kern w:val="2"/>
          <w:sz w:val="32"/>
          <w:szCs w:val="22"/>
          <w:highlight w:val="none"/>
          <w:lang w:val="en-US" w:eastAsia="zh-CN" w:bidi="ar-SA"/>
        </w:rPr>
        <w:t>1次；</w:t>
      </w:r>
      <w:r>
        <w:rPr>
          <w:rFonts w:hint="eastAsia" w:ascii="仿宋_GB2312" w:hAnsi="仿宋_GB2312" w:eastAsia="仿宋_GB2312" w:cs="仿宋_GB2312"/>
          <w:kern w:val="2"/>
          <w:sz w:val="32"/>
          <w:szCs w:val="22"/>
          <w:highlight w:val="none"/>
          <w:lang w:val="en-US" w:eastAsia="zh-CN" w:bidi="ar-SA"/>
        </w:rPr>
        <w:t>消费者权益保护委员会</w:t>
      </w:r>
      <w:r>
        <w:rPr>
          <w:rFonts w:hint="eastAsia" w:ascii="仿宋_GB2312" w:hAnsi="仿宋_GB2312" w:cs="仿宋_GB2312"/>
          <w:kern w:val="2"/>
          <w:sz w:val="32"/>
          <w:szCs w:val="22"/>
          <w:highlight w:val="none"/>
          <w:lang w:val="en-US" w:eastAsia="zh-CN" w:bidi="ar-SA"/>
        </w:rPr>
        <w:t>2次；</w:t>
      </w:r>
      <w:r>
        <w:rPr>
          <w:rFonts w:hint="eastAsia" w:ascii="仿宋_GB2312" w:hAnsi="仿宋_GB2312" w:eastAsia="仿宋_GB2312" w:cs="仿宋_GB2312"/>
          <w:kern w:val="2"/>
          <w:sz w:val="32"/>
          <w:szCs w:val="22"/>
          <w:highlight w:val="none"/>
          <w:lang w:val="en-US" w:eastAsia="zh-CN" w:bidi="ar-SA"/>
        </w:rPr>
        <w:t>信息科技管理委员会</w:t>
      </w:r>
      <w:r>
        <w:rPr>
          <w:rFonts w:hint="eastAsia" w:ascii="仿宋_GB2312" w:hAnsi="仿宋_GB2312" w:cs="仿宋_GB2312"/>
          <w:kern w:val="2"/>
          <w:sz w:val="32"/>
          <w:szCs w:val="22"/>
          <w:highlight w:val="none"/>
          <w:lang w:val="en-US" w:eastAsia="zh-CN" w:bidi="ar-SA"/>
        </w:rPr>
        <w:t>2次。</w:t>
      </w:r>
    </w:p>
    <w:p>
      <w:pPr>
        <w:keepNext w:val="0"/>
        <w:keepLines w:val="0"/>
        <w:pageBreakBefore w:val="0"/>
        <w:kinsoku/>
        <w:wordWrap/>
        <w:overflowPunct/>
        <w:autoSpaceDE/>
        <w:autoSpaceDN/>
        <w:bidi w:val="0"/>
        <w:spacing w:line="560" w:lineRule="exact"/>
        <w:ind w:firstLine="640" w:firstLineChars="200"/>
        <w:rPr>
          <w:rFonts w:hint="default" w:eastAsia="仿宋_GB2312"/>
          <w:highlight w:val="none"/>
          <w:lang w:val="en-US" w:eastAsia="zh-CN"/>
        </w:rPr>
      </w:pPr>
      <w:r>
        <w:rPr>
          <w:rFonts w:hint="default" w:ascii="Times New Roman" w:hAnsi="Times New Roman" w:eastAsia="仿宋_GB2312" w:cs="Times New Roman"/>
          <w:b w:val="0"/>
          <w:sz w:val="32"/>
          <w:highlight w:val="none"/>
        </w:rPr>
        <w:t>202</w:t>
      </w:r>
      <w:r>
        <w:rPr>
          <w:rFonts w:hint="default" w:ascii="Times New Roman" w:hAnsi="Times New Roman" w:eastAsia="仿宋_GB2312" w:cs="Times New Roman"/>
          <w:b w:val="0"/>
          <w:sz w:val="32"/>
          <w:highlight w:val="none"/>
          <w:lang w:val="en-US" w:eastAsia="zh-CN"/>
        </w:rPr>
        <w:t>3</w:t>
      </w:r>
      <w:r>
        <w:rPr>
          <w:rFonts w:hint="eastAsia" w:ascii="仿宋_GB2312" w:hAnsi="仿宋_GB2312" w:eastAsia="仿宋_GB2312" w:cs="仿宋_GB2312"/>
          <w:b w:val="0"/>
          <w:sz w:val="32"/>
          <w:highlight w:val="none"/>
        </w:rPr>
        <w:t>年，我行董事基本都能较好地履行董事会成员的基本职责，自觉关注我行发展动态，努力履行董事职责，针对管理决策各抒己见，提出合理性建议。</w:t>
      </w:r>
      <w:r>
        <w:rPr>
          <w:rFonts w:hint="eastAsia" w:ascii="仿宋_GB2312" w:hAnsi="仿宋_GB2312" w:eastAsia="仿宋_GB2312" w:cs="仿宋_GB2312"/>
          <w:sz w:val="32"/>
          <w:highlight w:val="none"/>
        </w:rPr>
        <w:t>董事长在董事会闭会期间科学地行使董事会的权力，执行股东大会决议，规范经营管理层的经营行为，自觉接受监事会的有效监督；独立董事基本发挥了对董事会内部的监督员作用，并充分发表独立意见。对我行的风险管理、经营状况、财务运作等方面不断趋以规范</w:t>
      </w:r>
      <w:r>
        <w:rPr>
          <w:rFonts w:hint="eastAsia" w:ascii="仿宋_GB2312" w:hAnsi="仿宋_GB2312" w:eastAsia="仿宋_GB2312" w:cs="仿宋_GB2312"/>
          <w:sz w:val="32"/>
          <w:highlight w:val="none"/>
          <w:lang w:val="en-US" w:eastAsia="zh-CN"/>
        </w:rPr>
        <w:t>。</w:t>
      </w:r>
    </w:p>
    <w:p>
      <w:pPr>
        <w:keepNext w:val="0"/>
        <w:keepLines w:val="0"/>
        <w:pageBreakBefore w:val="0"/>
        <w:tabs>
          <w:tab w:val="left" w:pos="1080"/>
        </w:tabs>
        <w:kinsoku/>
        <w:wordWrap/>
        <w:overflowPunct/>
        <w:autoSpaceDE/>
        <w:autoSpaceDN/>
        <w:bidi w:val="0"/>
        <w:adjustRightInd w:val="0"/>
        <w:snapToGrid w:val="0"/>
        <w:spacing w:line="560" w:lineRule="exact"/>
        <w:ind w:firstLine="640" w:firstLineChars="200"/>
        <w:rPr>
          <w:rFonts w:ascii="Times New Roman" w:hAnsi="Times New Roman" w:eastAsia="黑体"/>
          <w:color w:val="auto"/>
          <w:sz w:val="32"/>
          <w:szCs w:val="32"/>
          <w:highlight w:val="none"/>
        </w:rPr>
      </w:pPr>
      <w:bookmarkStart w:id="19" w:name="_Toc29793_WPSOffice_Level2"/>
      <w:r>
        <w:rPr>
          <w:rFonts w:hint="eastAsia" w:ascii="Times New Roman" w:hAnsi="Times New Roman" w:eastAsia="黑体"/>
          <w:color w:val="auto"/>
          <w:sz w:val="32"/>
          <w:szCs w:val="32"/>
          <w:highlight w:val="none"/>
        </w:rPr>
        <w:t>五、监事会的构成及其工作情况</w:t>
      </w:r>
      <w:bookmarkEnd w:id="19"/>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highlight w:val="none"/>
          <w:lang w:val="en-US" w:eastAsia="zh-CN"/>
        </w:rPr>
      </w:pPr>
      <w:r>
        <w:rPr>
          <w:rFonts w:hint="eastAsia" w:ascii="仿宋_GB2312" w:hAnsi="仿宋_GB2312" w:eastAsia="仿宋_GB2312" w:cs="仿宋_GB2312"/>
          <w:b w:val="0"/>
          <w:sz w:val="32"/>
          <w:highlight w:val="none"/>
        </w:rPr>
        <w:t>本行监事的任职资格和选聘程序、监事会的人数和人员构成均符合《章程》的规定要求。</w:t>
      </w:r>
      <w:r>
        <w:rPr>
          <w:rFonts w:hint="default" w:ascii="Times New Roman" w:hAnsi="Times New Roman" w:eastAsia="仿宋_GB2312" w:cs="Times New Roman"/>
          <w:sz w:val="32"/>
          <w:highlight w:val="none"/>
          <w:lang w:val="en-US" w:eastAsia="zh-CN"/>
        </w:rPr>
        <w:t>2023</w:t>
      </w:r>
      <w:r>
        <w:rPr>
          <w:rFonts w:hint="eastAsia" w:ascii="仿宋_GB2312" w:hAnsi="仿宋_GB2312" w:eastAsia="仿宋_GB2312" w:cs="仿宋_GB2312"/>
          <w:sz w:val="32"/>
          <w:highlight w:val="none"/>
          <w:lang w:val="en-US" w:eastAsia="zh-CN"/>
        </w:rPr>
        <w:t>年</w:t>
      </w:r>
      <w:r>
        <w:rPr>
          <w:rFonts w:hint="default" w:ascii="Times New Roman" w:hAnsi="Times New Roman" w:eastAsia="仿宋_GB2312" w:cs="Times New Roman"/>
          <w:sz w:val="32"/>
          <w:highlight w:val="none"/>
          <w:lang w:val="en-US" w:eastAsia="zh-CN"/>
        </w:rPr>
        <w:t>6</w:t>
      </w:r>
      <w:r>
        <w:rPr>
          <w:rFonts w:hint="eastAsia" w:ascii="仿宋_GB2312" w:hAnsi="仿宋_GB2312" w:eastAsia="仿宋_GB2312" w:cs="仿宋_GB2312"/>
          <w:sz w:val="32"/>
          <w:highlight w:val="none"/>
          <w:lang w:val="en-US" w:eastAsia="zh-CN"/>
        </w:rPr>
        <w:t>月，我行补选</w:t>
      </w:r>
      <w:r>
        <w:rPr>
          <w:rFonts w:hint="default" w:ascii="Times New Roman" w:hAnsi="Times New Roman" w:eastAsia="仿宋_GB2312" w:cs="Times New Roman"/>
          <w:sz w:val="32"/>
          <w:highlight w:val="none"/>
          <w:lang w:val="en-US" w:eastAsia="zh-CN"/>
        </w:rPr>
        <w:t>1</w:t>
      </w:r>
      <w:r>
        <w:rPr>
          <w:rFonts w:hint="eastAsia" w:ascii="仿宋_GB2312" w:hAnsi="仿宋_GB2312" w:eastAsia="仿宋_GB2312" w:cs="仿宋_GB2312"/>
          <w:sz w:val="32"/>
          <w:highlight w:val="none"/>
          <w:lang w:val="en-US" w:eastAsia="zh-CN"/>
        </w:rPr>
        <w:t>名外部监事，至</w:t>
      </w:r>
      <w:r>
        <w:rPr>
          <w:rFonts w:hint="eastAsia" w:ascii="仿宋_GB2312" w:hAnsi="仿宋_GB2312" w:eastAsia="仿宋_GB2312" w:cs="仿宋_GB2312"/>
          <w:sz w:val="32"/>
          <w:highlight w:val="none"/>
        </w:rPr>
        <w:t>报告期末，本行监事会由</w:t>
      </w:r>
      <w:r>
        <w:rPr>
          <w:rFonts w:hint="default" w:ascii="Times New Roman" w:hAnsi="Times New Roman" w:eastAsia="仿宋_GB2312" w:cs="Times New Roman"/>
          <w:sz w:val="32"/>
          <w:highlight w:val="none"/>
          <w:lang w:val="en-US" w:eastAsia="zh-CN"/>
        </w:rPr>
        <w:t>4</w:t>
      </w:r>
      <w:r>
        <w:rPr>
          <w:rFonts w:hint="eastAsia" w:ascii="仿宋_GB2312" w:hAnsi="仿宋_GB2312" w:eastAsia="仿宋_GB2312" w:cs="仿宋_GB2312"/>
          <w:sz w:val="32"/>
          <w:highlight w:val="none"/>
        </w:rPr>
        <w:t>名监事组成，其中职工监事</w:t>
      </w:r>
      <w:r>
        <w:rPr>
          <w:rFonts w:hint="default" w:ascii="Times New Roman" w:hAnsi="Times New Roman" w:eastAsia="仿宋_GB2312" w:cs="Times New Roman"/>
          <w:sz w:val="32"/>
          <w:highlight w:val="none"/>
          <w:lang w:val="en-US" w:eastAsia="zh-CN"/>
        </w:rPr>
        <w:t>1</w:t>
      </w:r>
      <w:r>
        <w:rPr>
          <w:rFonts w:hint="eastAsia" w:ascii="仿宋_GB2312" w:hAnsi="仿宋_GB2312" w:eastAsia="仿宋_GB2312" w:cs="仿宋_GB2312"/>
          <w:sz w:val="32"/>
          <w:highlight w:val="none"/>
        </w:rPr>
        <w:t>名，</w:t>
      </w:r>
      <w:r>
        <w:rPr>
          <w:rFonts w:hint="eastAsia" w:ascii="仿宋_GB2312" w:hAnsi="仿宋_GB2312" w:eastAsia="仿宋_GB2312" w:cs="仿宋_GB2312"/>
          <w:sz w:val="32"/>
          <w:highlight w:val="none"/>
          <w:lang w:eastAsia="zh-CN"/>
        </w:rPr>
        <w:t>外部</w:t>
      </w:r>
      <w:r>
        <w:rPr>
          <w:rFonts w:hint="eastAsia" w:ascii="仿宋_GB2312" w:hAnsi="仿宋_GB2312" w:eastAsia="仿宋_GB2312" w:cs="仿宋_GB2312"/>
          <w:sz w:val="32"/>
          <w:highlight w:val="none"/>
        </w:rPr>
        <w:t>监事</w:t>
      </w:r>
      <w:r>
        <w:rPr>
          <w:rFonts w:hint="default" w:ascii="Times New Roman" w:hAnsi="Times New Roman" w:eastAsia="仿宋_GB2312" w:cs="Times New Roman"/>
          <w:sz w:val="32"/>
          <w:highlight w:val="none"/>
          <w:lang w:val="en-US" w:eastAsia="zh-CN"/>
        </w:rPr>
        <w:t>2</w:t>
      </w:r>
      <w:r>
        <w:rPr>
          <w:rFonts w:hint="eastAsia" w:ascii="仿宋_GB2312" w:hAnsi="仿宋_GB2312" w:eastAsia="仿宋_GB2312" w:cs="仿宋_GB2312"/>
          <w:sz w:val="32"/>
          <w:highlight w:val="none"/>
        </w:rPr>
        <w:t>名</w:t>
      </w:r>
      <w:r>
        <w:rPr>
          <w:rFonts w:hint="eastAsia" w:ascii="仿宋_GB2312" w:hAnsi="仿宋_GB2312" w:eastAsia="仿宋_GB2312" w:cs="仿宋_GB2312"/>
          <w:sz w:val="32"/>
          <w:highlight w:val="none"/>
          <w:lang w:eastAsia="zh-CN"/>
        </w:rPr>
        <w:t>，股东</w:t>
      </w:r>
      <w:r>
        <w:rPr>
          <w:rFonts w:hint="eastAsia" w:ascii="仿宋_GB2312" w:hAnsi="仿宋_GB2312" w:eastAsia="仿宋_GB2312" w:cs="仿宋_GB2312"/>
          <w:sz w:val="32"/>
          <w:highlight w:val="none"/>
        </w:rPr>
        <w:t>监事</w:t>
      </w:r>
      <w:r>
        <w:rPr>
          <w:rFonts w:hint="default" w:ascii="Times New Roman" w:hAnsi="Times New Roman" w:eastAsia="仿宋_GB2312" w:cs="Times New Roman"/>
          <w:color w:val="auto"/>
          <w:sz w:val="32"/>
          <w:highlight w:val="none"/>
          <w:lang w:val="en-US" w:eastAsia="zh-CN"/>
        </w:rPr>
        <w:t>1</w:t>
      </w:r>
      <w:r>
        <w:rPr>
          <w:rFonts w:hint="eastAsia" w:ascii="仿宋_GB2312" w:hAnsi="仿宋_GB2312" w:eastAsia="仿宋_GB2312" w:cs="仿宋_GB2312"/>
          <w:color w:val="auto"/>
          <w:sz w:val="32"/>
          <w:highlight w:val="none"/>
        </w:rPr>
        <w:t>名。</w:t>
      </w:r>
    </w:p>
    <w:p>
      <w:pPr>
        <w:keepNext w:val="0"/>
        <w:keepLines w:val="0"/>
        <w:pageBreakBefore w:val="0"/>
        <w:kinsoku/>
        <w:wordWrap/>
        <w:overflowPunct/>
        <w:autoSpaceDE/>
        <w:autoSpaceDN/>
        <w:bidi w:val="0"/>
        <w:spacing w:line="560" w:lineRule="exact"/>
        <w:ind w:firstLine="640" w:firstLineChars="200"/>
        <w:rPr>
          <w:highlight w:val="none"/>
        </w:rPr>
      </w:pPr>
      <w:r>
        <w:rPr>
          <w:rFonts w:hint="eastAsia" w:ascii="仿宋_GB2312" w:hAnsi="仿宋_GB2312" w:eastAsia="仿宋_GB2312" w:cs="仿宋_GB2312"/>
          <w:kern w:val="2"/>
          <w:sz w:val="32"/>
          <w:szCs w:val="32"/>
          <w:highlight w:val="none"/>
          <w:lang w:val="en-US" w:eastAsia="zh-CN" w:bidi="ar-SA"/>
        </w:rPr>
        <w:t>监事会职责包括</w:t>
      </w:r>
      <w:r>
        <w:rPr>
          <w:rFonts w:hint="default" w:ascii="仿宋_GB2312" w:hAnsi="仿宋_GB2312" w:eastAsia="仿宋_GB2312" w:cs="仿宋_GB2312"/>
          <w:kern w:val="2"/>
          <w:sz w:val="32"/>
          <w:szCs w:val="32"/>
          <w:highlight w:val="none"/>
          <w:lang w:val="en-US" w:eastAsia="zh-CN" w:bidi="ar-SA"/>
        </w:rPr>
        <w:t>监督董事会、高级管理人员履行职责的情况；要求董事、董事长</w:t>
      </w:r>
      <w:r>
        <w:rPr>
          <w:rFonts w:hint="default" w:ascii="Times New Roman" w:hAnsi="Times New Roman" w:eastAsia="仿宋_GB2312" w:cs="Times New Roman"/>
          <w:b w:val="0"/>
          <w:sz w:val="32"/>
          <w:highlight w:val="none"/>
          <w:lang w:val="en-US" w:eastAsia="zh-CN"/>
        </w:rPr>
        <w:t>及高级管理人员纠正其损害本行利益的行为</w:t>
      </w:r>
      <w:r>
        <w:rPr>
          <w:rFonts w:hint="eastAsia" w:ascii="Times New Roman" w:hAnsi="Times New Roman" w:eastAsia="仿宋_GB2312" w:cs="Times New Roman"/>
          <w:b w:val="0"/>
          <w:sz w:val="32"/>
          <w:highlight w:val="none"/>
          <w:lang w:val="en-US" w:eastAsia="zh-CN"/>
        </w:rPr>
        <w:t>；</w:t>
      </w:r>
      <w:r>
        <w:rPr>
          <w:rFonts w:hint="default" w:ascii="Times New Roman" w:hAnsi="Times New Roman" w:eastAsia="仿宋_GB2312" w:cs="Times New Roman"/>
          <w:b w:val="0"/>
          <w:sz w:val="32"/>
          <w:highlight w:val="none"/>
          <w:lang w:val="en-US" w:eastAsia="zh-CN"/>
        </w:rPr>
        <w:t>对违反有关法律、行政法规、公司章程或者股东大会决议的董事、高级管理人员提出罢免的建议；对董事和高级管理人员进行专项审计和离任审计；检查、监督本行的财务活动；对本行的经营决策、风险管理和内部控制等进行审计，指导内部稽核部门的活动；对董事、董事长及高级管理人员进行质询；对各董事、监事的履职情况作出评价，并向股东大会报告；指派监事列席董事会会议或高级管理人员会议；提议召开临时股东大会，在董事会不履行召集和主持股东大会职责时召集和主持股东大会；向股东大会提出提案；按照《公司法》规定对董事、高级管理人员提起诉讼；监督董事会确立稳健的经营理念、价值准则和制定符合公司情况的发展战略；对公司发展战略的科学性、合理性和稳健性进行评估，形成评估报告；对公司经营决策、风险管理和内部控制等进行监督检查并督促整改；对董事的选聘程序进行监督；对公司薪酬管理制度实施情况及高级管理人员薪酬方案的科学性、合理性进行监督；有关法律法规、行政规章和本章程规定应当由监事会行使的其他职权。</w:t>
      </w:r>
      <w:r>
        <w:rPr>
          <w:rFonts w:hint="eastAsia" w:ascii="仿宋_GB2312" w:hAnsi="仿宋_GB2312" w:eastAsia="仿宋_GB2312" w:cs="仿宋_GB2312"/>
          <w:b w:val="0"/>
          <w:sz w:val="32"/>
          <w:highlight w:val="none"/>
        </w:rPr>
        <w:t>本行监事会按照《章程》的规定认真履行职责，本着对股东高度负责的精神，对本行财务、授信状况和董事、行长、其他高级管理人员履行职责的合法合规性进行监督。</w:t>
      </w:r>
      <w:r>
        <w:rPr>
          <w:rFonts w:hint="default" w:ascii="Times New Roman" w:hAnsi="Times New Roman" w:eastAsia="仿宋_GB2312" w:cs="Times New Roman"/>
          <w:b w:val="0"/>
          <w:color w:val="auto"/>
          <w:sz w:val="32"/>
          <w:highlight w:val="none"/>
          <w:lang w:val="en-US" w:eastAsia="zh-CN"/>
        </w:rPr>
        <w:t>2023</w:t>
      </w:r>
      <w:r>
        <w:rPr>
          <w:rFonts w:hint="eastAsia" w:ascii="仿宋_GB2312" w:hAnsi="仿宋_GB2312" w:eastAsia="仿宋_GB2312" w:cs="仿宋_GB2312"/>
          <w:b w:val="0"/>
          <w:color w:val="auto"/>
          <w:sz w:val="32"/>
          <w:highlight w:val="none"/>
          <w:lang w:val="en-US" w:eastAsia="zh-CN"/>
        </w:rPr>
        <w:t>年</w:t>
      </w:r>
      <w:r>
        <w:rPr>
          <w:rFonts w:hint="eastAsia" w:ascii="仿宋_GB2312" w:hAnsi="仿宋_GB2312" w:eastAsia="仿宋_GB2312" w:cs="仿宋_GB2312"/>
          <w:b w:val="0"/>
          <w:color w:val="auto"/>
          <w:sz w:val="32"/>
          <w:highlight w:val="none"/>
        </w:rPr>
        <w:t>本行共召开了</w:t>
      </w:r>
      <w:r>
        <w:rPr>
          <w:rFonts w:hint="default" w:ascii="Times New Roman" w:hAnsi="Times New Roman" w:eastAsia="仿宋_GB2312" w:cs="Times New Roman"/>
          <w:b w:val="0"/>
          <w:color w:val="auto"/>
          <w:sz w:val="32"/>
          <w:highlight w:val="none"/>
          <w:lang w:val="en-US" w:eastAsia="zh-CN"/>
        </w:rPr>
        <w:t>8</w:t>
      </w:r>
      <w:r>
        <w:rPr>
          <w:rFonts w:hint="eastAsia" w:ascii="仿宋_GB2312" w:hAnsi="仿宋_GB2312" w:eastAsia="仿宋_GB2312" w:cs="仿宋_GB2312"/>
          <w:b w:val="0"/>
          <w:color w:val="auto"/>
          <w:sz w:val="32"/>
          <w:highlight w:val="none"/>
        </w:rPr>
        <w:t>次监事会会议，审议表决通过了</w:t>
      </w:r>
      <w:r>
        <w:rPr>
          <w:rFonts w:hint="default" w:ascii="Times New Roman" w:hAnsi="Times New Roman" w:eastAsia="仿宋_GB2312" w:cs="Times New Roman"/>
          <w:b w:val="0"/>
          <w:color w:val="auto"/>
          <w:sz w:val="32"/>
          <w:highlight w:val="none"/>
          <w:lang w:val="en-US" w:eastAsia="zh-CN"/>
        </w:rPr>
        <w:t>86</w:t>
      </w:r>
      <w:r>
        <w:rPr>
          <w:rFonts w:hint="eastAsia" w:ascii="仿宋_GB2312" w:hAnsi="仿宋_GB2312" w:eastAsia="仿宋_GB2312" w:cs="仿宋_GB2312"/>
          <w:b w:val="0"/>
          <w:color w:val="auto"/>
          <w:sz w:val="32"/>
          <w:highlight w:val="none"/>
        </w:rPr>
        <w:t>项决议</w:t>
      </w:r>
      <w:r>
        <w:rPr>
          <w:rFonts w:hint="eastAsia" w:ascii="仿宋_GB2312" w:hAnsi="仿宋_GB2312" w:eastAsia="仿宋_GB2312" w:cs="仿宋_GB2312"/>
          <w:sz w:val="32"/>
          <w:highlight w:val="none"/>
        </w:rPr>
        <w:t>。</w:t>
      </w:r>
    </w:p>
    <w:p>
      <w:pPr>
        <w:keepNext w:val="0"/>
        <w:keepLines w:val="0"/>
        <w:pageBreakBefore w:val="0"/>
        <w:kinsoku/>
        <w:wordWrap/>
        <w:overflowPunct/>
        <w:autoSpaceDE/>
        <w:autoSpaceDN/>
        <w:bidi w:val="0"/>
        <w:spacing w:line="560" w:lineRule="exact"/>
        <w:ind w:firstLine="640" w:firstLineChars="200"/>
        <w:rPr>
          <w:rFonts w:hint="eastAsia" w:ascii="仿宋_GB2312" w:hAnsi="仿宋_GB2312" w:eastAsia="仿宋_GB2312" w:cs="仿宋_GB2312"/>
          <w:sz w:val="32"/>
          <w:highlight w:val="none"/>
          <w:lang w:val="en-US" w:eastAsia="zh-CN"/>
        </w:rPr>
      </w:pPr>
      <w:r>
        <w:rPr>
          <w:rFonts w:hint="default" w:ascii="Times New Roman" w:hAnsi="Times New Roman" w:eastAsia="仿宋_GB2312" w:cs="Times New Roman"/>
          <w:b w:val="0"/>
          <w:sz w:val="32"/>
          <w:highlight w:val="none"/>
        </w:rPr>
        <w:t>202</w:t>
      </w:r>
      <w:r>
        <w:rPr>
          <w:rFonts w:hint="default" w:ascii="Times New Roman" w:hAnsi="Times New Roman" w:eastAsia="仿宋_GB2312" w:cs="Times New Roman"/>
          <w:b w:val="0"/>
          <w:sz w:val="32"/>
          <w:highlight w:val="none"/>
          <w:lang w:val="en-US" w:eastAsia="zh-CN"/>
        </w:rPr>
        <w:t>3</w:t>
      </w:r>
      <w:r>
        <w:rPr>
          <w:rFonts w:hint="eastAsia" w:ascii="仿宋_GB2312" w:hAnsi="仿宋_GB2312" w:eastAsia="仿宋_GB2312" w:cs="仿宋_GB2312"/>
          <w:b w:val="0"/>
          <w:sz w:val="32"/>
          <w:highlight w:val="none"/>
        </w:rPr>
        <w:t>年，我行</w:t>
      </w:r>
      <w:r>
        <w:rPr>
          <w:rFonts w:hint="eastAsia" w:ascii="仿宋_GB2312" w:hAnsi="仿宋_GB2312" w:eastAsia="仿宋_GB2312" w:cs="仿宋_GB2312"/>
          <w:b w:val="0"/>
          <w:sz w:val="32"/>
          <w:highlight w:val="none"/>
          <w:lang w:eastAsia="zh-CN"/>
        </w:rPr>
        <w:t>监</w:t>
      </w:r>
      <w:r>
        <w:rPr>
          <w:rFonts w:hint="eastAsia" w:ascii="仿宋_GB2312" w:hAnsi="仿宋_GB2312" w:eastAsia="仿宋_GB2312" w:cs="仿宋_GB2312"/>
          <w:b w:val="0"/>
          <w:sz w:val="32"/>
          <w:highlight w:val="none"/>
        </w:rPr>
        <w:t>事基本都能较好地履行</w:t>
      </w:r>
      <w:r>
        <w:rPr>
          <w:rFonts w:hint="eastAsia" w:ascii="仿宋_GB2312" w:hAnsi="仿宋_GB2312" w:eastAsia="仿宋_GB2312" w:cs="仿宋_GB2312"/>
          <w:b w:val="0"/>
          <w:sz w:val="32"/>
          <w:highlight w:val="none"/>
          <w:lang w:eastAsia="zh-CN"/>
        </w:rPr>
        <w:t>监</w:t>
      </w:r>
      <w:r>
        <w:rPr>
          <w:rFonts w:hint="eastAsia" w:ascii="仿宋_GB2312" w:hAnsi="仿宋_GB2312" w:eastAsia="仿宋_GB2312" w:cs="仿宋_GB2312"/>
          <w:b w:val="0"/>
          <w:sz w:val="32"/>
          <w:highlight w:val="none"/>
        </w:rPr>
        <w:t>事会成员的基本职责，自觉关注我行发展动态，努力履行</w:t>
      </w:r>
      <w:r>
        <w:rPr>
          <w:rFonts w:hint="eastAsia" w:ascii="仿宋_GB2312" w:hAnsi="仿宋_GB2312" w:eastAsia="仿宋_GB2312" w:cs="仿宋_GB2312"/>
          <w:b w:val="0"/>
          <w:sz w:val="32"/>
          <w:highlight w:val="none"/>
          <w:lang w:eastAsia="zh-CN"/>
        </w:rPr>
        <w:t>监</w:t>
      </w:r>
      <w:r>
        <w:rPr>
          <w:rFonts w:hint="eastAsia" w:ascii="仿宋_GB2312" w:hAnsi="仿宋_GB2312" w:eastAsia="仿宋_GB2312" w:cs="仿宋_GB2312"/>
          <w:b w:val="0"/>
          <w:sz w:val="32"/>
          <w:highlight w:val="none"/>
        </w:rPr>
        <w:t>事职责，针对管理决策各抒己见，提出合理性建议</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highlight w:val="none"/>
          <w:lang w:eastAsia="zh-CN"/>
        </w:rPr>
        <w:t>外部监事</w:t>
      </w:r>
      <w:r>
        <w:rPr>
          <w:rFonts w:hint="eastAsia" w:ascii="仿宋_GB2312" w:hAnsi="仿宋_GB2312" w:eastAsia="仿宋_GB2312" w:cs="仿宋_GB2312"/>
          <w:sz w:val="32"/>
          <w:highlight w:val="none"/>
        </w:rPr>
        <w:t>基本发挥了对</w:t>
      </w:r>
      <w:r>
        <w:rPr>
          <w:rFonts w:hint="eastAsia" w:ascii="仿宋_GB2312" w:hAnsi="仿宋_GB2312" w:eastAsia="仿宋_GB2312" w:cs="仿宋_GB2312"/>
          <w:sz w:val="32"/>
          <w:highlight w:val="none"/>
          <w:lang w:eastAsia="zh-CN"/>
        </w:rPr>
        <w:t>监</w:t>
      </w:r>
      <w:r>
        <w:rPr>
          <w:rFonts w:hint="eastAsia" w:ascii="仿宋_GB2312" w:hAnsi="仿宋_GB2312" w:eastAsia="仿宋_GB2312" w:cs="仿宋_GB2312"/>
          <w:sz w:val="32"/>
          <w:highlight w:val="none"/>
        </w:rPr>
        <w:t>事会内部的监督员作用，并充分发表独立意见。</w:t>
      </w:r>
    </w:p>
    <w:p>
      <w:pPr>
        <w:pStyle w:val="10"/>
        <w:keepNext w:val="0"/>
        <w:keepLines w:val="0"/>
        <w:pageBreakBefore w:val="0"/>
        <w:kinsoku/>
        <w:wordWrap/>
        <w:overflowPunct/>
        <w:autoSpaceDE/>
        <w:autoSpaceDN/>
        <w:bidi w:val="0"/>
        <w:spacing w:line="560" w:lineRule="exact"/>
        <w:rPr>
          <w:rFonts w:hint="eastAsia"/>
          <w:highlight w:val="none"/>
          <w:lang w:eastAsia="zh-CN"/>
        </w:rPr>
      </w:pPr>
      <w:r>
        <w:rPr>
          <w:rFonts w:hint="eastAsia" w:ascii="仿宋_GB2312" w:hAnsi="仿宋_GB2312" w:eastAsia="仿宋_GB2312" w:cs="仿宋_GB2312"/>
          <w:sz w:val="32"/>
          <w:highlight w:val="none"/>
          <w:lang w:val="en-US" w:eastAsia="zh-CN"/>
        </w:rPr>
        <w:t>监事会对本行的决策程序、内部控制制度的建立与执行情况以及董事、高级管理人员履职情况进行了监督，认为本行决策程序遵守法律法规以及《公司章程》等相关规定；董事会运作规范、决策合理、程序合法，认真执行股东大会的各项决议；董事、高级管理人员执行职务时忠于职守、勤勉尽责，不存在违反法律法规、本行公司章程或损害本行利益的行为。</w:t>
      </w:r>
    </w:p>
    <w:p>
      <w:pPr>
        <w:keepNext w:val="0"/>
        <w:keepLines w:val="0"/>
        <w:pageBreakBefore w:val="0"/>
        <w:kinsoku/>
        <w:wordWrap/>
        <w:overflowPunct/>
        <w:autoSpaceDE/>
        <w:autoSpaceDN/>
        <w:bidi w:val="0"/>
        <w:adjustRightInd w:val="0"/>
        <w:snapToGrid w:val="0"/>
        <w:spacing w:line="560" w:lineRule="exact"/>
        <w:ind w:firstLine="480" w:firstLineChars="150"/>
        <w:outlineLvl w:val="1"/>
        <w:rPr>
          <w:rFonts w:hint="eastAsia" w:ascii="Times New Roman" w:hAnsi="Times New Roman" w:eastAsia="黑体"/>
          <w:bCs/>
          <w:kern w:val="30"/>
          <w:sz w:val="32"/>
          <w:szCs w:val="32"/>
          <w:highlight w:val="none"/>
          <w:lang w:eastAsia="zh-CN"/>
        </w:rPr>
      </w:pPr>
      <w:bookmarkStart w:id="20" w:name="_Toc21397_WPSOffice_Level2"/>
      <w:r>
        <w:rPr>
          <w:rFonts w:hint="eastAsia" w:ascii="Times New Roman" w:hAnsi="Times New Roman" w:eastAsia="黑体"/>
          <w:bCs/>
          <w:kern w:val="30"/>
          <w:sz w:val="32"/>
          <w:szCs w:val="32"/>
          <w:highlight w:val="none"/>
        </w:rPr>
        <w:t>六、经营管理层</w:t>
      </w:r>
      <w:r>
        <w:rPr>
          <w:rFonts w:hint="eastAsia" w:ascii="Times New Roman" w:hAnsi="Times New Roman" w:eastAsia="黑体"/>
          <w:bCs/>
          <w:kern w:val="30"/>
          <w:sz w:val="32"/>
          <w:szCs w:val="32"/>
          <w:highlight w:val="none"/>
          <w:lang w:eastAsia="zh-CN"/>
        </w:rPr>
        <w:t>构成</w:t>
      </w:r>
      <w:r>
        <w:rPr>
          <w:rFonts w:hint="eastAsia" w:ascii="Times New Roman" w:hAnsi="Times New Roman" w:eastAsia="黑体"/>
          <w:bCs/>
          <w:kern w:val="30"/>
          <w:sz w:val="32"/>
          <w:szCs w:val="32"/>
          <w:highlight w:val="none"/>
        </w:rPr>
        <w:t>及</w:t>
      </w:r>
      <w:r>
        <w:rPr>
          <w:rFonts w:hint="eastAsia" w:ascii="Times New Roman" w:hAnsi="Times New Roman" w:eastAsia="黑体"/>
          <w:bCs/>
          <w:kern w:val="30"/>
          <w:sz w:val="32"/>
          <w:szCs w:val="32"/>
          <w:highlight w:val="none"/>
          <w:lang w:eastAsia="zh-CN"/>
        </w:rPr>
        <w:t>工作职责</w:t>
      </w:r>
      <w:bookmarkEnd w:id="20"/>
    </w:p>
    <w:p>
      <w:pPr>
        <w:pStyle w:val="10"/>
        <w:keepNext w:val="0"/>
        <w:keepLines w:val="0"/>
        <w:pageBreakBefore w:val="0"/>
        <w:kinsoku/>
        <w:wordWrap/>
        <w:overflowPunct/>
        <w:autoSpaceDE/>
        <w:autoSpaceDN/>
        <w:bidi w:val="0"/>
        <w:spacing w:line="560" w:lineRule="exact"/>
        <w:rPr>
          <w:rFonts w:hint="default" w:ascii="仿宋_GB2312" w:hAnsi="仿宋_GB2312" w:eastAsia="仿宋_GB2312" w:cs="仿宋_GB2312"/>
          <w:b w:val="0"/>
          <w:kern w:val="2"/>
          <w:sz w:val="32"/>
          <w:szCs w:val="22"/>
          <w:highlight w:val="none"/>
          <w:lang w:val="en-US" w:eastAsia="zh-CN" w:bidi="ar-SA"/>
        </w:rPr>
      </w:pPr>
      <w:r>
        <w:rPr>
          <w:rFonts w:hint="eastAsia" w:ascii="仿宋_GB2312" w:hAnsi="仿宋_GB2312" w:eastAsia="仿宋_GB2312" w:cs="仿宋_GB2312"/>
          <w:b w:val="0"/>
          <w:kern w:val="2"/>
          <w:sz w:val="32"/>
          <w:szCs w:val="22"/>
          <w:highlight w:val="none"/>
          <w:lang w:val="en-US" w:eastAsia="zh-CN" w:bidi="ar-SA"/>
        </w:rPr>
        <w:t>本行经营管理层的任职资格和选聘程序、经营管理层的人数和人员构成符合《章程》的规定要求。</w:t>
      </w:r>
      <w:r>
        <w:rPr>
          <w:rFonts w:hint="default" w:ascii="仿宋_GB2312" w:hAnsi="仿宋_GB2312" w:eastAsia="仿宋_GB2312" w:cs="仿宋_GB2312"/>
          <w:b w:val="0"/>
          <w:kern w:val="2"/>
          <w:sz w:val="32"/>
          <w:szCs w:val="22"/>
          <w:highlight w:val="none"/>
          <w:lang w:val="en-US" w:eastAsia="zh-CN" w:bidi="ar-SA"/>
        </w:rPr>
        <w:t>2023</w:t>
      </w:r>
      <w:r>
        <w:rPr>
          <w:rFonts w:hint="eastAsia" w:ascii="仿宋_GB2312" w:hAnsi="仿宋_GB2312" w:eastAsia="仿宋_GB2312" w:cs="仿宋_GB2312"/>
          <w:b w:val="0"/>
          <w:kern w:val="2"/>
          <w:sz w:val="32"/>
          <w:szCs w:val="22"/>
          <w:highlight w:val="none"/>
          <w:lang w:val="en-US" w:eastAsia="zh-CN" w:bidi="ar-SA"/>
        </w:rPr>
        <w:t>年，本行经营管理层由</w:t>
      </w:r>
      <w:r>
        <w:rPr>
          <w:rFonts w:hint="default" w:ascii="仿宋_GB2312" w:hAnsi="仿宋_GB2312" w:eastAsia="仿宋_GB2312" w:cs="仿宋_GB2312"/>
          <w:b w:val="0"/>
          <w:kern w:val="2"/>
          <w:sz w:val="32"/>
          <w:szCs w:val="22"/>
          <w:highlight w:val="none"/>
          <w:lang w:val="en-US" w:eastAsia="zh-CN" w:bidi="ar-SA"/>
        </w:rPr>
        <w:t>2</w:t>
      </w:r>
      <w:r>
        <w:rPr>
          <w:rFonts w:hint="eastAsia" w:ascii="仿宋_GB2312" w:hAnsi="仿宋_GB2312" w:eastAsia="仿宋_GB2312" w:cs="仿宋_GB2312"/>
          <w:b w:val="0"/>
          <w:kern w:val="2"/>
          <w:sz w:val="32"/>
          <w:szCs w:val="22"/>
          <w:highlight w:val="none"/>
          <w:lang w:val="en-US" w:eastAsia="zh-CN" w:bidi="ar-SA"/>
        </w:rPr>
        <w:t>名高级管理人员组成，成员为</w:t>
      </w:r>
      <w:r>
        <w:rPr>
          <w:rFonts w:hint="default" w:ascii="仿宋_GB2312" w:hAnsi="仿宋_GB2312" w:eastAsia="仿宋_GB2312" w:cs="仿宋_GB2312"/>
          <w:b w:val="0"/>
          <w:kern w:val="2"/>
          <w:sz w:val="32"/>
          <w:szCs w:val="22"/>
          <w:highlight w:val="none"/>
          <w:lang w:val="en-US" w:eastAsia="zh-CN" w:bidi="ar-SA"/>
        </w:rPr>
        <w:t>1</w:t>
      </w:r>
      <w:r>
        <w:rPr>
          <w:rFonts w:hint="eastAsia" w:ascii="仿宋_GB2312" w:hAnsi="仿宋_GB2312" w:eastAsia="仿宋_GB2312" w:cs="仿宋_GB2312"/>
          <w:b w:val="0"/>
          <w:kern w:val="2"/>
          <w:sz w:val="32"/>
          <w:szCs w:val="22"/>
          <w:highlight w:val="none"/>
          <w:lang w:val="en-US" w:eastAsia="zh-CN" w:bidi="ar-SA"/>
        </w:rPr>
        <w:t>名副行长（正职级）、</w:t>
      </w:r>
      <w:r>
        <w:rPr>
          <w:rFonts w:hint="default" w:ascii="仿宋_GB2312" w:hAnsi="仿宋_GB2312" w:eastAsia="仿宋_GB2312" w:cs="仿宋_GB2312"/>
          <w:b w:val="0"/>
          <w:kern w:val="2"/>
          <w:sz w:val="32"/>
          <w:szCs w:val="22"/>
          <w:highlight w:val="none"/>
          <w:lang w:val="en-US" w:eastAsia="zh-CN" w:bidi="ar-SA"/>
        </w:rPr>
        <w:t>1</w:t>
      </w:r>
      <w:r>
        <w:rPr>
          <w:rFonts w:hint="eastAsia" w:ascii="仿宋_GB2312" w:hAnsi="仿宋_GB2312" w:eastAsia="仿宋_GB2312" w:cs="仿宋_GB2312"/>
          <w:b w:val="0"/>
          <w:kern w:val="2"/>
          <w:sz w:val="32"/>
          <w:szCs w:val="22"/>
          <w:highlight w:val="none"/>
          <w:lang w:val="en-US" w:eastAsia="zh-CN" w:bidi="ar-SA"/>
        </w:rPr>
        <w:t>名副行长。</w:t>
      </w:r>
    </w:p>
    <w:p>
      <w:pPr>
        <w:pStyle w:val="12"/>
        <w:keepNext w:val="0"/>
        <w:keepLines w:val="0"/>
        <w:pageBreakBefore w:val="0"/>
        <w:numPr>
          <w:ilvl w:val="0"/>
          <w:numId w:val="0"/>
        </w:numPr>
        <w:kinsoku/>
        <w:wordWrap/>
        <w:overflowPunct/>
        <w:autoSpaceDE/>
        <w:autoSpaceDN/>
        <w:bidi w:val="0"/>
        <w:spacing w:line="560" w:lineRule="exact"/>
        <w:ind w:firstLine="640" w:firstLineChars="200"/>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经营管理层是本行的执行机构，对董事会负责，同时接受监事会监督，并根据法律法规、监管规定、公司章程，在董事会授权范围内开展经营管理活动，积极执行股东大会及董事会决议。本行行长（正职级副行长）主持日常经营管理工作，主要职责包括：组织实施董事会决议、本行年度计划和投资方案；拟订本行内部管理机构设置方案；拟订本行的基本管理制度；拟定本行职工的工资、福利、奖惩、聘用和解聘方案；应当按照董事会、监事会要求，及时、准确、完整地报告本行经营业绩、财务状况、风险状况等经营管理情况，提供有关资料等。副行长主要职责包括：协助行长工作；根据分工和行长授权组织开展经营管理工作；组织领导分管部门起草相关管理制度并组织贯彻落实；组织分管部门（条线）落实案件防控及全面风险管理；就分管部门（条线）重大事项、重大客户、重大项目对外沟通协调；审核分管部门财务预算；组织跟踪分析监管部门相关监管政策和金融同业的发展态势，结合本行实际组织制定升级改造计划，不断提升本行竞争能力和管理水平；负责对分管部门相关工作的安排部署、检查指导、审核把关、监督考核等。</w:t>
      </w:r>
    </w:p>
    <w:p>
      <w:pPr>
        <w:pStyle w:val="12"/>
        <w:keepNext w:val="0"/>
        <w:keepLines w:val="0"/>
        <w:pageBreakBefore w:val="0"/>
        <w:numPr>
          <w:ilvl w:val="0"/>
          <w:numId w:val="0"/>
        </w:numPr>
        <w:kinsoku/>
        <w:wordWrap/>
        <w:overflowPunct/>
        <w:autoSpaceDE/>
        <w:autoSpaceDN/>
        <w:bidi w:val="0"/>
        <w:spacing w:line="560" w:lineRule="exact"/>
        <w:ind w:firstLine="640" w:firstLineChars="200"/>
        <w:rPr>
          <w:rFonts w:ascii="Times New Roman" w:hAnsi="Times New Roman" w:eastAsia="黑体"/>
          <w:bCs/>
          <w:kern w:val="30"/>
          <w:sz w:val="32"/>
          <w:szCs w:val="32"/>
          <w:highlight w:val="none"/>
        </w:rPr>
      </w:pPr>
      <w:bookmarkStart w:id="21" w:name="_Toc5068_WPSOffice_Level2"/>
      <w:r>
        <w:rPr>
          <w:rFonts w:hint="eastAsia" w:ascii="Times New Roman" w:hAnsi="Times New Roman" w:eastAsia="黑体"/>
          <w:bCs/>
          <w:kern w:val="30"/>
          <w:sz w:val="32"/>
          <w:szCs w:val="32"/>
          <w:highlight w:val="none"/>
          <w:lang w:eastAsia="zh-CN"/>
        </w:rPr>
        <w:t>七</w:t>
      </w:r>
      <w:r>
        <w:rPr>
          <w:rFonts w:hint="eastAsia" w:ascii="Times New Roman" w:hAnsi="Times New Roman" w:eastAsia="黑体"/>
          <w:bCs/>
          <w:kern w:val="30"/>
          <w:sz w:val="32"/>
          <w:szCs w:val="32"/>
          <w:highlight w:val="none"/>
        </w:rPr>
        <w:t>、职能部门与分支机构设置情况</w:t>
      </w:r>
      <w:bookmarkEnd w:id="21"/>
    </w:p>
    <w:p>
      <w:pPr>
        <w:keepNext w:val="0"/>
        <w:keepLines w:val="0"/>
        <w:pageBreakBefore w:val="0"/>
        <w:kinsoku/>
        <w:wordWrap/>
        <w:overflowPunct/>
        <w:autoSpaceDE/>
        <w:autoSpaceDN/>
        <w:bidi w:val="0"/>
        <w:adjustRightInd w:val="0"/>
        <w:snapToGrid w:val="0"/>
        <w:spacing w:line="560" w:lineRule="exact"/>
        <w:ind w:firstLine="640" w:firstLineChars="200"/>
        <w:outlineLvl w:val="2"/>
        <w:rPr>
          <w:rFonts w:ascii="Times New Roman" w:hAnsi="Times New Roman" w:eastAsia="黑体"/>
          <w:bCs/>
          <w:sz w:val="32"/>
          <w:szCs w:val="32"/>
          <w:highlight w:val="none"/>
        </w:rPr>
      </w:pPr>
      <w:bookmarkStart w:id="22" w:name="_Toc193883079"/>
      <w:r>
        <w:rPr>
          <w:rFonts w:ascii="Times New Roman" w:hAnsi="Times New Roman" w:eastAsia="黑体"/>
          <w:bCs/>
          <w:sz w:val="32"/>
          <w:szCs w:val="32"/>
          <w:highlight w:val="none"/>
        </w:rPr>
        <w:t>（</w:t>
      </w:r>
      <w:r>
        <w:rPr>
          <w:rFonts w:hint="eastAsia" w:ascii="Times New Roman" w:hAnsi="Times New Roman" w:eastAsia="黑体"/>
          <w:bCs/>
          <w:sz w:val="32"/>
          <w:szCs w:val="32"/>
          <w:highlight w:val="none"/>
        </w:rPr>
        <w:t>一</w:t>
      </w:r>
      <w:r>
        <w:rPr>
          <w:rFonts w:ascii="Times New Roman" w:hAnsi="Times New Roman" w:eastAsia="黑体"/>
          <w:bCs/>
          <w:sz w:val="32"/>
          <w:szCs w:val="32"/>
          <w:highlight w:val="none"/>
        </w:rPr>
        <w:t>）</w:t>
      </w:r>
      <w:r>
        <w:rPr>
          <w:rFonts w:hint="eastAsia" w:ascii="Times New Roman" w:hAnsi="Times New Roman" w:eastAsia="黑体"/>
          <w:bCs/>
          <w:sz w:val="32"/>
          <w:szCs w:val="32"/>
          <w:highlight w:val="none"/>
        </w:rPr>
        <w:t>职能部门设置情况</w:t>
      </w:r>
      <w:bookmarkEnd w:id="22"/>
    </w:p>
    <w:p>
      <w:pPr>
        <w:keepNext w:val="0"/>
        <w:keepLines w:val="0"/>
        <w:pageBreakBefore w:val="0"/>
        <w:kinsoku/>
        <w:wordWrap/>
        <w:overflowPunct/>
        <w:autoSpaceDE/>
        <w:autoSpaceDN/>
        <w:bidi w:val="0"/>
        <w:spacing w:line="560" w:lineRule="exact"/>
        <w:ind w:firstLine="640" w:firstLineChars="200"/>
        <w:rPr>
          <w:rFonts w:hint="eastAsia" w:ascii="仿宋_GB2312" w:hAnsi="仿宋_GB2312" w:eastAsia="仿宋_GB2312" w:cs="仿宋_GB2312"/>
          <w:b w:val="0"/>
          <w:sz w:val="32"/>
          <w:highlight w:val="none"/>
        </w:rPr>
      </w:pPr>
      <w:r>
        <w:rPr>
          <w:rFonts w:hint="eastAsia" w:ascii="仿宋_GB2312" w:hAnsi="仿宋_GB2312" w:eastAsia="仿宋_GB2312" w:cs="仿宋_GB2312"/>
          <w:b w:val="0"/>
          <w:sz w:val="32"/>
          <w:highlight w:val="none"/>
        </w:rPr>
        <w:t>报告期末，本行内设业务发展部、农村业务部、综合运营部、科技部、稽核审计部、合规风险部、党委组织部、办公室、纪检监察室、安全保卫部</w:t>
      </w:r>
      <w:r>
        <w:rPr>
          <w:rFonts w:hint="default" w:ascii="Times New Roman" w:hAnsi="Times New Roman" w:eastAsia="仿宋_GB2312" w:cs="Times New Roman"/>
          <w:b w:val="0"/>
          <w:sz w:val="32"/>
          <w:highlight w:val="none"/>
        </w:rPr>
        <w:t>10</w:t>
      </w:r>
      <w:r>
        <w:rPr>
          <w:rFonts w:hint="eastAsia" w:ascii="仿宋_GB2312" w:hAnsi="仿宋_GB2312" w:eastAsia="仿宋_GB2312" w:cs="仿宋_GB2312"/>
          <w:b w:val="0"/>
          <w:sz w:val="32"/>
          <w:highlight w:val="none"/>
        </w:rPr>
        <w:t>个机关部室，</w:t>
      </w:r>
      <w:r>
        <w:rPr>
          <w:rFonts w:hint="eastAsia" w:ascii="仿宋_GB2312" w:hAnsi="仿宋_GB2312" w:eastAsia="仿宋_GB2312" w:cs="仿宋_GB2312"/>
          <w:b w:val="0"/>
          <w:sz w:val="32"/>
          <w:highlight w:val="none"/>
          <w:lang w:eastAsia="zh-CN"/>
        </w:rPr>
        <w:t>快贷中心</w:t>
      </w:r>
      <w:r>
        <w:rPr>
          <w:rFonts w:hint="eastAsia" w:ascii="仿宋_GB2312" w:hAnsi="仿宋_GB2312" w:eastAsia="仿宋_GB2312" w:cs="仿宋_GB2312"/>
          <w:b w:val="0"/>
          <w:sz w:val="32"/>
          <w:highlight w:val="none"/>
        </w:rPr>
        <w:t>、授信审批中心和资产管理中心</w:t>
      </w:r>
      <w:r>
        <w:rPr>
          <w:rFonts w:hint="eastAsia" w:ascii="仿宋_GB2312" w:hAnsi="仿宋_GB2312" w:eastAsia="仿宋_GB2312" w:cs="仿宋_GB2312"/>
          <w:b w:val="0"/>
          <w:sz w:val="32"/>
          <w:highlight w:val="none"/>
          <w:lang w:eastAsia="zh-CN"/>
        </w:rPr>
        <w:t>三个事业中心</w:t>
      </w:r>
      <w:r>
        <w:rPr>
          <w:rFonts w:hint="eastAsia" w:ascii="仿宋_GB2312" w:hAnsi="仿宋_GB2312" w:eastAsia="仿宋_GB2312" w:cs="仿宋_GB2312"/>
          <w:b w:val="0"/>
          <w:sz w:val="32"/>
          <w:highlight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bCs/>
          <w:sz w:val="32"/>
          <w:szCs w:val="32"/>
          <w:highlight w:val="none"/>
        </w:rPr>
      </w:pPr>
      <w:r>
        <w:rPr>
          <w:rFonts w:ascii="Times New Roman" w:hAnsi="Times New Roman" w:eastAsia="黑体"/>
          <w:bCs/>
          <w:sz w:val="32"/>
          <w:szCs w:val="32"/>
          <w:highlight w:val="none"/>
        </w:rPr>
        <w:t>（</w:t>
      </w:r>
      <w:r>
        <w:rPr>
          <w:rFonts w:hint="eastAsia" w:ascii="Times New Roman" w:hAnsi="Times New Roman" w:eastAsia="黑体"/>
          <w:bCs/>
          <w:sz w:val="32"/>
          <w:szCs w:val="32"/>
          <w:highlight w:val="none"/>
        </w:rPr>
        <w:t>二</w:t>
      </w:r>
      <w:r>
        <w:rPr>
          <w:rFonts w:ascii="Times New Roman" w:hAnsi="Times New Roman" w:eastAsia="黑体"/>
          <w:bCs/>
          <w:sz w:val="32"/>
          <w:szCs w:val="32"/>
          <w:highlight w:val="none"/>
        </w:rPr>
        <w:t>）</w:t>
      </w:r>
      <w:r>
        <w:rPr>
          <w:rFonts w:hint="eastAsia" w:ascii="Times New Roman" w:hAnsi="Times New Roman" w:eastAsia="黑体"/>
          <w:bCs/>
          <w:sz w:val="32"/>
          <w:szCs w:val="32"/>
          <w:highlight w:val="none"/>
        </w:rPr>
        <w:t>分支机构设置情况</w:t>
      </w:r>
    </w:p>
    <w:p>
      <w:pPr>
        <w:keepNext w:val="0"/>
        <w:keepLines w:val="0"/>
        <w:pageBreakBefore w:val="0"/>
        <w:kinsoku/>
        <w:wordWrap/>
        <w:overflowPunct/>
        <w:autoSpaceDE/>
        <w:autoSpaceDN/>
        <w:bidi w:val="0"/>
        <w:spacing w:line="56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b w:val="0"/>
          <w:sz w:val="32"/>
          <w:highlight w:val="none"/>
        </w:rPr>
        <w:t>全行下辖固定营业网点</w:t>
      </w:r>
      <w:r>
        <w:rPr>
          <w:rFonts w:hint="default" w:ascii="Times New Roman" w:hAnsi="Times New Roman" w:eastAsia="仿宋_GB2312" w:cs="Times New Roman"/>
          <w:b w:val="0"/>
          <w:sz w:val="32"/>
          <w:highlight w:val="none"/>
        </w:rPr>
        <w:t>22</w:t>
      </w:r>
      <w:r>
        <w:rPr>
          <w:rFonts w:hint="eastAsia" w:ascii="仿宋_GB2312" w:hAnsi="仿宋_GB2312" w:eastAsia="仿宋_GB2312" w:cs="仿宋_GB2312"/>
          <w:b w:val="0"/>
          <w:sz w:val="32"/>
          <w:highlight w:val="none"/>
        </w:rPr>
        <w:t>个，其中营业部</w:t>
      </w:r>
      <w:r>
        <w:rPr>
          <w:rFonts w:hint="default" w:ascii="Times New Roman" w:hAnsi="Times New Roman" w:eastAsia="仿宋_GB2312" w:cs="Times New Roman"/>
          <w:b w:val="0"/>
          <w:sz w:val="32"/>
          <w:highlight w:val="none"/>
        </w:rPr>
        <w:t>1</w:t>
      </w:r>
      <w:r>
        <w:rPr>
          <w:rFonts w:hint="eastAsia" w:ascii="仿宋_GB2312" w:hAnsi="仿宋_GB2312" w:eastAsia="仿宋_GB2312" w:cs="仿宋_GB2312"/>
          <w:b w:val="0"/>
          <w:sz w:val="32"/>
          <w:highlight w:val="none"/>
        </w:rPr>
        <w:t>家，其中支行</w:t>
      </w:r>
      <w:r>
        <w:rPr>
          <w:rFonts w:hint="default" w:ascii="Times New Roman" w:hAnsi="Times New Roman" w:eastAsia="仿宋_GB2312" w:cs="Times New Roman"/>
          <w:b w:val="0"/>
          <w:sz w:val="32"/>
          <w:highlight w:val="none"/>
        </w:rPr>
        <w:t>11</w:t>
      </w:r>
      <w:r>
        <w:rPr>
          <w:rFonts w:hint="eastAsia" w:ascii="仿宋_GB2312" w:hAnsi="仿宋_GB2312" w:eastAsia="仿宋_GB2312" w:cs="仿宋_GB2312"/>
          <w:b w:val="0"/>
          <w:sz w:val="32"/>
          <w:highlight w:val="none"/>
        </w:rPr>
        <w:t>个、</w:t>
      </w:r>
      <w:r>
        <w:rPr>
          <w:rFonts w:hint="default" w:ascii="Times New Roman" w:hAnsi="Times New Roman" w:eastAsia="仿宋_GB2312" w:cs="Times New Roman"/>
          <w:b w:val="0"/>
          <w:sz w:val="32"/>
          <w:highlight w:val="none"/>
        </w:rPr>
        <w:t>10</w:t>
      </w:r>
      <w:r>
        <w:rPr>
          <w:rFonts w:hint="eastAsia" w:ascii="仿宋_GB2312" w:hAnsi="仿宋_GB2312" w:eastAsia="仿宋_GB2312" w:cs="仿宋_GB2312"/>
          <w:b w:val="0"/>
          <w:sz w:val="32"/>
          <w:highlight w:val="none"/>
        </w:rPr>
        <w:t>个分理处；全行在职员工</w:t>
      </w:r>
      <w:r>
        <w:rPr>
          <w:rFonts w:hint="default" w:ascii="Times New Roman" w:hAnsi="Times New Roman" w:eastAsia="仿宋_GB2312" w:cs="Times New Roman"/>
          <w:b w:val="0"/>
          <w:sz w:val="32"/>
          <w:highlight w:val="none"/>
          <w:lang w:val="en-US" w:eastAsia="zh-CN"/>
        </w:rPr>
        <w:t>262</w:t>
      </w:r>
      <w:r>
        <w:rPr>
          <w:rFonts w:hint="eastAsia" w:ascii="仿宋_GB2312" w:hAnsi="仿宋_GB2312" w:eastAsia="仿宋_GB2312" w:cs="仿宋_GB2312"/>
          <w:b w:val="0"/>
          <w:sz w:val="32"/>
          <w:highlight w:val="none"/>
        </w:rPr>
        <w:t>人</w:t>
      </w:r>
      <w:r>
        <w:rPr>
          <w:rFonts w:hint="eastAsia" w:ascii="仿宋_GB2312" w:hAnsi="仿宋_GB2312" w:eastAsia="仿宋_GB2312" w:cs="仿宋_GB2312"/>
          <w:b w:val="0"/>
          <w:sz w:val="32"/>
          <w:highlight w:val="none"/>
          <w:lang w:eastAsia="zh-CN"/>
        </w:rPr>
        <w:t>，其中，</w:t>
      </w:r>
      <w:r>
        <w:rPr>
          <w:rFonts w:hint="eastAsia" w:ascii="仿宋_GB2312" w:hAnsi="仿宋_GB2312" w:eastAsia="仿宋_GB2312" w:cs="仿宋_GB2312"/>
          <w:sz w:val="32"/>
          <w:highlight w:val="none"/>
        </w:rPr>
        <w:t>研究生</w:t>
      </w:r>
      <w:r>
        <w:rPr>
          <w:rFonts w:hint="default" w:ascii="Times New Roman" w:hAnsi="Times New Roman" w:eastAsia="仿宋_GB2312" w:cs="Times New Roman"/>
          <w:sz w:val="32"/>
          <w:highlight w:val="none"/>
          <w:lang w:val="en-US" w:eastAsia="zh-CN"/>
        </w:rPr>
        <w:t>6</w:t>
      </w:r>
      <w:r>
        <w:rPr>
          <w:rFonts w:hint="eastAsia" w:ascii="仿宋_GB2312" w:hAnsi="仿宋_GB2312" w:eastAsia="仿宋_GB2312" w:cs="仿宋_GB2312"/>
          <w:sz w:val="32"/>
          <w:highlight w:val="none"/>
        </w:rPr>
        <w:t>人，占比</w:t>
      </w:r>
      <w:r>
        <w:rPr>
          <w:rFonts w:hint="default" w:ascii="Times New Roman" w:hAnsi="Times New Roman" w:eastAsia="仿宋_GB2312" w:cs="Times New Roman"/>
          <w:sz w:val="32"/>
          <w:highlight w:val="none"/>
          <w:lang w:val="en-US" w:eastAsia="zh-CN"/>
        </w:rPr>
        <w:t>2</w:t>
      </w:r>
      <w:r>
        <w:rPr>
          <w:rFonts w:hint="eastAsia" w:ascii="仿宋_GB2312" w:hAnsi="仿宋_GB2312" w:eastAsia="仿宋_GB2312" w:cs="仿宋_GB2312"/>
          <w:sz w:val="32"/>
          <w:highlight w:val="none"/>
          <w:lang w:val="en-US" w:eastAsia="zh-CN"/>
        </w:rPr>
        <w:t>.</w:t>
      </w:r>
      <w:r>
        <w:rPr>
          <w:rFonts w:hint="default" w:ascii="Times New Roman" w:hAnsi="Times New Roman" w:eastAsia="仿宋_GB2312" w:cs="Times New Roman"/>
          <w:sz w:val="32"/>
          <w:highlight w:val="none"/>
          <w:lang w:val="en-US" w:eastAsia="zh-CN"/>
        </w:rPr>
        <w:t>29</w:t>
      </w:r>
      <w:r>
        <w:rPr>
          <w:rFonts w:hint="eastAsia" w:ascii="仿宋_GB2312" w:hAnsi="仿宋_GB2312" w:eastAsia="仿宋_GB2312" w:cs="仿宋_GB2312"/>
          <w:sz w:val="32"/>
          <w:highlight w:val="none"/>
        </w:rPr>
        <w:t>%，本科生</w:t>
      </w:r>
      <w:r>
        <w:rPr>
          <w:rFonts w:hint="default" w:ascii="Times New Roman" w:hAnsi="Times New Roman" w:eastAsia="仿宋_GB2312" w:cs="Times New Roman"/>
          <w:sz w:val="32"/>
          <w:highlight w:val="none"/>
          <w:lang w:val="en-US" w:eastAsia="zh-CN"/>
        </w:rPr>
        <w:t>195</w:t>
      </w:r>
      <w:r>
        <w:rPr>
          <w:rFonts w:hint="eastAsia" w:ascii="仿宋_GB2312" w:hAnsi="仿宋_GB2312" w:eastAsia="仿宋_GB2312" w:cs="仿宋_GB2312"/>
          <w:sz w:val="32"/>
          <w:highlight w:val="none"/>
        </w:rPr>
        <w:t>人，占比</w:t>
      </w:r>
      <w:r>
        <w:rPr>
          <w:rFonts w:hint="default" w:ascii="Times New Roman" w:hAnsi="Times New Roman" w:eastAsia="仿宋_GB2312" w:cs="Times New Roman"/>
          <w:sz w:val="32"/>
          <w:highlight w:val="none"/>
        </w:rPr>
        <w:t>7</w:t>
      </w:r>
      <w:r>
        <w:rPr>
          <w:rFonts w:hint="default" w:ascii="Times New Roman" w:hAnsi="Times New Roman" w:eastAsia="仿宋_GB2312" w:cs="Times New Roman"/>
          <w:sz w:val="32"/>
          <w:highlight w:val="none"/>
          <w:lang w:val="en-US" w:eastAsia="zh-CN"/>
        </w:rPr>
        <w:t>4</w:t>
      </w:r>
      <w:r>
        <w:rPr>
          <w:rFonts w:hint="eastAsia" w:ascii="仿宋_GB2312" w:hAnsi="仿宋_GB2312" w:eastAsia="仿宋_GB2312" w:cs="仿宋_GB2312"/>
          <w:sz w:val="32"/>
          <w:highlight w:val="none"/>
          <w:lang w:val="en-US" w:eastAsia="zh-CN"/>
        </w:rPr>
        <w:t>.</w:t>
      </w:r>
      <w:r>
        <w:rPr>
          <w:rFonts w:hint="default" w:ascii="Times New Roman" w:hAnsi="Times New Roman" w:eastAsia="仿宋_GB2312" w:cs="Times New Roman"/>
          <w:sz w:val="32"/>
          <w:highlight w:val="none"/>
          <w:lang w:val="en-US" w:eastAsia="zh-CN"/>
        </w:rPr>
        <w:t>43</w:t>
      </w:r>
      <w:r>
        <w:rPr>
          <w:rFonts w:hint="eastAsia" w:ascii="仿宋_GB2312" w:hAnsi="仿宋_GB2312" w:eastAsia="仿宋_GB2312" w:cs="仿宋_GB2312"/>
          <w:sz w:val="32"/>
          <w:highlight w:val="none"/>
        </w:rPr>
        <w:t>%，大专及以下学历</w:t>
      </w:r>
      <w:r>
        <w:rPr>
          <w:rFonts w:hint="default" w:ascii="Times New Roman" w:hAnsi="Times New Roman" w:eastAsia="仿宋_GB2312" w:cs="Times New Roman"/>
          <w:sz w:val="32"/>
          <w:highlight w:val="none"/>
          <w:lang w:val="en-US" w:eastAsia="zh-CN"/>
        </w:rPr>
        <w:t>61</w:t>
      </w:r>
      <w:r>
        <w:rPr>
          <w:rFonts w:hint="eastAsia" w:ascii="仿宋_GB2312" w:hAnsi="仿宋_GB2312" w:eastAsia="仿宋_GB2312" w:cs="仿宋_GB2312"/>
          <w:sz w:val="32"/>
          <w:highlight w:val="none"/>
        </w:rPr>
        <w:t>人，占比</w:t>
      </w:r>
      <w:r>
        <w:rPr>
          <w:rFonts w:hint="default" w:ascii="Times New Roman" w:hAnsi="Times New Roman" w:eastAsia="仿宋_GB2312" w:cs="Times New Roman"/>
          <w:sz w:val="32"/>
          <w:highlight w:val="none"/>
          <w:lang w:val="en-US" w:eastAsia="zh-CN"/>
        </w:rPr>
        <w:t>23</w:t>
      </w:r>
      <w:r>
        <w:rPr>
          <w:rFonts w:hint="eastAsia" w:ascii="仿宋_GB2312" w:hAnsi="仿宋_GB2312" w:eastAsia="仿宋_GB2312" w:cs="仿宋_GB2312"/>
          <w:sz w:val="32"/>
          <w:highlight w:val="none"/>
          <w:lang w:val="en-US" w:eastAsia="zh-CN"/>
        </w:rPr>
        <w:t>.</w:t>
      </w:r>
      <w:r>
        <w:rPr>
          <w:rFonts w:hint="default" w:ascii="Times New Roman" w:hAnsi="Times New Roman" w:eastAsia="仿宋_GB2312" w:cs="Times New Roman"/>
          <w:sz w:val="32"/>
          <w:highlight w:val="none"/>
          <w:lang w:val="en-US" w:eastAsia="zh-CN"/>
        </w:rPr>
        <w:t>28</w:t>
      </w:r>
      <w:r>
        <w:rPr>
          <w:rFonts w:hint="eastAsia" w:ascii="仿宋_GB2312" w:hAnsi="仿宋_GB2312" w:eastAsia="仿宋_GB2312" w:cs="仿宋_GB2312"/>
          <w:sz w:val="32"/>
          <w:highlight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黑体"/>
          <w:bCs/>
          <w:color w:val="auto"/>
          <w:kern w:val="30"/>
          <w:sz w:val="32"/>
          <w:szCs w:val="32"/>
          <w:highlight w:val="none"/>
        </w:rPr>
      </w:pPr>
      <w:bookmarkStart w:id="23" w:name="_Toc23841_WPSOffice_Level2"/>
      <w:r>
        <w:rPr>
          <w:rFonts w:hint="eastAsia" w:ascii="Times New Roman" w:hAnsi="Times New Roman" w:eastAsia="黑体"/>
          <w:bCs/>
          <w:color w:val="auto"/>
          <w:kern w:val="30"/>
          <w:sz w:val="32"/>
          <w:szCs w:val="32"/>
          <w:highlight w:val="none"/>
          <w:lang w:eastAsia="zh-CN"/>
        </w:rPr>
        <w:t>八</w:t>
      </w:r>
      <w:r>
        <w:rPr>
          <w:rFonts w:hint="eastAsia" w:ascii="Times New Roman" w:hAnsi="Times New Roman" w:eastAsia="黑体"/>
          <w:bCs/>
          <w:color w:val="auto"/>
          <w:kern w:val="30"/>
          <w:sz w:val="32"/>
          <w:szCs w:val="32"/>
          <w:highlight w:val="none"/>
        </w:rPr>
        <w:t>、薪酬</w:t>
      </w:r>
      <w:r>
        <w:rPr>
          <w:rFonts w:hint="eastAsia" w:ascii="Times New Roman" w:hAnsi="Times New Roman" w:eastAsia="黑体"/>
          <w:bCs/>
          <w:color w:val="auto"/>
          <w:kern w:val="30"/>
          <w:sz w:val="32"/>
          <w:szCs w:val="32"/>
          <w:highlight w:val="none"/>
          <w:lang w:eastAsia="zh-CN"/>
        </w:rPr>
        <w:t>制度及支付情况</w:t>
      </w:r>
      <w:bookmarkEnd w:id="23"/>
    </w:p>
    <w:p>
      <w:pPr>
        <w:keepNext w:val="0"/>
        <w:keepLines w:val="0"/>
        <w:pageBreakBefore w:val="0"/>
        <w:kinsoku/>
        <w:wordWrap/>
        <w:overflowPunct/>
        <w:autoSpaceDE/>
        <w:autoSpaceDN/>
        <w:bidi w:val="0"/>
        <w:adjustRightInd w:val="0"/>
        <w:snapToGrid w:val="0"/>
        <w:spacing w:line="560" w:lineRule="exact"/>
        <w:ind w:firstLine="640" w:firstLineChars="200"/>
        <w:rPr>
          <w:rFonts w:hint="eastAsia" w:ascii="Times New Roman" w:hAnsi="Times New Roman" w:eastAsia="黑体"/>
          <w:snapToGrid w:val="0"/>
          <w:kern w:val="0"/>
          <w:sz w:val="32"/>
          <w:szCs w:val="32"/>
          <w:highlight w:val="none"/>
          <w:lang w:eastAsia="zh-CN"/>
        </w:rPr>
      </w:pPr>
      <w:r>
        <w:rPr>
          <w:rFonts w:hint="eastAsia" w:ascii="Times New Roman" w:hAnsi="Times New Roman" w:eastAsia="黑体"/>
          <w:snapToGrid w:val="0"/>
          <w:kern w:val="0"/>
          <w:sz w:val="32"/>
          <w:szCs w:val="32"/>
          <w:highlight w:val="none"/>
          <w:lang w:eastAsia="zh-CN"/>
        </w:rPr>
        <w:t>（一）薪酬管理架构</w:t>
      </w:r>
    </w:p>
    <w:p>
      <w:pPr>
        <w:keepNext w:val="0"/>
        <w:keepLines w:val="0"/>
        <w:pageBreakBefore w:val="0"/>
        <w:kinsoku/>
        <w:wordWrap/>
        <w:overflowPunct/>
        <w:autoSpaceDE/>
        <w:autoSpaceDN/>
        <w:bidi w:val="0"/>
        <w:spacing w:line="560" w:lineRule="exact"/>
        <w:ind w:firstLine="640" w:firstLineChars="200"/>
        <w:rPr>
          <w:rFonts w:hint="default" w:ascii="仿宋_GB2312" w:hAnsi="仿宋_GB2312" w:eastAsia="仿宋_GB2312" w:cs="仿宋_GB2312"/>
          <w:color w:val="FF0000"/>
          <w:sz w:val="32"/>
          <w:highlight w:val="none"/>
          <w:lang w:val="en-US"/>
        </w:rPr>
      </w:pPr>
      <w:r>
        <w:rPr>
          <w:rFonts w:hint="eastAsia" w:ascii="仿宋_GB2312" w:hAnsi="仿宋_GB2312" w:eastAsia="仿宋_GB2312" w:cs="仿宋_GB2312"/>
          <w:color w:val="auto"/>
          <w:sz w:val="32"/>
          <w:highlight w:val="none"/>
        </w:rPr>
        <w:t>本行董事会下设提名与薪酬委员会，负责</w:t>
      </w:r>
      <w:r>
        <w:rPr>
          <w:rFonts w:hint="eastAsia" w:ascii="仿宋_GB2312" w:hAnsi="仿宋_GB2312" w:eastAsia="仿宋_GB2312" w:cs="仿宋_GB2312"/>
          <w:color w:val="auto"/>
          <w:sz w:val="32"/>
          <w:highlight w:val="none"/>
          <w:lang w:eastAsia="zh-CN"/>
        </w:rPr>
        <w:t>制定薪酬计划或方案</w:t>
      </w:r>
      <w:r>
        <w:rPr>
          <w:rFonts w:hint="eastAsia" w:ascii="仿宋_GB2312" w:hAnsi="仿宋_GB2312" w:eastAsia="仿宋_GB2312" w:cs="仿宋_GB2312"/>
          <w:color w:val="auto"/>
          <w:sz w:val="32"/>
          <w:highlight w:val="none"/>
          <w:lang w:val="en-US" w:eastAsia="zh-CN"/>
        </w:rPr>
        <w:t>;</w:t>
      </w:r>
      <w:r>
        <w:rPr>
          <w:rFonts w:hint="eastAsia" w:ascii="仿宋_GB2312" w:hAnsi="仿宋_GB2312" w:eastAsia="仿宋_GB2312" w:cs="仿宋_GB2312"/>
          <w:color w:val="auto"/>
          <w:sz w:val="32"/>
          <w:highlight w:val="none"/>
          <w:lang w:eastAsia="zh-CN"/>
        </w:rPr>
        <w:t>对本行董事、高级管理人员进行绩效考评</w:t>
      </w:r>
      <w:r>
        <w:rPr>
          <w:rFonts w:hint="eastAsia" w:ascii="仿宋_GB2312" w:hAnsi="仿宋_GB2312" w:eastAsia="仿宋_GB2312" w:cs="仿宋_GB2312"/>
          <w:color w:val="auto"/>
          <w:sz w:val="32"/>
          <w:highlight w:val="none"/>
          <w:lang w:val="en-US" w:eastAsia="zh-CN"/>
        </w:rPr>
        <w:t>;</w:t>
      </w:r>
      <w:r>
        <w:rPr>
          <w:rFonts w:hint="eastAsia" w:ascii="仿宋_GB2312" w:hAnsi="仿宋_GB2312" w:eastAsia="仿宋_GB2312" w:cs="仿宋_GB2312"/>
          <w:color w:val="auto"/>
          <w:sz w:val="32"/>
          <w:highlight w:val="none"/>
          <w:lang w:eastAsia="zh-CN"/>
        </w:rPr>
        <w:t>审议全行薪酬管理制度和政策，对本行薪酬管理制度执行进行监督等，委员会由</w:t>
      </w:r>
      <w:r>
        <w:rPr>
          <w:rFonts w:hint="eastAsia" w:ascii="仿宋_GB2312" w:hAnsi="仿宋_GB2312" w:eastAsia="仿宋_GB2312" w:cs="仿宋_GB2312"/>
          <w:color w:val="auto"/>
          <w:sz w:val="32"/>
          <w:highlight w:val="none"/>
          <w:lang w:val="en-US" w:eastAsia="zh-CN"/>
        </w:rPr>
        <w:t>5名成员组成，主任委员由独立董事担任。</w:t>
      </w:r>
    </w:p>
    <w:p>
      <w:pPr>
        <w:keepNext w:val="0"/>
        <w:keepLines w:val="0"/>
        <w:pageBreakBefore w:val="0"/>
        <w:kinsoku/>
        <w:wordWrap/>
        <w:overflowPunct/>
        <w:autoSpaceDE/>
        <w:autoSpaceDN/>
        <w:bidi w:val="0"/>
        <w:adjustRightInd w:val="0"/>
        <w:snapToGrid w:val="0"/>
        <w:spacing w:line="560" w:lineRule="exact"/>
        <w:ind w:firstLine="640" w:firstLineChars="200"/>
        <w:rPr>
          <w:rFonts w:hint="eastAsia" w:ascii="Times New Roman" w:hAnsi="Times New Roman" w:eastAsia="黑体"/>
          <w:snapToGrid w:val="0"/>
          <w:kern w:val="0"/>
          <w:sz w:val="32"/>
          <w:szCs w:val="32"/>
          <w:highlight w:val="none"/>
          <w:lang w:eastAsia="zh-CN"/>
        </w:rPr>
      </w:pPr>
      <w:r>
        <w:rPr>
          <w:rFonts w:hint="eastAsia" w:ascii="Times New Roman" w:hAnsi="Times New Roman" w:eastAsia="黑体"/>
          <w:snapToGrid w:val="0"/>
          <w:kern w:val="0"/>
          <w:sz w:val="32"/>
          <w:szCs w:val="32"/>
          <w:highlight w:val="none"/>
          <w:lang w:eastAsia="zh-CN"/>
        </w:rPr>
        <w:t>（二）薪酬方案</w:t>
      </w:r>
    </w:p>
    <w:p>
      <w:pPr>
        <w:keepNext w:val="0"/>
        <w:keepLines w:val="0"/>
        <w:pageBreakBefore w:val="0"/>
        <w:kinsoku/>
        <w:wordWrap/>
        <w:overflowPunct/>
        <w:autoSpaceDE/>
        <w:autoSpaceDN/>
        <w:bidi w:val="0"/>
        <w:spacing w:line="560" w:lineRule="exact"/>
        <w:ind w:firstLine="640" w:firstLineChars="200"/>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本行根据《商业银行稳健薪酬监管指引》，制定印发了</w:t>
      </w:r>
    </w:p>
    <w:p>
      <w:pPr>
        <w:keepNext w:val="0"/>
        <w:keepLines w:val="0"/>
        <w:pageBreakBefore w:val="0"/>
        <w:kinsoku/>
        <w:wordWrap/>
        <w:overflowPunct/>
        <w:autoSpaceDE/>
        <w:autoSpaceDN/>
        <w:bidi w:val="0"/>
        <w:spacing w:line="560" w:lineRule="exact"/>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highlight w:val="none"/>
          <w:lang w:eastAsia="zh-CN"/>
        </w:rPr>
        <w:t>贵州惠水农村商业银行股份有限公司工资管理规定</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highlight w:val="none"/>
          <w:lang w:eastAsia="zh-CN"/>
        </w:rPr>
        <w:t>《贵州惠水农村商业银行股份有限公司2023年绩效考核管理办法（试行）》</w:t>
      </w:r>
      <w:r>
        <w:rPr>
          <w:rFonts w:hint="eastAsia" w:ascii="仿宋_GB2312" w:hAnsi="仿宋_GB2312" w:eastAsia="仿宋_GB2312" w:cs="仿宋_GB2312"/>
          <w:color w:val="auto"/>
          <w:sz w:val="32"/>
          <w:highlight w:val="none"/>
        </w:rPr>
        <w:t>等薪酬制度。本行薪酬政策以经营发展战略为导向，与风险管理体系相协调，本行员工薪酬由基本薪酬、绩效薪酬、福利性收入等部分组成。其中，基本薪酬是为保障员工基本生活而支付的基本报酬，</w:t>
      </w:r>
      <w:r>
        <w:rPr>
          <w:rFonts w:hint="eastAsia" w:ascii="仿宋_GB2312" w:hAnsi="仿宋_GB2312" w:eastAsia="仿宋_GB2312" w:cs="仿宋_GB2312"/>
          <w:color w:val="auto"/>
          <w:sz w:val="32"/>
          <w:highlight w:val="none"/>
          <w:lang w:eastAsia="zh-CN"/>
        </w:rPr>
        <w:t>由岗位工资和津补贴构成</w:t>
      </w:r>
      <w:r>
        <w:rPr>
          <w:rFonts w:hint="eastAsia" w:ascii="仿宋_GB2312" w:hAnsi="仿宋_GB2312" w:eastAsia="仿宋_GB2312" w:cs="仿宋_GB2312"/>
          <w:color w:val="auto"/>
          <w:sz w:val="32"/>
          <w:highlight w:val="none"/>
        </w:rPr>
        <w:t>。绩效薪酬是</w:t>
      </w:r>
      <w:r>
        <w:rPr>
          <w:rFonts w:hint="eastAsia" w:ascii="仿宋_GB2312" w:hAnsi="仿宋_GB2312" w:eastAsia="仿宋_GB2312" w:cs="仿宋_GB2312"/>
          <w:color w:val="auto"/>
          <w:sz w:val="32"/>
          <w:highlight w:val="none"/>
          <w:lang w:eastAsia="zh-CN"/>
        </w:rPr>
        <w:t>按照</w:t>
      </w:r>
      <w:r>
        <w:rPr>
          <w:rFonts w:hint="eastAsia" w:ascii="仿宋_GB2312" w:hAnsi="仿宋_GB2312" w:eastAsia="仿宋_GB2312" w:cs="仿宋_GB2312"/>
          <w:color w:val="auto"/>
          <w:sz w:val="32"/>
          <w:highlight w:val="none"/>
        </w:rPr>
        <w:t>本行</w:t>
      </w:r>
      <w:r>
        <w:rPr>
          <w:rFonts w:hint="eastAsia" w:ascii="仿宋_GB2312" w:hAnsi="仿宋_GB2312" w:eastAsia="仿宋_GB2312" w:cs="仿宋_GB2312"/>
          <w:color w:val="auto"/>
          <w:sz w:val="32"/>
          <w:highlight w:val="none"/>
          <w:lang w:eastAsia="zh-CN"/>
        </w:rPr>
        <w:t>绩效</w:t>
      </w:r>
      <w:r>
        <w:rPr>
          <w:rFonts w:hint="eastAsia" w:ascii="仿宋_GB2312" w:hAnsi="仿宋_GB2312" w:eastAsia="仿宋_GB2312" w:cs="仿宋_GB2312"/>
          <w:color w:val="auto"/>
          <w:sz w:val="32"/>
          <w:highlight w:val="none"/>
        </w:rPr>
        <w:t>考核办法</w:t>
      </w:r>
      <w:r>
        <w:rPr>
          <w:rFonts w:hint="eastAsia" w:ascii="仿宋_GB2312" w:hAnsi="仿宋_GB2312" w:eastAsia="仿宋_GB2312" w:cs="仿宋_GB2312"/>
          <w:color w:val="auto"/>
          <w:sz w:val="32"/>
          <w:highlight w:val="none"/>
          <w:lang w:eastAsia="zh-CN"/>
        </w:rPr>
        <w:t>相关规定</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highlight w:val="none"/>
          <w:lang w:eastAsia="zh-CN"/>
        </w:rPr>
        <w:t>根据</w:t>
      </w:r>
      <w:r>
        <w:rPr>
          <w:rFonts w:hint="eastAsia" w:ascii="仿宋_GB2312" w:hAnsi="仿宋_GB2312" w:eastAsia="仿宋_GB2312" w:cs="仿宋_GB2312"/>
          <w:color w:val="auto"/>
          <w:sz w:val="32"/>
          <w:highlight w:val="none"/>
        </w:rPr>
        <w:t>考核结果支付给员工的报酬，绩效薪酬总额按</w:t>
      </w:r>
      <w:r>
        <w:rPr>
          <w:rFonts w:hint="eastAsia" w:ascii="仿宋_GB2312" w:hAnsi="仿宋_GB2312" w:eastAsia="仿宋_GB2312" w:cs="仿宋_GB2312"/>
          <w:color w:val="auto"/>
          <w:sz w:val="32"/>
          <w:highlight w:val="none"/>
          <w:lang w:eastAsia="zh-CN"/>
        </w:rPr>
        <w:t>省联社</w:t>
      </w:r>
      <w:r>
        <w:rPr>
          <w:rFonts w:hint="eastAsia" w:ascii="仿宋_GB2312" w:hAnsi="仿宋_GB2312" w:eastAsia="仿宋_GB2312" w:cs="仿宋_GB2312"/>
          <w:color w:val="auto"/>
          <w:sz w:val="32"/>
          <w:highlight w:val="none"/>
        </w:rPr>
        <w:t>薪酬管理</w:t>
      </w:r>
      <w:r>
        <w:rPr>
          <w:rFonts w:hint="eastAsia" w:ascii="仿宋_GB2312" w:hAnsi="仿宋_GB2312" w:eastAsia="仿宋_GB2312" w:cs="仿宋_GB2312"/>
          <w:color w:val="auto"/>
          <w:sz w:val="32"/>
          <w:highlight w:val="none"/>
          <w:lang w:eastAsia="zh-CN"/>
        </w:rPr>
        <w:t>相关</w:t>
      </w:r>
      <w:r>
        <w:rPr>
          <w:rFonts w:hint="eastAsia" w:ascii="仿宋_GB2312" w:hAnsi="仿宋_GB2312" w:eastAsia="仿宋_GB2312" w:cs="仿宋_GB2312"/>
          <w:color w:val="auto"/>
          <w:sz w:val="32"/>
          <w:highlight w:val="none"/>
        </w:rPr>
        <w:t>指引确定的绩效薪酬的约束执行。福利性收入包括本行为员工缴纳的社会保险费、住房公积金、企业年金等，按国家或当地政府有关法律法规结合本行管理规定执行。本行年度薪酬总额无超出原定薪酬方案的情况。</w:t>
      </w:r>
    </w:p>
    <w:p>
      <w:pPr>
        <w:pStyle w:val="10"/>
        <w:keepNext w:val="0"/>
        <w:keepLines w:val="0"/>
        <w:pageBreakBefore w:val="0"/>
        <w:kinsoku/>
        <w:wordWrap/>
        <w:overflowPunct/>
        <w:autoSpaceDE/>
        <w:autoSpaceDN/>
        <w:bidi w:val="0"/>
        <w:spacing w:line="560" w:lineRule="exact"/>
        <w:rPr>
          <w:rFonts w:hint="default" w:eastAsia="仿宋_GB2312"/>
          <w:highlight w:val="none"/>
          <w:lang w:val="en-US" w:eastAsia="zh-CN"/>
        </w:rPr>
      </w:pPr>
      <w:r>
        <w:rPr>
          <w:rFonts w:hint="eastAsia" w:ascii="仿宋_GB2312" w:hAnsi="仿宋_GB2312" w:eastAsia="仿宋_GB2312" w:cs="仿宋_GB2312"/>
          <w:color w:val="auto"/>
          <w:sz w:val="32"/>
          <w:highlight w:val="none"/>
          <w:lang w:val="en-US" w:eastAsia="zh-CN"/>
        </w:rPr>
        <w:t>本行制定了《贵州惠水农村商业银行股份有限公司独立董事薪酬及绩效考核方案》《贵州惠水农村商业银行股份有限公司外部监事薪酬及绩效考核方案》《贵州惠水农村商业银行股份有限公司高级管理人员薪酬管理办法》，明确了董事、监事及高级管理人员薪酬标准。</w:t>
      </w:r>
    </w:p>
    <w:p>
      <w:pPr>
        <w:keepNext w:val="0"/>
        <w:keepLines w:val="0"/>
        <w:pageBreakBefore w:val="0"/>
        <w:kinsoku/>
        <w:wordWrap/>
        <w:overflowPunct/>
        <w:autoSpaceDE/>
        <w:autoSpaceDN/>
        <w:bidi w:val="0"/>
        <w:adjustRightInd w:val="0"/>
        <w:snapToGrid w:val="0"/>
        <w:spacing w:line="560" w:lineRule="exact"/>
        <w:ind w:firstLine="640" w:firstLineChars="200"/>
        <w:rPr>
          <w:rFonts w:hint="eastAsia" w:ascii="Times New Roman" w:hAnsi="Times New Roman" w:eastAsia="黑体"/>
          <w:snapToGrid w:val="0"/>
          <w:kern w:val="0"/>
          <w:sz w:val="32"/>
          <w:szCs w:val="32"/>
          <w:highlight w:val="none"/>
          <w:lang w:eastAsia="zh-CN"/>
        </w:rPr>
      </w:pPr>
      <w:r>
        <w:rPr>
          <w:rFonts w:hint="eastAsia" w:ascii="Times New Roman" w:hAnsi="Times New Roman" w:eastAsia="黑体"/>
          <w:snapToGrid w:val="0"/>
          <w:kern w:val="0"/>
          <w:sz w:val="32"/>
          <w:szCs w:val="32"/>
          <w:highlight w:val="none"/>
          <w:lang w:eastAsia="zh-CN"/>
        </w:rPr>
        <w:t>（三）工资总量及结构分布</w:t>
      </w:r>
    </w:p>
    <w:p>
      <w:pPr>
        <w:keepNext w:val="0"/>
        <w:keepLines w:val="0"/>
        <w:pageBreakBefore w:val="0"/>
        <w:kinsoku/>
        <w:wordWrap/>
        <w:overflowPunct/>
        <w:autoSpaceDE/>
        <w:autoSpaceDN/>
        <w:bidi w:val="0"/>
        <w:spacing w:line="560" w:lineRule="exact"/>
        <w:ind w:firstLine="640" w:firstLineChars="200"/>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本行严格按照</w:t>
      </w:r>
      <w:r>
        <w:rPr>
          <w:rFonts w:hint="eastAsia" w:ascii="仿宋_GB2312" w:hAnsi="仿宋_GB2312" w:eastAsia="仿宋_GB2312" w:cs="仿宋_GB2312"/>
          <w:color w:val="auto"/>
          <w:sz w:val="32"/>
          <w:highlight w:val="none"/>
          <w:lang w:eastAsia="zh-CN"/>
        </w:rPr>
        <w:t>省联社</w:t>
      </w:r>
      <w:r>
        <w:rPr>
          <w:rFonts w:hint="eastAsia" w:ascii="仿宋_GB2312" w:hAnsi="仿宋_GB2312" w:eastAsia="仿宋_GB2312" w:cs="仿宋_GB2312"/>
          <w:color w:val="auto"/>
          <w:sz w:val="32"/>
          <w:highlight w:val="none"/>
        </w:rPr>
        <w:t>相关要求，结合内部薪酬管理制</w:t>
      </w:r>
    </w:p>
    <w:p>
      <w:pPr>
        <w:keepNext w:val="0"/>
        <w:keepLines w:val="0"/>
        <w:pageBreakBefore w:val="0"/>
        <w:kinsoku/>
        <w:wordWrap/>
        <w:overflowPunct/>
        <w:autoSpaceDE/>
        <w:autoSpaceDN/>
        <w:bidi w:val="0"/>
        <w:spacing w:line="560" w:lineRule="exact"/>
        <w:rPr>
          <w:rFonts w:hint="eastAsia" w:ascii="仿宋_GB2312" w:hAnsi="仿宋_GB2312" w:eastAsia="仿宋_GB2312" w:cs="仿宋_GB2312"/>
          <w:color w:val="FF0000"/>
          <w:sz w:val="32"/>
          <w:highlight w:val="none"/>
          <w:lang w:eastAsia="zh-CN"/>
        </w:rPr>
      </w:pPr>
      <w:r>
        <w:rPr>
          <w:rFonts w:hint="eastAsia" w:ascii="仿宋_GB2312" w:hAnsi="仿宋_GB2312" w:eastAsia="仿宋_GB2312" w:cs="仿宋_GB2312"/>
          <w:color w:val="auto"/>
          <w:sz w:val="32"/>
          <w:highlight w:val="none"/>
        </w:rPr>
        <w:t>度，对</w:t>
      </w:r>
      <w:r>
        <w:rPr>
          <w:rFonts w:hint="eastAsia" w:ascii="仿宋_GB2312" w:hAnsi="仿宋_GB2312" w:eastAsia="仿宋_GB2312" w:cs="仿宋_GB2312"/>
          <w:color w:val="auto"/>
          <w:sz w:val="32"/>
          <w:highlight w:val="none"/>
          <w:lang w:eastAsia="zh-CN"/>
        </w:rPr>
        <w:t>本行</w:t>
      </w:r>
      <w:r>
        <w:rPr>
          <w:rFonts w:hint="eastAsia" w:ascii="仿宋_GB2312" w:hAnsi="仿宋_GB2312" w:eastAsia="仿宋_GB2312" w:cs="仿宋_GB2312"/>
          <w:color w:val="auto"/>
          <w:sz w:val="32"/>
          <w:highlight w:val="none"/>
        </w:rPr>
        <w:t>员工薪酬进行核算，</w:t>
      </w:r>
      <w:r>
        <w:rPr>
          <w:rFonts w:hint="eastAsia" w:ascii="仿宋_GB2312" w:hAnsi="仿宋_GB2312" w:eastAsia="仿宋_GB2312" w:cs="仿宋_GB2312"/>
          <w:color w:val="auto"/>
          <w:sz w:val="32"/>
          <w:highlight w:val="none"/>
          <w:lang w:val="en-US" w:eastAsia="zh-CN"/>
        </w:rPr>
        <w:t>2023年工资总额</w:t>
      </w:r>
      <w:r>
        <w:rPr>
          <w:rFonts w:hint="eastAsia" w:ascii="仿宋_GB2312" w:hAnsi="仿宋_GB2312" w:eastAsia="仿宋_GB2312" w:cs="仿宋_GB2312"/>
          <w:color w:val="auto"/>
          <w:sz w:val="32"/>
          <w:highlight w:val="none"/>
          <w:lang w:eastAsia="zh-CN"/>
        </w:rPr>
        <w:t>包含基本工资、绩效工资等，</w:t>
      </w:r>
      <w:r>
        <w:rPr>
          <w:rFonts w:hint="eastAsia" w:ascii="仿宋_GB2312" w:hAnsi="仿宋_GB2312" w:eastAsia="仿宋_GB2312" w:cs="仿宋_GB2312"/>
          <w:color w:val="auto"/>
          <w:sz w:val="32"/>
          <w:highlight w:val="none"/>
        </w:rPr>
        <w:t>其中基本</w:t>
      </w:r>
      <w:r>
        <w:rPr>
          <w:rFonts w:hint="eastAsia" w:ascii="仿宋_GB2312" w:hAnsi="仿宋_GB2312" w:eastAsia="仿宋_GB2312" w:cs="仿宋_GB2312"/>
          <w:color w:val="auto"/>
          <w:sz w:val="32"/>
          <w:highlight w:val="none"/>
          <w:lang w:eastAsia="zh-CN"/>
        </w:rPr>
        <w:t>工资占比</w:t>
      </w:r>
      <w:r>
        <w:rPr>
          <w:rFonts w:hint="eastAsia" w:ascii="仿宋_GB2312" w:hAnsi="仿宋_GB2312" w:eastAsia="仿宋_GB2312" w:cs="仿宋_GB2312"/>
          <w:color w:val="auto"/>
          <w:sz w:val="32"/>
          <w:highlight w:val="none"/>
        </w:rPr>
        <w:t>控制在工资总额35%以内</w:t>
      </w:r>
      <w:r>
        <w:rPr>
          <w:rFonts w:hint="eastAsia" w:ascii="仿宋_GB2312" w:hAnsi="仿宋_GB2312" w:eastAsia="仿宋_GB2312" w:cs="仿宋_GB2312"/>
          <w:color w:val="auto"/>
          <w:sz w:val="32"/>
          <w:highlight w:val="none"/>
          <w:lang w:eastAsia="zh-CN"/>
        </w:rPr>
        <w:t>，符合监管要求。</w:t>
      </w:r>
    </w:p>
    <w:p>
      <w:pPr>
        <w:keepNext w:val="0"/>
        <w:keepLines w:val="0"/>
        <w:pageBreakBefore w:val="0"/>
        <w:kinsoku/>
        <w:wordWrap/>
        <w:overflowPunct/>
        <w:autoSpaceDE/>
        <w:autoSpaceDN/>
        <w:bidi w:val="0"/>
        <w:adjustRightInd w:val="0"/>
        <w:snapToGrid w:val="0"/>
        <w:spacing w:line="560" w:lineRule="exact"/>
        <w:ind w:firstLine="640" w:firstLineChars="200"/>
        <w:rPr>
          <w:rFonts w:hint="eastAsia" w:ascii="Times New Roman" w:hAnsi="Times New Roman" w:eastAsia="黑体"/>
          <w:snapToGrid w:val="0"/>
          <w:kern w:val="0"/>
          <w:sz w:val="32"/>
          <w:szCs w:val="32"/>
          <w:highlight w:val="none"/>
          <w:lang w:eastAsia="zh-CN"/>
        </w:rPr>
      </w:pPr>
      <w:r>
        <w:rPr>
          <w:rFonts w:hint="eastAsia" w:ascii="Times New Roman" w:hAnsi="Times New Roman" w:eastAsia="黑体"/>
          <w:snapToGrid w:val="0"/>
          <w:kern w:val="0"/>
          <w:sz w:val="32"/>
          <w:szCs w:val="32"/>
          <w:highlight w:val="none"/>
          <w:lang w:eastAsia="zh-CN"/>
        </w:rPr>
        <w:t>（四）薪酬延期支付及追索扣回</w:t>
      </w:r>
    </w:p>
    <w:p>
      <w:pPr>
        <w:keepNext w:val="0"/>
        <w:keepLines w:val="0"/>
        <w:pageBreakBefore w:val="0"/>
        <w:numPr>
          <w:ilvl w:val="0"/>
          <w:numId w:val="0"/>
        </w:numPr>
        <w:kinsoku/>
        <w:wordWrap/>
        <w:overflowPunct/>
        <w:autoSpaceDE/>
        <w:autoSpaceDN/>
        <w:bidi w:val="0"/>
        <w:spacing w:line="560" w:lineRule="exact"/>
        <w:ind w:firstLine="640" w:firstLineChars="200"/>
        <w:rPr>
          <w:rFonts w:hint="eastAsia" w:ascii="仿宋_GB2312" w:hAnsi="仿宋_GB2312" w:eastAsia="仿宋_GB2312" w:cs="仿宋_GB2312"/>
          <w:color w:val="auto"/>
          <w:sz w:val="32"/>
          <w:highlight w:val="none"/>
          <w:lang w:eastAsia="zh-CN"/>
        </w:rPr>
      </w:pPr>
      <w:r>
        <w:rPr>
          <w:rFonts w:hint="eastAsia" w:ascii="仿宋_GB2312" w:hAnsi="仿宋_GB2312" w:eastAsia="仿宋_GB2312" w:cs="仿宋_GB2312"/>
          <w:color w:val="auto"/>
          <w:sz w:val="32"/>
          <w:highlight w:val="none"/>
        </w:rPr>
        <w:t>本行对高级管理人员及对风险有重要影响岗位上的员工的绩效薪酬实行延期支付制度，并建立追索扣回机制</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其中董事长、行长延期支付比例55%，监事长、副行长、工会主席延期支付比例45%，其他</w:t>
      </w:r>
      <w:r>
        <w:rPr>
          <w:rFonts w:hint="eastAsia" w:ascii="仿宋_GB2312" w:hAnsi="仿宋_GB2312" w:eastAsia="仿宋_GB2312" w:cs="仿宋_GB2312"/>
          <w:color w:val="auto"/>
          <w:sz w:val="32"/>
          <w:highlight w:val="none"/>
          <w:lang w:eastAsia="zh-CN"/>
        </w:rPr>
        <w:t>重要岗位</w:t>
      </w:r>
      <w:r>
        <w:rPr>
          <w:rFonts w:hint="eastAsia" w:ascii="仿宋_GB2312" w:hAnsi="仿宋_GB2312" w:eastAsia="仿宋_GB2312" w:cs="仿宋_GB2312"/>
          <w:color w:val="auto"/>
          <w:sz w:val="32"/>
          <w:highlight w:val="none"/>
        </w:rPr>
        <w:t>延期支付比例</w:t>
      </w:r>
      <w:r>
        <w:rPr>
          <w:rFonts w:hint="eastAsia" w:ascii="仿宋_GB2312" w:hAnsi="仿宋_GB2312" w:eastAsia="仿宋_GB2312" w:cs="仿宋_GB2312"/>
          <w:color w:val="auto"/>
          <w:sz w:val="32"/>
          <w:highlight w:val="none"/>
          <w:lang w:eastAsia="zh-CN"/>
        </w:rPr>
        <w:t>不低于</w:t>
      </w:r>
      <w:r>
        <w:rPr>
          <w:rFonts w:hint="eastAsia" w:ascii="仿宋_GB2312" w:hAnsi="仿宋_GB2312" w:eastAsia="仿宋_GB2312" w:cs="仿宋_GB2312"/>
          <w:color w:val="auto"/>
          <w:sz w:val="32"/>
          <w:highlight w:val="none"/>
        </w:rPr>
        <w:t>10%，与任期内履职情况和经营风险挂钩，增强了高管层履职意识和风险管理意识，进一步增强合规、稳健经营意识，促进</w:t>
      </w:r>
      <w:r>
        <w:rPr>
          <w:rFonts w:hint="eastAsia" w:ascii="仿宋_GB2312" w:hAnsi="仿宋_GB2312" w:eastAsia="仿宋_GB2312" w:cs="仿宋_GB2312"/>
          <w:color w:val="auto"/>
          <w:sz w:val="32"/>
          <w:highlight w:val="none"/>
          <w:lang w:eastAsia="zh-CN"/>
        </w:rPr>
        <w:t>本行</w:t>
      </w:r>
      <w:r>
        <w:rPr>
          <w:rFonts w:hint="eastAsia" w:ascii="仿宋_GB2312" w:hAnsi="仿宋_GB2312" w:eastAsia="仿宋_GB2312" w:cs="仿宋_GB2312"/>
          <w:color w:val="auto"/>
          <w:sz w:val="32"/>
          <w:highlight w:val="none"/>
        </w:rPr>
        <w:t>可持续发展</w:t>
      </w:r>
      <w:r>
        <w:rPr>
          <w:rFonts w:hint="eastAsia" w:ascii="仿宋_GB2312" w:hAnsi="仿宋_GB2312" w:eastAsia="仿宋_GB2312" w:cs="仿宋_GB2312"/>
          <w:color w:val="auto"/>
          <w:sz w:val="32"/>
          <w:highlight w:val="none"/>
          <w:lang w:eastAsia="zh-CN"/>
        </w:rPr>
        <w:t>，报告期内未发生</w:t>
      </w:r>
      <w:r>
        <w:rPr>
          <w:rFonts w:hint="eastAsia" w:ascii="仿宋_GB2312" w:hAnsi="仿宋_GB2312" w:eastAsia="仿宋_GB2312" w:cs="仿宋_GB2312"/>
          <w:color w:val="auto"/>
          <w:sz w:val="32"/>
          <w:highlight w:val="none"/>
        </w:rPr>
        <w:t>延期支付绩效薪酬止付、扣回、追索处理</w:t>
      </w:r>
      <w:r>
        <w:rPr>
          <w:rFonts w:hint="eastAsia" w:ascii="仿宋_GB2312" w:hAnsi="仿宋_GB2312" w:eastAsia="仿宋_GB2312" w:cs="仿宋_GB2312"/>
          <w:color w:val="auto"/>
          <w:sz w:val="32"/>
          <w:highlight w:val="none"/>
          <w:lang w:eastAsia="zh-CN"/>
        </w:rPr>
        <w:t>的情形。</w:t>
      </w:r>
    </w:p>
    <w:p>
      <w:pPr>
        <w:keepNext w:val="0"/>
        <w:keepLines w:val="0"/>
        <w:pageBreakBefore w:val="0"/>
        <w:kinsoku/>
        <w:wordWrap/>
        <w:overflowPunct/>
        <w:autoSpaceDE/>
        <w:autoSpaceDN/>
        <w:bidi w:val="0"/>
        <w:adjustRightInd w:val="0"/>
        <w:snapToGrid w:val="0"/>
        <w:spacing w:line="560" w:lineRule="exact"/>
        <w:ind w:firstLine="640" w:firstLineChars="200"/>
        <w:rPr>
          <w:rFonts w:hint="eastAsia" w:ascii="Times New Roman" w:hAnsi="Times New Roman" w:eastAsia="黑体"/>
          <w:snapToGrid w:val="0"/>
          <w:kern w:val="0"/>
          <w:sz w:val="32"/>
          <w:szCs w:val="32"/>
          <w:highlight w:val="none"/>
          <w:lang w:eastAsia="zh-CN"/>
        </w:rPr>
      </w:pPr>
      <w:r>
        <w:rPr>
          <w:rFonts w:hint="eastAsia" w:ascii="Times New Roman" w:hAnsi="Times New Roman" w:eastAsia="黑体"/>
          <w:snapToGrid w:val="0"/>
          <w:kern w:val="0"/>
          <w:sz w:val="32"/>
          <w:szCs w:val="32"/>
          <w:highlight w:val="none"/>
          <w:lang w:eastAsia="zh-CN"/>
        </w:rPr>
        <w:t>（五）薪酬与业绩衡量</w:t>
      </w:r>
    </w:p>
    <w:p>
      <w:pPr>
        <w:keepNext w:val="0"/>
        <w:keepLines w:val="0"/>
        <w:pageBreakBefore w:val="0"/>
        <w:kinsoku/>
        <w:wordWrap/>
        <w:overflowPunct/>
        <w:autoSpaceDE/>
        <w:autoSpaceDN/>
        <w:bidi w:val="0"/>
        <w:spacing w:line="560" w:lineRule="exact"/>
        <w:ind w:firstLine="640" w:firstLineChars="200"/>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本行薪酬兑付与业绩挂钩，本行按年制定涵盖经营发展、内控合规、风险管理、社会责任等方面内容的年度目标，并分解至各业务条线和分支机构，同时根据年度目标制定当年绩效考核办法，依据年度目标的完成情况和绩效考核办法对各业务条线和分支机构兑付薪酬。</w:t>
      </w:r>
    </w:p>
    <w:p>
      <w:pPr>
        <w:keepNext w:val="0"/>
        <w:keepLines w:val="0"/>
        <w:pageBreakBefore w:val="0"/>
        <w:kinsoku/>
        <w:wordWrap/>
        <w:overflowPunct/>
        <w:autoSpaceDE/>
        <w:autoSpaceDN/>
        <w:bidi w:val="0"/>
        <w:adjustRightInd w:val="0"/>
        <w:snapToGrid w:val="0"/>
        <w:spacing w:line="560" w:lineRule="exact"/>
        <w:ind w:firstLine="640" w:firstLineChars="200"/>
        <w:rPr>
          <w:rFonts w:hint="eastAsia" w:ascii="Times New Roman" w:hAnsi="Times New Roman" w:eastAsia="黑体"/>
          <w:snapToGrid w:val="0"/>
          <w:kern w:val="0"/>
          <w:sz w:val="32"/>
          <w:szCs w:val="32"/>
          <w:highlight w:val="none"/>
          <w:lang w:eastAsia="zh-CN"/>
        </w:rPr>
      </w:pPr>
      <w:r>
        <w:rPr>
          <w:rFonts w:hint="eastAsia" w:ascii="Times New Roman" w:hAnsi="Times New Roman" w:eastAsia="黑体"/>
          <w:snapToGrid w:val="0"/>
          <w:kern w:val="0"/>
          <w:sz w:val="32"/>
          <w:szCs w:val="32"/>
          <w:highlight w:val="none"/>
          <w:lang w:eastAsia="zh-CN"/>
        </w:rPr>
        <w:t>（六）考核完成情况</w:t>
      </w:r>
    </w:p>
    <w:p>
      <w:pPr>
        <w:keepNext w:val="0"/>
        <w:keepLines w:val="0"/>
        <w:pageBreakBefore w:val="0"/>
        <w:kinsoku/>
        <w:wordWrap/>
        <w:overflowPunct/>
        <w:autoSpaceDE/>
        <w:autoSpaceDN/>
        <w:bidi w:val="0"/>
        <w:spacing w:line="560" w:lineRule="exact"/>
        <w:ind w:firstLine="640" w:firstLineChars="200"/>
        <w:rPr>
          <w:rFonts w:hint="eastAsia" w:ascii="仿宋_GB2312" w:hAnsi="仿宋_GB2312" w:eastAsia="仿宋_GB2312" w:cs="仿宋_GB2312"/>
          <w:color w:val="FF0000"/>
          <w:sz w:val="32"/>
          <w:highlight w:val="none"/>
        </w:rPr>
      </w:pPr>
      <w:r>
        <w:rPr>
          <w:rFonts w:hint="eastAsia" w:ascii="仿宋_GB2312" w:hAnsi="仿宋_GB2312" w:eastAsia="仿宋_GB2312" w:cs="仿宋_GB2312"/>
          <w:color w:val="auto"/>
          <w:sz w:val="32"/>
          <w:highlight w:val="none"/>
        </w:rPr>
        <w:t>根据《银行业金融机构绩效考评监管指引》，本行设置的绩效考评指标涵盖合规经营类指标、风险管理类指标、经营效益类指标、发展转型类指标和社会责任类指标。202</w:t>
      </w:r>
      <w:r>
        <w:rPr>
          <w:rFonts w:hint="eastAsia" w:ascii="仿宋_GB2312" w:hAnsi="仿宋_GB2312" w:eastAsia="仿宋_GB2312" w:cs="仿宋_GB2312"/>
          <w:color w:val="auto"/>
          <w:sz w:val="32"/>
          <w:highlight w:val="none"/>
          <w:lang w:val="en-US" w:eastAsia="zh-CN"/>
        </w:rPr>
        <w:t>3</w:t>
      </w:r>
      <w:r>
        <w:rPr>
          <w:rFonts w:hint="eastAsia" w:ascii="仿宋_GB2312" w:hAnsi="仿宋_GB2312" w:eastAsia="仿宋_GB2312" w:cs="仿宋_GB2312"/>
          <w:color w:val="auto"/>
          <w:sz w:val="32"/>
          <w:highlight w:val="none"/>
        </w:rPr>
        <w:t>年各项存款、各项贷款、各项收入等指标实现年初既定目标；不良贷款率、拨备覆盖率、资本充足率等风险类考核指标满足监管要求；社会责任类考核指标逐步完善，服务质量持续提升。</w:t>
      </w:r>
    </w:p>
    <w:p>
      <w:pPr>
        <w:keepNext w:val="0"/>
        <w:keepLines w:val="0"/>
        <w:pageBreakBefore w:val="0"/>
        <w:kinsoku/>
        <w:wordWrap/>
        <w:overflowPunct/>
        <w:autoSpaceDE/>
        <w:autoSpaceDN/>
        <w:bidi w:val="0"/>
        <w:adjustRightInd w:val="0"/>
        <w:snapToGrid w:val="0"/>
        <w:spacing w:line="560" w:lineRule="exact"/>
        <w:jc w:val="center"/>
        <w:rPr>
          <w:rFonts w:ascii="Times New Roman" w:hAnsi="Times New Roman" w:eastAsia="黑体"/>
          <w:sz w:val="32"/>
          <w:szCs w:val="32"/>
          <w:highlight w:val="none"/>
        </w:rPr>
      </w:pPr>
      <w:bookmarkStart w:id="24" w:name="_Toc28232_WPSOffice_Level1"/>
      <w:r>
        <w:rPr>
          <w:rFonts w:hint="eastAsia" w:ascii="Times New Roman" w:hAnsi="Times New Roman" w:eastAsia="黑体"/>
          <w:sz w:val="32"/>
          <w:szCs w:val="32"/>
          <w:highlight w:val="none"/>
        </w:rPr>
        <w:t>第</w:t>
      </w:r>
      <w:r>
        <w:rPr>
          <w:rFonts w:hint="eastAsia" w:ascii="Times New Roman" w:hAnsi="Times New Roman" w:eastAsia="黑体"/>
          <w:sz w:val="32"/>
          <w:szCs w:val="32"/>
          <w:highlight w:val="none"/>
          <w:lang w:eastAsia="zh-CN"/>
        </w:rPr>
        <w:t>五</w:t>
      </w:r>
      <w:r>
        <w:rPr>
          <w:rFonts w:hint="eastAsia" w:ascii="Times New Roman" w:hAnsi="Times New Roman" w:eastAsia="黑体"/>
          <w:sz w:val="32"/>
          <w:szCs w:val="32"/>
          <w:highlight w:val="none"/>
        </w:rPr>
        <w:t>章　　重大事项</w:t>
      </w:r>
      <w:bookmarkEnd w:id="24"/>
    </w:p>
    <w:p>
      <w:pPr>
        <w:keepNext w:val="0"/>
        <w:keepLines w:val="0"/>
        <w:pageBreakBefore w:val="0"/>
        <w:widowControl/>
        <w:kinsoku/>
        <w:wordWrap/>
        <w:overflowPunct/>
        <w:autoSpaceDE/>
        <w:autoSpaceDN/>
        <w:bidi w:val="0"/>
        <w:adjustRightInd w:val="0"/>
        <w:snapToGrid w:val="0"/>
        <w:spacing w:line="560" w:lineRule="exact"/>
        <w:ind w:firstLine="640" w:firstLineChars="200"/>
        <w:jc w:val="left"/>
        <w:rPr>
          <w:rFonts w:hint="eastAsia" w:ascii="Times New Roman" w:hAnsi="Times New Roman" w:eastAsia="黑体"/>
          <w:sz w:val="32"/>
          <w:szCs w:val="32"/>
          <w:highlight w:val="none"/>
          <w:lang w:eastAsia="zh-CN"/>
        </w:rPr>
      </w:pPr>
      <w:bookmarkStart w:id="25" w:name="_Toc14566_WPSOffice_Level2"/>
      <w:r>
        <w:rPr>
          <w:rFonts w:hint="eastAsia" w:ascii="Times New Roman" w:hAnsi="Times New Roman" w:eastAsia="黑体"/>
          <w:sz w:val="32"/>
          <w:szCs w:val="32"/>
          <w:highlight w:val="none"/>
          <w:lang w:eastAsia="zh-CN"/>
        </w:rPr>
        <w:t>一、最大十户股东变化情况</w:t>
      </w:r>
      <w:bookmarkEnd w:id="25"/>
    </w:p>
    <w:p>
      <w:pPr>
        <w:keepNext w:val="0"/>
        <w:keepLines w:val="0"/>
        <w:pageBreakBefore w:val="0"/>
        <w:kinsoku/>
        <w:wordWrap/>
        <w:overflowPunct/>
        <w:autoSpaceDE/>
        <w:autoSpaceDN/>
        <w:bidi w:val="0"/>
        <w:adjustRightInd w:val="0"/>
        <w:snapToGrid w:val="0"/>
        <w:spacing w:line="560" w:lineRule="exact"/>
        <w:jc w:val="left"/>
        <w:rPr>
          <w:rFonts w:ascii="Times New Roman" w:hAnsi="Times New Roman" w:eastAsia="仿宋_GB2312"/>
          <w:color w:val="FF0000"/>
          <w:kern w:val="0"/>
          <w:sz w:val="32"/>
          <w:szCs w:val="32"/>
          <w:highlight w:val="none"/>
        </w:rPr>
      </w:pPr>
      <w:r>
        <w:rPr>
          <w:rFonts w:ascii="Times New Roman" w:hAnsi="Times New Roman" w:eastAsia="仿宋_GB2312"/>
          <w:bCs/>
          <w:kern w:val="0"/>
          <w:highlight w:val="none"/>
        </w:rPr>
        <w:t xml:space="preserve">    </w:t>
      </w:r>
      <w:r>
        <w:rPr>
          <w:rFonts w:hint="eastAsia" w:ascii="Times New Roman" w:hAnsi="Times New Roman" w:eastAsia="仿宋_GB2312"/>
          <w:sz w:val="32"/>
          <w:szCs w:val="32"/>
          <w:highlight w:val="none"/>
          <w:lang w:val="en-US" w:eastAsia="zh-CN"/>
        </w:rPr>
        <w:t xml:space="preserve">  2023年度前十大股东持股情况发生变化1户。</w:t>
      </w:r>
    </w:p>
    <w:p>
      <w:pPr>
        <w:keepNext w:val="0"/>
        <w:keepLines w:val="0"/>
        <w:pageBreakBefore w:val="0"/>
        <w:widowControl/>
        <w:kinsoku/>
        <w:wordWrap/>
        <w:overflowPunct/>
        <w:autoSpaceDE/>
        <w:autoSpaceDN/>
        <w:bidi w:val="0"/>
        <w:adjustRightInd w:val="0"/>
        <w:snapToGrid w:val="0"/>
        <w:spacing w:line="560" w:lineRule="exact"/>
        <w:ind w:firstLine="640" w:firstLineChars="200"/>
        <w:jc w:val="left"/>
        <w:rPr>
          <w:rFonts w:ascii="Times New Roman" w:hAnsi="Times New Roman" w:eastAsia="黑体"/>
          <w:sz w:val="32"/>
          <w:szCs w:val="32"/>
          <w:highlight w:val="none"/>
        </w:rPr>
      </w:pPr>
      <w:bookmarkStart w:id="26" w:name="_Toc15678_WPSOffice_Level2"/>
      <w:r>
        <w:rPr>
          <w:rFonts w:hint="eastAsia" w:ascii="Times New Roman" w:hAnsi="Times New Roman" w:eastAsia="黑体"/>
          <w:sz w:val="32"/>
          <w:szCs w:val="32"/>
          <w:highlight w:val="none"/>
        </w:rPr>
        <w:t>二、增加或减少注册资本、分立合并事项</w:t>
      </w:r>
      <w:bookmarkEnd w:id="26"/>
    </w:p>
    <w:p>
      <w:pPr>
        <w:keepNext w:val="0"/>
        <w:keepLines w:val="0"/>
        <w:pageBreakBefore w:val="0"/>
        <w:kinsoku/>
        <w:wordWrap/>
        <w:overflowPunct/>
        <w:autoSpaceDE/>
        <w:autoSpaceDN/>
        <w:bidi w:val="0"/>
        <w:adjustRightInd w:val="0"/>
        <w:snapToGrid w:val="0"/>
        <w:spacing w:line="560" w:lineRule="exact"/>
        <w:ind w:firstLine="640" w:firstLineChars="200"/>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无增加或减少注册资本及分立合并事项。</w:t>
      </w:r>
    </w:p>
    <w:p>
      <w:pPr>
        <w:keepNext w:val="0"/>
        <w:keepLines w:val="0"/>
        <w:pageBreakBefore w:val="0"/>
        <w:kinsoku/>
        <w:wordWrap/>
        <w:overflowPunct/>
        <w:autoSpaceDE/>
        <w:autoSpaceDN/>
        <w:bidi w:val="0"/>
        <w:adjustRightInd w:val="0"/>
        <w:snapToGrid w:val="0"/>
        <w:spacing w:line="560" w:lineRule="exact"/>
        <w:ind w:firstLine="640" w:firstLineChars="200"/>
        <w:rPr>
          <w:rFonts w:ascii="Times New Roman" w:hAnsi="Times New Roman" w:eastAsia="黑体"/>
          <w:sz w:val="32"/>
          <w:szCs w:val="32"/>
          <w:highlight w:val="none"/>
        </w:rPr>
      </w:pPr>
      <w:bookmarkStart w:id="27" w:name="_Toc27759_WPSOffice_Level2"/>
      <w:r>
        <w:rPr>
          <w:rFonts w:hint="eastAsia" w:ascii="Times New Roman" w:hAnsi="Times New Roman" w:eastAsia="黑体"/>
          <w:sz w:val="32"/>
          <w:szCs w:val="32"/>
          <w:highlight w:val="none"/>
        </w:rPr>
        <w:t>三、本行、本行董事会及董事接受处罚情况</w:t>
      </w:r>
      <w:bookmarkEnd w:id="27"/>
    </w:p>
    <w:p>
      <w:pPr>
        <w:pStyle w:val="2"/>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default" w:ascii="仿宋_GB2312" w:hAnsi="仿宋_GB2312" w:eastAsia="仿宋_GB2312" w:cs="仿宋_GB2312"/>
          <w:b w:val="0"/>
          <w:kern w:val="2"/>
          <w:sz w:val="32"/>
          <w:szCs w:val="22"/>
          <w:highlight w:val="none"/>
          <w:lang w:val="en-US" w:eastAsia="zh-CN" w:bidi="ar-SA"/>
        </w:rPr>
      </w:pPr>
      <w:r>
        <w:rPr>
          <w:rFonts w:hint="eastAsia" w:ascii="仿宋_GB2312" w:hAnsi="仿宋_GB2312" w:cs="仿宋_GB2312"/>
          <w:b w:val="0"/>
          <w:kern w:val="2"/>
          <w:sz w:val="32"/>
          <w:szCs w:val="22"/>
          <w:highlight w:val="none"/>
          <w:lang w:val="en-US" w:eastAsia="zh-CN" w:bidi="ar-SA"/>
        </w:rPr>
        <w:t>2023年我行收到中国银行保险监督管理委员会黔南监管分局行政处罚决定书，并在监管部门官方网站公开。</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roman"/>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ZTQ5ZTA5MzBiZTFmMGQ3NThkOWZjNDYyYjQzNjAifQ=="/>
  </w:docVars>
  <w:rsids>
    <w:rsidRoot w:val="0B2413CC"/>
    <w:rsid w:val="00002775"/>
    <w:rsid w:val="000678D2"/>
    <w:rsid w:val="00084A96"/>
    <w:rsid w:val="00093AA8"/>
    <w:rsid w:val="000A059F"/>
    <w:rsid w:val="0011221D"/>
    <w:rsid w:val="001150CA"/>
    <w:rsid w:val="00131540"/>
    <w:rsid w:val="00140D89"/>
    <w:rsid w:val="001525E9"/>
    <w:rsid w:val="001B476F"/>
    <w:rsid w:val="00221440"/>
    <w:rsid w:val="00273DBE"/>
    <w:rsid w:val="003147D7"/>
    <w:rsid w:val="00343092"/>
    <w:rsid w:val="003864DA"/>
    <w:rsid w:val="00397281"/>
    <w:rsid w:val="00406E5D"/>
    <w:rsid w:val="00497B49"/>
    <w:rsid w:val="004B2C98"/>
    <w:rsid w:val="004C7C51"/>
    <w:rsid w:val="00647C35"/>
    <w:rsid w:val="007E1D08"/>
    <w:rsid w:val="0092179D"/>
    <w:rsid w:val="00AC568E"/>
    <w:rsid w:val="00AF6486"/>
    <w:rsid w:val="00B737F9"/>
    <w:rsid w:val="00B81DC3"/>
    <w:rsid w:val="00D6516E"/>
    <w:rsid w:val="00E43ADA"/>
    <w:rsid w:val="00F11E3A"/>
    <w:rsid w:val="00F31CDB"/>
    <w:rsid w:val="00F5734F"/>
    <w:rsid w:val="00F7284B"/>
    <w:rsid w:val="00FE79B6"/>
    <w:rsid w:val="010D41FE"/>
    <w:rsid w:val="01127562"/>
    <w:rsid w:val="012A09F8"/>
    <w:rsid w:val="01321062"/>
    <w:rsid w:val="0135358D"/>
    <w:rsid w:val="013757F2"/>
    <w:rsid w:val="013C629F"/>
    <w:rsid w:val="014B17A1"/>
    <w:rsid w:val="01534C2F"/>
    <w:rsid w:val="01622869"/>
    <w:rsid w:val="01647800"/>
    <w:rsid w:val="017174F6"/>
    <w:rsid w:val="01866788"/>
    <w:rsid w:val="018E6778"/>
    <w:rsid w:val="019864D7"/>
    <w:rsid w:val="01A35196"/>
    <w:rsid w:val="01A80E9B"/>
    <w:rsid w:val="01AF2F24"/>
    <w:rsid w:val="01B34B83"/>
    <w:rsid w:val="01C011A9"/>
    <w:rsid w:val="01C0607E"/>
    <w:rsid w:val="01C548D6"/>
    <w:rsid w:val="01C8069B"/>
    <w:rsid w:val="01D40B37"/>
    <w:rsid w:val="01D6439E"/>
    <w:rsid w:val="01DA4FF6"/>
    <w:rsid w:val="01DC6259"/>
    <w:rsid w:val="01E62E22"/>
    <w:rsid w:val="01F70D27"/>
    <w:rsid w:val="01FD60EF"/>
    <w:rsid w:val="020B539C"/>
    <w:rsid w:val="0210031A"/>
    <w:rsid w:val="021B7D6A"/>
    <w:rsid w:val="02240CD6"/>
    <w:rsid w:val="02251D51"/>
    <w:rsid w:val="02351DFB"/>
    <w:rsid w:val="02543060"/>
    <w:rsid w:val="025F748C"/>
    <w:rsid w:val="02711004"/>
    <w:rsid w:val="027B18B9"/>
    <w:rsid w:val="028724F6"/>
    <w:rsid w:val="028A2E31"/>
    <w:rsid w:val="028C4CC2"/>
    <w:rsid w:val="028C7075"/>
    <w:rsid w:val="0290414A"/>
    <w:rsid w:val="02A56776"/>
    <w:rsid w:val="02B0298C"/>
    <w:rsid w:val="02B0463D"/>
    <w:rsid w:val="02B108D5"/>
    <w:rsid w:val="02B24819"/>
    <w:rsid w:val="02BA5677"/>
    <w:rsid w:val="02BC199E"/>
    <w:rsid w:val="02BE4677"/>
    <w:rsid w:val="02C30AB7"/>
    <w:rsid w:val="02C7735E"/>
    <w:rsid w:val="02CA099E"/>
    <w:rsid w:val="02DD60D4"/>
    <w:rsid w:val="02DE3DC3"/>
    <w:rsid w:val="02DE5B96"/>
    <w:rsid w:val="02F7521B"/>
    <w:rsid w:val="030637CE"/>
    <w:rsid w:val="030924F8"/>
    <w:rsid w:val="030A589E"/>
    <w:rsid w:val="030D7AD1"/>
    <w:rsid w:val="031A6B3E"/>
    <w:rsid w:val="031B1BF1"/>
    <w:rsid w:val="031B7551"/>
    <w:rsid w:val="03207F83"/>
    <w:rsid w:val="03274692"/>
    <w:rsid w:val="033F4C00"/>
    <w:rsid w:val="03480624"/>
    <w:rsid w:val="034D25B4"/>
    <w:rsid w:val="035A4761"/>
    <w:rsid w:val="03683EB1"/>
    <w:rsid w:val="036D0A37"/>
    <w:rsid w:val="037B28DE"/>
    <w:rsid w:val="038269F3"/>
    <w:rsid w:val="03853EC3"/>
    <w:rsid w:val="0388044E"/>
    <w:rsid w:val="038C42F6"/>
    <w:rsid w:val="03961803"/>
    <w:rsid w:val="039635DF"/>
    <w:rsid w:val="03AF1213"/>
    <w:rsid w:val="03B80744"/>
    <w:rsid w:val="03B90C9F"/>
    <w:rsid w:val="03B9405A"/>
    <w:rsid w:val="03C72347"/>
    <w:rsid w:val="03D70497"/>
    <w:rsid w:val="03D71744"/>
    <w:rsid w:val="03DF5C55"/>
    <w:rsid w:val="03E70E5B"/>
    <w:rsid w:val="03E854FC"/>
    <w:rsid w:val="03F62893"/>
    <w:rsid w:val="04023E35"/>
    <w:rsid w:val="040804D1"/>
    <w:rsid w:val="040E6D23"/>
    <w:rsid w:val="0415153D"/>
    <w:rsid w:val="041D1257"/>
    <w:rsid w:val="04215714"/>
    <w:rsid w:val="042223EB"/>
    <w:rsid w:val="042C58FF"/>
    <w:rsid w:val="043B4EAD"/>
    <w:rsid w:val="0441224E"/>
    <w:rsid w:val="04480A55"/>
    <w:rsid w:val="044B7483"/>
    <w:rsid w:val="045C2F9B"/>
    <w:rsid w:val="0462179A"/>
    <w:rsid w:val="046338FC"/>
    <w:rsid w:val="04750FEA"/>
    <w:rsid w:val="04892FB9"/>
    <w:rsid w:val="048B3821"/>
    <w:rsid w:val="048F586A"/>
    <w:rsid w:val="048F5F38"/>
    <w:rsid w:val="0492711B"/>
    <w:rsid w:val="049545E5"/>
    <w:rsid w:val="04A44115"/>
    <w:rsid w:val="04AA2E1A"/>
    <w:rsid w:val="04B47DED"/>
    <w:rsid w:val="04B859F4"/>
    <w:rsid w:val="04B92B46"/>
    <w:rsid w:val="04C45A6A"/>
    <w:rsid w:val="04C47B0E"/>
    <w:rsid w:val="04C5235E"/>
    <w:rsid w:val="04CB575C"/>
    <w:rsid w:val="04F51C45"/>
    <w:rsid w:val="04FE12DF"/>
    <w:rsid w:val="05071067"/>
    <w:rsid w:val="050C0F8D"/>
    <w:rsid w:val="05213A63"/>
    <w:rsid w:val="05244102"/>
    <w:rsid w:val="0527026C"/>
    <w:rsid w:val="053466EF"/>
    <w:rsid w:val="05394095"/>
    <w:rsid w:val="053D00AD"/>
    <w:rsid w:val="05484CA4"/>
    <w:rsid w:val="054B14AC"/>
    <w:rsid w:val="05506839"/>
    <w:rsid w:val="05532370"/>
    <w:rsid w:val="055D5928"/>
    <w:rsid w:val="056E6416"/>
    <w:rsid w:val="05701E8D"/>
    <w:rsid w:val="057049BD"/>
    <w:rsid w:val="05724051"/>
    <w:rsid w:val="05783618"/>
    <w:rsid w:val="057A4A7A"/>
    <w:rsid w:val="05825E5C"/>
    <w:rsid w:val="05942953"/>
    <w:rsid w:val="05982E1A"/>
    <w:rsid w:val="05AD3C9A"/>
    <w:rsid w:val="05B77B74"/>
    <w:rsid w:val="05BC7788"/>
    <w:rsid w:val="05BD1F45"/>
    <w:rsid w:val="05C1245C"/>
    <w:rsid w:val="05C5748B"/>
    <w:rsid w:val="05CC4396"/>
    <w:rsid w:val="05D269ED"/>
    <w:rsid w:val="05D84306"/>
    <w:rsid w:val="05D8687B"/>
    <w:rsid w:val="05DB0380"/>
    <w:rsid w:val="05ED2341"/>
    <w:rsid w:val="05F74169"/>
    <w:rsid w:val="060020E1"/>
    <w:rsid w:val="060A03EF"/>
    <w:rsid w:val="060B6428"/>
    <w:rsid w:val="061942E0"/>
    <w:rsid w:val="06202F39"/>
    <w:rsid w:val="06237464"/>
    <w:rsid w:val="062C2103"/>
    <w:rsid w:val="06463243"/>
    <w:rsid w:val="064C027C"/>
    <w:rsid w:val="064F18C6"/>
    <w:rsid w:val="06562179"/>
    <w:rsid w:val="06676575"/>
    <w:rsid w:val="0672600B"/>
    <w:rsid w:val="06760EED"/>
    <w:rsid w:val="067663E0"/>
    <w:rsid w:val="06860210"/>
    <w:rsid w:val="068648A0"/>
    <w:rsid w:val="06876292"/>
    <w:rsid w:val="06895CEA"/>
    <w:rsid w:val="06906B87"/>
    <w:rsid w:val="06BA5236"/>
    <w:rsid w:val="06BC2A0D"/>
    <w:rsid w:val="06C415F3"/>
    <w:rsid w:val="06C5008F"/>
    <w:rsid w:val="06C53678"/>
    <w:rsid w:val="06CA1D06"/>
    <w:rsid w:val="06CC2D66"/>
    <w:rsid w:val="06CD0970"/>
    <w:rsid w:val="06DD6C12"/>
    <w:rsid w:val="06DE6F87"/>
    <w:rsid w:val="06EC4872"/>
    <w:rsid w:val="06F20C95"/>
    <w:rsid w:val="06F30869"/>
    <w:rsid w:val="06FF6563"/>
    <w:rsid w:val="0701158F"/>
    <w:rsid w:val="07012DE0"/>
    <w:rsid w:val="071002F4"/>
    <w:rsid w:val="071704A9"/>
    <w:rsid w:val="072F3ADA"/>
    <w:rsid w:val="073717AC"/>
    <w:rsid w:val="0737783F"/>
    <w:rsid w:val="07416600"/>
    <w:rsid w:val="074F7FBC"/>
    <w:rsid w:val="075C3029"/>
    <w:rsid w:val="07631173"/>
    <w:rsid w:val="07634DED"/>
    <w:rsid w:val="076950B6"/>
    <w:rsid w:val="07866606"/>
    <w:rsid w:val="078E529D"/>
    <w:rsid w:val="079D1352"/>
    <w:rsid w:val="079D2254"/>
    <w:rsid w:val="07AF0AEE"/>
    <w:rsid w:val="07B22087"/>
    <w:rsid w:val="07C5612C"/>
    <w:rsid w:val="07CB085C"/>
    <w:rsid w:val="07E26F58"/>
    <w:rsid w:val="07E30A12"/>
    <w:rsid w:val="07E524A3"/>
    <w:rsid w:val="07E87263"/>
    <w:rsid w:val="07EE5C72"/>
    <w:rsid w:val="07F1777F"/>
    <w:rsid w:val="07FB5B2E"/>
    <w:rsid w:val="07FC7AA3"/>
    <w:rsid w:val="07FE588D"/>
    <w:rsid w:val="08053BBA"/>
    <w:rsid w:val="08146D8C"/>
    <w:rsid w:val="08325AC9"/>
    <w:rsid w:val="08343CFD"/>
    <w:rsid w:val="084A00FF"/>
    <w:rsid w:val="08533E11"/>
    <w:rsid w:val="08575008"/>
    <w:rsid w:val="085A7AA3"/>
    <w:rsid w:val="085D5B76"/>
    <w:rsid w:val="08603093"/>
    <w:rsid w:val="08645CB6"/>
    <w:rsid w:val="0867106B"/>
    <w:rsid w:val="08696535"/>
    <w:rsid w:val="08707BEE"/>
    <w:rsid w:val="088A5D96"/>
    <w:rsid w:val="089C2301"/>
    <w:rsid w:val="089F061D"/>
    <w:rsid w:val="08A42EA6"/>
    <w:rsid w:val="08A97F4B"/>
    <w:rsid w:val="08AC149D"/>
    <w:rsid w:val="08B15F54"/>
    <w:rsid w:val="08B226BA"/>
    <w:rsid w:val="08B5256A"/>
    <w:rsid w:val="08BD5478"/>
    <w:rsid w:val="08C06472"/>
    <w:rsid w:val="08C1790C"/>
    <w:rsid w:val="08C65B32"/>
    <w:rsid w:val="08C748B3"/>
    <w:rsid w:val="08CE193B"/>
    <w:rsid w:val="08D25946"/>
    <w:rsid w:val="08DC019A"/>
    <w:rsid w:val="08F25A5C"/>
    <w:rsid w:val="09021EEC"/>
    <w:rsid w:val="09057A8D"/>
    <w:rsid w:val="09103135"/>
    <w:rsid w:val="09195BAB"/>
    <w:rsid w:val="091A2E82"/>
    <w:rsid w:val="091E2273"/>
    <w:rsid w:val="0920184A"/>
    <w:rsid w:val="0921799E"/>
    <w:rsid w:val="092211DF"/>
    <w:rsid w:val="0928775A"/>
    <w:rsid w:val="09331668"/>
    <w:rsid w:val="093A2F85"/>
    <w:rsid w:val="093C73A4"/>
    <w:rsid w:val="09541373"/>
    <w:rsid w:val="09552B72"/>
    <w:rsid w:val="095841EC"/>
    <w:rsid w:val="09666F34"/>
    <w:rsid w:val="096C2E40"/>
    <w:rsid w:val="096D421D"/>
    <w:rsid w:val="0970024D"/>
    <w:rsid w:val="097A3BB9"/>
    <w:rsid w:val="09800E06"/>
    <w:rsid w:val="098114EC"/>
    <w:rsid w:val="098733B8"/>
    <w:rsid w:val="099F3C4C"/>
    <w:rsid w:val="09A324C8"/>
    <w:rsid w:val="09A61D39"/>
    <w:rsid w:val="09AF5B23"/>
    <w:rsid w:val="09B370B8"/>
    <w:rsid w:val="09C51616"/>
    <w:rsid w:val="09C9025A"/>
    <w:rsid w:val="09C92DD0"/>
    <w:rsid w:val="09D06CD7"/>
    <w:rsid w:val="09D309CA"/>
    <w:rsid w:val="09E4061A"/>
    <w:rsid w:val="09EA3528"/>
    <w:rsid w:val="09EC3DE4"/>
    <w:rsid w:val="09F51916"/>
    <w:rsid w:val="0A007747"/>
    <w:rsid w:val="0A031B9A"/>
    <w:rsid w:val="0A125B00"/>
    <w:rsid w:val="0A150B5B"/>
    <w:rsid w:val="0A1922BA"/>
    <w:rsid w:val="0A237C06"/>
    <w:rsid w:val="0A24220A"/>
    <w:rsid w:val="0A2E7FE2"/>
    <w:rsid w:val="0A301781"/>
    <w:rsid w:val="0A3516A6"/>
    <w:rsid w:val="0A3565DE"/>
    <w:rsid w:val="0A404341"/>
    <w:rsid w:val="0A460C0E"/>
    <w:rsid w:val="0A5A7C92"/>
    <w:rsid w:val="0A5D7471"/>
    <w:rsid w:val="0A5E3F49"/>
    <w:rsid w:val="0A5F6D18"/>
    <w:rsid w:val="0A6368FB"/>
    <w:rsid w:val="0A6603B6"/>
    <w:rsid w:val="0A70507D"/>
    <w:rsid w:val="0A73594F"/>
    <w:rsid w:val="0A7B4229"/>
    <w:rsid w:val="0A81706E"/>
    <w:rsid w:val="0A8402A7"/>
    <w:rsid w:val="0A886679"/>
    <w:rsid w:val="0A89384C"/>
    <w:rsid w:val="0A8E4F59"/>
    <w:rsid w:val="0A8E7462"/>
    <w:rsid w:val="0A904122"/>
    <w:rsid w:val="0A9E5A32"/>
    <w:rsid w:val="0AA57C9D"/>
    <w:rsid w:val="0AAA1C5A"/>
    <w:rsid w:val="0AAE281B"/>
    <w:rsid w:val="0AAE7EEF"/>
    <w:rsid w:val="0AB06DE8"/>
    <w:rsid w:val="0ACC0E2C"/>
    <w:rsid w:val="0AD07754"/>
    <w:rsid w:val="0AD434DA"/>
    <w:rsid w:val="0AE83670"/>
    <w:rsid w:val="0AE920FF"/>
    <w:rsid w:val="0AEE2056"/>
    <w:rsid w:val="0AF03A0A"/>
    <w:rsid w:val="0AF12329"/>
    <w:rsid w:val="0AF63051"/>
    <w:rsid w:val="0AFE78EA"/>
    <w:rsid w:val="0B002AE9"/>
    <w:rsid w:val="0B071B63"/>
    <w:rsid w:val="0B0E41EC"/>
    <w:rsid w:val="0B2413CC"/>
    <w:rsid w:val="0B253686"/>
    <w:rsid w:val="0B422D74"/>
    <w:rsid w:val="0B45496F"/>
    <w:rsid w:val="0B471DB3"/>
    <w:rsid w:val="0B4B568E"/>
    <w:rsid w:val="0B565C58"/>
    <w:rsid w:val="0B5E5EFA"/>
    <w:rsid w:val="0B5F3EFE"/>
    <w:rsid w:val="0B61149C"/>
    <w:rsid w:val="0B613FA8"/>
    <w:rsid w:val="0B63153D"/>
    <w:rsid w:val="0B750E0D"/>
    <w:rsid w:val="0B790A7A"/>
    <w:rsid w:val="0B7E579A"/>
    <w:rsid w:val="0B8B7D82"/>
    <w:rsid w:val="0B9D4071"/>
    <w:rsid w:val="0BA87E4C"/>
    <w:rsid w:val="0BD16306"/>
    <w:rsid w:val="0BD23A2A"/>
    <w:rsid w:val="0BE6547F"/>
    <w:rsid w:val="0C1E231B"/>
    <w:rsid w:val="0C210006"/>
    <w:rsid w:val="0C222CA5"/>
    <w:rsid w:val="0C236B60"/>
    <w:rsid w:val="0C240CFB"/>
    <w:rsid w:val="0C252505"/>
    <w:rsid w:val="0C284D0A"/>
    <w:rsid w:val="0C2C4867"/>
    <w:rsid w:val="0C3E2B4F"/>
    <w:rsid w:val="0C4215F3"/>
    <w:rsid w:val="0C4D3AB2"/>
    <w:rsid w:val="0C4D5C83"/>
    <w:rsid w:val="0C511B10"/>
    <w:rsid w:val="0C5D1710"/>
    <w:rsid w:val="0C630D8D"/>
    <w:rsid w:val="0C640542"/>
    <w:rsid w:val="0C682A01"/>
    <w:rsid w:val="0C6934EC"/>
    <w:rsid w:val="0C782FF7"/>
    <w:rsid w:val="0C830567"/>
    <w:rsid w:val="0C8354A6"/>
    <w:rsid w:val="0C877A79"/>
    <w:rsid w:val="0C8B41E2"/>
    <w:rsid w:val="0C985B04"/>
    <w:rsid w:val="0CA33610"/>
    <w:rsid w:val="0CA93D0C"/>
    <w:rsid w:val="0CAC5B1B"/>
    <w:rsid w:val="0CB21570"/>
    <w:rsid w:val="0CB55111"/>
    <w:rsid w:val="0CBB6DCB"/>
    <w:rsid w:val="0CC23447"/>
    <w:rsid w:val="0CC44FB7"/>
    <w:rsid w:val="0CC9603D"/>
    <w:rsid w:val="0CCE4220"/>
    <w:rsid w:val="0CDB7BD2"/>
    <w:rsid w:val="0CE43DAD"/>
    <w:rsid w:val="0CF44C56"/>
    <w:rsid w:val="0D00773C"/>
    <w:rsid w:val="0D060B13"/>
    <w:rsid w:val="0D0D6AD2"/>
    <w:rsid w:val="0D101234"/>
    <w:rsid w:val="0D162BE9"/>
    <w:rsid w:val="0D1D1034"/>
    <w:rsid w:val="0D2452B1"/>
    <w:rsid w:val="0D2632CC"/>
    <w:rsid w:val="0D293464"/>
    <w:rsid w:val="0D2D5E80"/>
    <w:rsid w:val="0D3722B1"/>
    <w:rsid w:val="0D421522"/>
    <w:rsid w:val="0D467A67"/>
    <w:rsid w:val="0D483841"/>
    <w:rsid w:val="0D4E77E3"/>
    <w:rsid w:val="0D5545EB"/>
    <w:rsid w:val="0D567579"/>
    <w:rsid w:val="0D690933"/>
    <w:rsid w:val="0D6A5594"/>
    <w:rsid w:val="0D6E0A4D"/>
    <w:rsid w:val="0D6E2DD9"/>
    <w:rsid w:val="0D706857"/>
    <w:rsid w:val="0D7438FC"/>
    <w:rsid w:val="0D743E9D"/>
    <w:rsid w:val="0D810C58"/>
    <w:rsid w:val="0D8B5744"/>
    <w:rsid w:val="0D8D2097"/>
    <w:rsid w:val="0D9E0877"/>
    <w:rsid w:val="0DA256ED"/>
    <w:rsid w:val="0DA5540A"/>
    <w:rsid w:val="0DA5791A"/>
    <w:rsid w:val="0DA82F27"/>
    <w:rsid w:val="0DB63786"/>
    <w:rsid w:val="0DBB77AB"/>
    <w:rsid w:val="0DD24F59"/>
    <w:rsid w:val="0DD55D2E"/>
    <w:rsid w:val="0DD623FE"/>
    <w:rsid w:val="0DE065D4"/>
    <w:rsid w:val="0DE66BF9"/>
    <w:rsid w:val="0DE7533C"/>
    <w:rsid w:val="0E0C1537"/>
    <w:rsid w:val="0E114DED"/>
    <w:rsid w:val="0E234B91"/>
    <w:rsid w:val="0E2F6F4A"/>
    <w:rsid w:val="0E302D66"/>
    <w:rsid w:val="0E3626C6"/>
    <w:rsid w:val="0E392B7E"/>
    <w:rsid w:val="0E3A6E45"/>
    <w:rsid w:val="0E426FF4"/>
    <w:rsid w:val="0E4A1AD3"/>
    <w:rsid w:val="0E4A29A2"/>
    <w:rsid w:val="0E4B4412"/>
    <w:rsid w:val="0E4E14C7"/>
    <w:rsid w:val="0E4E1926"/>
    <w:rsid w:val="0E536FCB"/>
    <w:rsid w:val="0E857600"/>
    <w:rsid w:val="0E8805E5"/>
    <w:rsid w:val="0E8F07C5"/>
    <w:rsid w:val="0E95012C"/>
    <w:rsid w:val="0E984EBC"/>
    <w:rsid w:val="0E9E22C5"/>
    <w:rsid w:val="0E9E52BE"/>
    <w:rsid w:val="0EA13073"/>
    <w:rsid w:val="0EA41831"/>
    <w:rsid w:val="0EA57448"/>
    <w:rsid w:val="0EA60A08"/>
    <w:rsid w:val="0EA70BB4"/>
    <w:rsid w:val="0EA72F3E"/>
    <w:rsid w:val="0EAA3571"/>
    <w:rsid w:val="0EAC7115"/>
    <w:rsid w:val="0EAD7412"/>
    <w:rsid w:val="0EB21547"/>
    <w:rsid w:val="0EC27D0D"/>
    <w:rsid w:val="0ECD61E4"/>
    <w:rsid w:val="0ECD6CD2"/>
    <w:rsid w:val="0ED8666E"/>
    <w:rsid w:val="0EE5631F"/>
    <w:rsid w:val="0EF93BCE"/>
    <w:rsid w:val="0EFA338A"/>
    <w:rsid w:val="0F13144A"/>
    <w:rsid w:val="0F16162D"/>
    <w:rsid w:val="0F410270"/>
    <w:rsid w:val="0F485F5C"/>
    <w:rsid w:val="0F4A624D"/>
    <w:rsid w:val="0F4D7E44"/>
    <w:rsid w:val="0F651764"/>
    <w:rsid w:val="0F664494"/>
    <w:rsid w:val="0F66723B"/>
    <w:rsid w:val="0F6B658B"/>
    <w:rsid w:val="0F6E0D04"/>
    <w:rsid w:val="0F7111FC"/>
    <w:rsid w:val="0F776B49"/>
    <w:rsid w:val="0F7F56FC"/>
    <w:rsid w:val="0F85709B"/>
    <w:rsid w:val="0F8C5949"/>
    <w:rsid w:val="0F8D7CF3"/>
    <w:rsid w:val="0F996976"/>
    <w:rsid w:val="0F9C1D06"/>
    <w:rsid w:val="0FA373B4"/>
    <w:rsid w:val="0FA4500D"/>
    <w:rsid w:val="0FA740B3"/>
    <w:rsid w:val="0FAD5049"/>
    <w:rsid w:val="0FB0421E"/>
    <w:rsid w:val="0FB06B20"/>
    <w:rsid w:val="0FB41A40"/>
    <w:rsid w:val="0FB83DB7"/>
    <w:rsid w:val="0FCA2C51"/>
    <w:rsid w:val="0FD03469"/>
    <w:rsid w:val="0FF2311E"/>
    <w:rsid w:val="10071A9C"/>
    <w:rsid w:val="101260F5"/>
    <w:rsid w:val="101753E6"/>
    <w:rsid w:val="10175DBD"/>
    <w:rsid w:val="101E02C3"/>
    <w:rsid w:val="101E5B82"/>
    <w:rsid w:val="101F6136"/>
    <w:rsid w:val="103134A4"/>
    <w:rsid w:val="10351FB8"/>
    <w:rsid w:val="1041149F"/>
    <w:rsid w:val="10417EDB"/>
    <w:rsid w:val="1044121B"/>
    <w:rsid w:val="10467BF6"/>
    <w:rsid w:val="104C7C6A"/>
    <w:rsid w:val="105C36BA"/>
    <w:rsid w:val="106E0C3C"/>
    <w:rsid w:val="107319E4"/>
    <w:rsid w:val="10780C26"/>
    <w:rsid w:val="10787567"/>
    <w:rsid w:val="107F6046"/>
    <w:rsid w:val="108941D1"/>
    <w:rsid w:val="10952116"/>
    <w:rsid w:val="109B4F96"/>
    <w:rsid w:val="109F7E65"/>
    <w:rsid w:val="10A458E8"/>
    <w:rsid w:val="10A82929"/>
    <w:rsid w:val="10A86096"/>
    <w:rsid w:val="10BC7A71"/>
    <w:rsid w:val="10BF6B22"/>
    <w:rsid w:val="10C63286"/>
    <w:rsid w:val="10CD318F"/>
    <w:rsid w:val="10D40902"/>
    <w:rsid w:val="10D82051"/>
    <w:rsid w:val="10DA7F9A"/>
    <w:rsid w:val="10E06F9D"/>
    <w:rsid w:val="10E25499"/>
    <w:rsid w:val="10E5517D"/>
    <w:rsid w:val="10E91163"/>
    <w:rsid w:val="10F83C11"/>
    <w:rsid w:val="10FA161C"/>
    <w:rsid w:val="11026938"/>
    <w:rsid w:val="11077E0D"/>
    <w:rsid w:val="11203120"/>
    <w:rsid w:val="1129563C"/>
    <w:rsid w:val="11381045"/>
    <w:rsid w:val="113A552F"/>
    <w:rsid w:val="113D0CA3"/>
    <w:rsid w:val="11471C55"/>
    <w:rsid w:val="114B72A6"/>
    <w:rsid w:val="11580F8E"/>
    <w:rsid w:val="11622ED8"/>
    <w:rsid w:val="11635D53"/>
    <w:rsid w:val="116E6657"/>
    <w:rsid w:val="11787608"/>
    <w:rsid w:val="117B02DE"/>
    <w:rsid w:val="117C5186"/>
    <w:rsid w:val="117E6449"/>
    <w:rsid w:val="11916D34"/>
    <w:rsid w:val="119414B8"/>
    <w:rsid w:val="119D0B2F"/>
    <w:rsid w:val="11A20394"/>
    <w:rsid w:val="11A53CFF"/>
    <w:rsid w:val="11A6276E"/>
    <w:rsid w:val="11A852B0"/>
    <w:rsid w:val="11AD376C"/>
    <w:rsid w:val="11AF50D2"/>
    <w:rsid w:val="11AF626D"/>
    <w:rsid w:val="11B57274"/>
    <w:rsid w:val="11B94260"/>
    <w:rsid w:val="11BD6C52"/>
    <w:rsid w:val="11CC4A41"/>
    <w:rsid w:val="11E3075E"/>
    <w:rsid w:val="11E66A1B"/>
    <w:rsid w:val="11F20D39"/>
    <w:rsid w:val="120009D8"/>
    <w:rsid w:val="120626E6"/>
    <w:rsid w:val="120A2D41"/>
    <w:rsid w:val="120D7F10"/>
    <w:rsid w:val="12197E51"/>
    <w:rsid w:val="12272C33"/>
    <w:rsid w:val="12313BAA"/>
    <w:rsid w:val="123B3402"/>
    <w:rsid w:val="12465F22"/>
    <w:rsid w:val="12484B6F"/>
    <w:rsid w:val="124E2C04"/>
    <w:rsid w:val="12555004"/>
    <w:rsid w:val="125B061F"/>
    <w:rsid w:val="125F79ED"/>
    <w:rsid w:val="1262638E"/>
    <w:rsid w:val="12664B2B"/>
    <w:rsid w:val="1269105A"/>
    <w:rsid w:val="12854CA0"/>
    <w:rsid w:val="12883BC6"/>
    <w:rsid w:val="12887BEB"/>
    <w:rsid w:val="12953837"/>
    <w:rsid w:val="12984A75"/>
    <w:rsid w:val="12A409F4"/>
    <w:rsid w:val="12A657FD"/>
    <w:rsid w:val="12A92C1E"/>
    <w:rsid w:val="12AB0AF5"/>
    <w:rsid w:val="12AC0CB4"/>
    <w:rsid w:val="12AD5092"/>
    <w:rsid w:val="12AF6FCF"/>
    <w:rsid w:val="12B77461"/>
    <w:rsid w:val="12D60D85"/>
    <w:rsid w:val="12DB4F3C"/>
    <w:rsid w:val="12E548A3"/>
    <w:rsid w:val="12F57C6F"/>
    <w:rsid w:val="12FD16E3"/>
    <w:rsid w:val="12FD7DC5"/>
    <w:rsid w:val="13016DC3"/>
    <w:rsid w:val="13090897"/>
    <w:rsid w:val="131116A6"/>
    <w:rsid w:val="131845C5"/>
    <w:rsid w:val="13253F51"/>
    <w:rsid w:val="132574C2"/>
    <w:rsid w:val="132774C5"/>
    <w:rsid w:val="132C1B08"/>
    <w:rsid w:val="13392902"/>
    <w:rsid w:val="133A1F9C"/>
    <w:rsid w:val="133A7199"/>
    <w:rsid w:val="133B39ED"/>
    <w:rsid w:val="1340237C"/>
    <w:rsid w:val="134A6C83"/>
    <w:rsid w:val="135040CC"/>
    <w:rsid w:val="13540A2F"/>
    <w:rsid w:val="13586586"/>
    <w:rsid w:val="135876D6"/>
    <w:rsid w:val="135B6B30"/>
    <w:rsid w:val="135E7DA5"/>
    <w:rsid w:val="135F10B6"/>
    <w:rsid w:val="13643E47"/>
    <w:rsid w:val="136A3E02"/>
    <w:rsid w:val="137018BE"/>
    <w:rsid w:val="13717C56"/>
    <w:rsid w:val="13775223"/>
    <w:rsid w:val="137B3B28"/>
    <w:rsid w:val="13880FB9"/>
    <w:rsid w:val="13892BEA"/>
    <w:rsid w:val="1390572D"/>
    <w:rsid w:val="13950DD8"/>
    <w:rsid w:val="13A86E30"/>
    <w:rsid w:val="13AF4205"/>
    <w:rsid w:val="13B22104"/>
    <w:rsid w:val="13B22223"/>
    <w:rsid w:val="13BD6645"/>
    <w:rsid w:val="13BF2150"/>
    <w:rsid w:val="13C32443"/>
    <w:rsid w:val="13DD5CA3"/>
    <w:rsid w:val="13E01B11"/>
    <w:rsid w:val="13E1640A"/>
    <w:rsid w:val="13E5461E"/>
    <w:rsid w:val="13EE0268"/>
    <w:rsid w:val="13F40EF7"/>
    <w:rsid w:val="13FF3265"/>
    <w:rsid w:val="14042291"/>
    <w:rsid w:val="141359E6"/>
    <w:rsid w:val="141615DB"/>
    <w:rsid w:val="14240686"/>
    <w:rsid w:val="14285B0B"/>
    <w:rsid w:val="143606BA"/>
    <w:rsid w:val="14360C71"/>
    <w:rsid w:val="143B0754"/>
    <w:rsid w:val="144027AD"/>
    <w:rsid w:val="144B5650"/>
    <w:rsid w:val="144D57A0"/>
    <w:rsid w:val="144E154A"/>
    <w:rsid w:val="144F3DD7"/>
    <w:rsid w:val="14517C67"/>
    <w:rsid w:val="145A16D6"/>
    <w:rsid w:val="145C453B"/>
    <w:rsid w:val="14606F34"/>
    <w:rsid w:val="14637E8D"/>
    <w:rsid w:val="146A01B4"/>
    <w:rsid w:val="14717817"/>
    <w:rsid w:val="147345F5"/>
    <w:rsid w:val="147D134E"/>
    <w:rsid w:val="148017DE"/>
    <w:rsid w:val="14814864"/>
    <w:rsid w:val="14880FEE"/>
    <w:rsid w:val="148E0685"/>
    <w:rsid w:val="149703E8"/>
    <w:rsid w:val="149740D8"/>
    <w:rsid w:val="149D516B"/>
    <w:rsid w:val="14A23543"/>
    <w:rsid w:val="14A71BDD"/>
    <w:rsid w:val="14AE1D2F"/>
    <w:rsid w:val="14AF441A"/>
    <w:rsid w:val="14B35343"/>
    <w:rsid w:val="14BD7A7A"/>
    <w:rsid w:val="14BF7AE5"/>
    <w:rsid w:val="14CA7E17"/>
    <w:rsid w:val="14CE2D77"/>
    <w:rsid w:val="14D51689"/>
    <w:rsid w:val="14D651DA"/>
    <w:rsid w:val="14DD287E"/>
    <w:rsid w:val="14DD7583"/>
    <w:rsid w:val="14E77723"/>
    <w:rsid w:val="14F41EE0"/>
    <w:rsid w:val="150070F7"/>
    <w:rsid w:val="1501480A"/>
    <w:rsid w:val="15093B8C"/>
    <w:rsid w:val="150B2BFB"/>
    <w:rsid w:val="15135662"/>
    <w:rsid w:val="15166CA6"/>
    <w:rsid w:val="151F119A"/>
    <w:rsid w:val="151F1A40"/>
    <w:rsid w:val="152225FA"/>
    <w:rsid w:val="152B0480"/>
    <w:rsid w:val="153E1B0A"/>
    <w:rsid w:val="15404062"/>
    <w:rsid w:val="15441317"/>
    <w:rsid w:val="15477A26"/>
    <w:rsid w:val="15495365"/>
    <w:rsid w:val="154B161A"/>
    <w:rsid w:val="1557406D"/>
    <w:rsid w:val="155E15A0"/>
    <w:rsid w:val="15617B99"/>
    <w:rsid w:val="156C4AA0"/>
    <w:rsid w:val="156F2BC4"/>
    <w:rsid w:val="157121C6"/>
    <w:rsid w:val="157819CB"/>
    <w:rsid w:val="1578220D"/>
    <w:rsid w:val="15951202"/>
    <w:rsid w:val="15AA7DAD"/>
    <w:rsid w:val="15AF3985"/>
    <w:rsid w:val="15B333CD"/>
    <w:rsid w:val="15B413E9"/>
    <w:rsid w:val="15CE00E6"/>
    <w:rsid w:val="15DC08DE"/>
    <w:rsid w:val="15EF14DE"/>
    <w:rsid w:val="15EF2045"/>
    <w:rsid w:val="15F70B4E"/>
    <w:rsid w:val="15F83C6E"/>
    <w:rsid w:val="16023C27"/>
    <w:rsid w:val="16036F9B"/>
    <w:rsid w:val="16101C45"/>
    <w:rsid w:val="16132C86"/>
    <w:rsid w:val="16160CFB"/>
    <w:rsid w:val="161F0363"/>
    <w:rsid w:val="16250884"/>
    <w:rsid w:val="162568BB"/>
    <w:rsid w:val="162627F4"/>
    <w:rsid w:val="162C2E26"/>
    <w:rsid w:val="1644761D"/>
    <w:rsid w:val="16457B09"/>
    <w:rsid w:val="16581DD5"/>
    <w:rsid w:val="16665F44"/>
    <w:rsid w:val="16676047"/>
    <w:rsid w:val="16687CBF"/>
    <w:rsid w:val="166925DF"/>
    <w:rsid w:val="167A435D"/>
    <w:rsid w:val="167E2A1F"/>
    <w:rsid w:val="16801BE5"/>
    <w:rsid w:val="16811BCB"/>
    <w:rsid w:val="168207DE"/>
    <w:rsid w:val="1682467C"/>
    <w:rsid w:val="169F65D3"/>
    <w:rsid w:val="16AD5EF7"/>
    <w:rsid w:val="16B601ED"/>
    <w:rsid w:val="16CC2EEC"/>
    <w:rsid w:val="16D026C7"/>
    <w:rsid w:val="16D5030D"/>
    <w:rsid w:val="16D877FD"/>
    <w:rsid w:val="16DD65EF"/>
    <w:rsid w:val="16DF220D"/>
    <w:rsid w:val="16E00D8F"/>
    <w:rsid w:val="16E33624"/>
    <w:rsid w:val="16FD6AA5"/>
    <w:rsid w:val="16FE564D"/>
    <w:rsid w:val="1702128C"/>
    <w:rsid w:val="170251F4"/>
    <w:rsid w:val="170920AF"/>
    <w:rsid w:val="170C3519"/>
    <w:rsid w:val="1719766F"/>
    <w:rsid w:val="171A2651"/>
    <w:rsid w:val="17333C37"/>
    <w:rsid w:val="174006B1"/>
    <w:rsid w:val="17436633"/>
    <w:rsid w:val="17494707"/>
    <w:rsid w:val="17506BE5"/>
    <w:rsid w:val="175348AC"/>
    <w:rsid w:val="17602539"/>
    <w:rsid w:val="176271CE"/>
    <w:rsid w:val="176E1BB6"/>
    <w:rsid w:val="176E2C60"/>
    <w:rsid w:val="177312DE"/>
    <w:rsid w:val="177A379E"/>
    <w:rsid w:val="177B584D"/>
    <w:rsid w:val="17881C61"/>
    <w:rsid w:val="178F3F3F"/>
    <w:rsid w:val="17921256"/>
    <w:rsid w:val="17985D9B"/>
    <w:rsid w:val="179A2E9E"/>
    <w:rsid w:val="17A2678C"/>
    <w:rsid w:val="17B264FD"/>
    <w:rsid w:val="17BA405E"/>
    <w:rsid w:val="17C40872"/>
    <w:rsid w:val="17D13B70"/>
    <w:rsid w:val="17E05046"/>
    <w:rsid w:val="17E06D50"/>
    <w:rsid w:val="17E85DAC"/>
    <w:rsid w:val="17EB2D2D"/>
    <w:rsid w:val="17F76D3B"/>
    <w:rsid w:val="18080983"/>
    <w:rsid w:val="18133F9D"/>
    <w:rsid w:val="182159EB"/>
    <w:rsid w:val="1827066C"/>
    <w:rsid w:val="182B4BB6"/>
    <w:rsid w:val="182F03DA"/>
    <w:rsid w:val="1831357E"/>
    <w:rsid w:val="18354F69"/>
    <w:rsid w:val="183B5920"/>
    <w:rsid w:val="183C2A2C"/>
    <w:rsid w:val="184E3A3C"/>
    <w:rsid w:val="1853450D"/>
    <w:rsid w:val="18537112"/>
    <w:rsid w:val="18571809"/>
    <w:rsid w:val="185B7745"/>
    <w:rsid w:val="18627145"/>
    <w:rsid w:val="186816D4"/>
    <w:rsid w:val="18683FBF"/>
    <w:rsid w:val="186C54DA"/>
    <w:rsid w:val="187F3EDC"/>
    <w:rsid w:val="188B54FC"/>
    <w:rsid w:val="188D5607"/>
    <w:rsid w:val="189073D2"/>
    <w:rsid w:val="1892598B"/>
    <w:rsid w:val="189E335B"/>
    <w:rsid w:val="18A41AD7"/>
    <w:rsid w:val="18C01AE9"/>
    <w:rsid w:val="18C73543"/>
    <w:rsid w:val="18C85FF3"/>
    <w:rsid w:val="18C924EC"/>
    <w:rsid w:val="18CA252F"/>
    <w:rsid w:val="18D26C76"/>
    <w:rsid w:val="18D4424E"/>
    <w:rsid w:val="18DD3FAE"/>
    <w:rsid w:val="18DD636A"/>
    <w:rsid w:val="18E31D7D"/>
    <w:rsid w:val="18E41252"/>
    <w:rsid w:val="18EC6675"/>
    <w:rsid w:val="18F06BD2"/>
    <w:rsid w:val="18F35DE0"/>
    <w:rsid w:val="18FA4668"/>
    <w:rsid w:val="18FC6F3B"/>
    <w:rsid w:val="18FD43AD"/>
    <w:rsid w:val="1901502A"/>
    <w:rsid w:val="19037017"/>
    <w:rsid w:val="19072FDB"/>
    <w:rsid w:val="190F4A4B"/>
    <w:rsid w:val="19115186"/>
    <w:rsid w:val="191B1A99"/>
    <w:rsid w:val="191D5B4B"/>
    <w:rsid w:val="192528B0"/>
    <w:rsid w:val="192E443A"/>
    <w:rsid w:val="1932590D"/>
    <w:rsid w:val="193374BF"/>
    <w:rsid w:val="19386977"/>
    <w:rsid w:val="19475C0A"/>
    <w:rsid w:val="194D2D34"/>
    <w:rsid w:val="195350EB"/>
    <w:rsid w:val="196B12F4"/>
    <w:rsid w:val="196D53B9"/>
    <w:rsid w:val="196E6723"/>
    <w:rsid w:val="19721D4C"/>
    <w:rsid w:val="1974107A"/>
    <w:rsid w:val="19825539"/>
    <w:rsid w:val="19887A98"/>
    <w:rsid w:val="199D2B4A"/>
    <w:rsid w:val="199E10E5"/>
    <w:rsid w:val="19A834F3"/>
    <w:rsid w:val="19D32538"/>
    <w:rsid w:val="19D90CDF"/>
    <w:rsid w:val="19DF2529"/>
    <w:rsid w:val="19E87018"/>
    <w:rsid w:val="19F22C47"/>
    <w:rsid w:val="19F42B9C"/>
    <w:rsid w:val="19FB5E8F"/>
    <w:rsid w:val="1A032ABD"/>
    <w:rsid w:val="1A056787"/>
    <w:rsid w:val="1A332499"/>
    <w:rsid w:val="1A392A0D"/>
    <w:rsid w:val="1A3B67CE"/>
    <w:rsid w:val="1A3D4FA9"/>
    <w:rsid w:val="1A3D6924"/>
    <w:rsid w:val="1A4922E7"/>
    <w:rsid w:val="1A493949"/>
    <w:rsid w:val="1A4B4A74"/>
    <w:rsid w:val="1A4D7898"/>
    <w:rsid w:val="1A5042C5"/>
    <w:rsid w:val="1A513D17"/>
    <w:rsid w:val="1A6B72A8"/>
    <w:rsid w:val="1A70295F"/>
    <w:rsid w:val="1A733053"/>
    <w:rsid w:val="1A743ABB"/>
    <w:rsid w:val="1A8D74AD"/>
    <w:rsid w:val="1A986558"/>
    <w:rsid w:val="1A9875FF"/>
    <w:rsid w:val="1A9B5C08"/>
    <w:rsid w:val="1A9D20A9"/>
    <w:rsid w:val="1AA22409"/>
    <w:rsid w:val="1AA31536"/>
    <w:rsid w:val="1AA81BC3"/>
    <w:rsid w:val="1AAF72A6"/>
    <w:rsid w:val="1ABC357C"/>
    <w:rsid w:val="1ABE738D"/>
    <w:rsid w:val="1AC21881"/>
    <w:rsid w:val="1AD342C8"/>
    <w:rsid w:val="1AE030BE"/>
    <w:rsid w:val="1AE71E04"/>
    <w:rsid w:val="1AEC5331"/>
    <w:rsid w:val="1B032D39"/>
    <w:rsid w:val="1B0B72F3"/>
    <w:rsid w:val="1B1067F1"/>
    <w:rsid w:val="1B1109BA"/>
    <w:rsid w:val="1B17257A"/>
    <w:rsid w:val="1B1A2882"/>
    <w:rsid w:val="1B24147E"/>
    <w:rsid w:val="1B245465"/>
    <w:rsid w:val="1B2D0964"/>
    <w:rsid w:val="1B2D1C9D"/>
    <w:rsid w:val="1B2D4CEC"/>
    <w:rsid w:val="1B385043"/>
    <w:rsid w:val="1B4B339E"/>
    <w:rsid w:val="1B5211BB"/>
    <w:rsid w:val="1B540200"/>
    <w:rsid w:val="1B540256"/>
    <w:rsid w:val="1B574B7A"/>
    <w:rsid w:val="1B735722"/>
    <w:rsid w:val="1B7B7983"/>
    <w:rsid w:val="1B837FDF"/>
    <w:rsid w:val="1B8B5309"/>
    <w:rsid w:val="1B94625D"/>
    <w:rsid w:val="1B9B3A64"/>
    <w:rsid w:val="1B9E1568"/>
    <w:rsid w:val="1BA86A4A"/>
    <w:rsid w:val="1BAA1089"/>
    <w:rsid w:val="1BB10A92"/>
    <w:rsid w:val="1BB22B8F"/>
    <w:rsid w:val="1BC95B46"/>
    <w:rsid w:val="1BD07331"/>
    <w:rsid w:val="1BD36BA8"/>
    <w:rsid w:val="1BD97DAE"/>
    <w:rsid w:val="1BE32F61"/>
    <w:rsid w:val="1BE74695"/>
    <w:rsid w:val="1BEB68B9"/>
    <w:rsid w:val="1BEE48FC"/>
    <w:rsid w:val="1BF65A02"/>
    <w:rsid w:val="1C053324"/>
    <w:rsid w:val="1C0538CC"/>
    <w:rsid w:val="1C070F55"/>
    <w:rsid w:val="1C0D3071"/>
    <w:rsid w:val="1C1018E7"/>
    <w:rsid w:val="1C215C75"/>
    <w:rsid w:val="1C251352"/>
    <w:rsid w:val="1C2E050B"/>
    <w:rsid w:val="1C444BE6"/>
    <w:rsid w:val="1C5273BF"/>
    <w:rsid w:val="1C6349C8"/>
    <w:rsid w:val="1C6B022D"/>
    <w:rsid w:val="1C6E3437"/>
    <w:rsid w:val="1C7563D9"/>
    <w:rsid w:val="1C8D2B95"/>
    <w:rsid w:val="1C984EF7"/>
    <w:rsid w:val="1CA94075"/>
    <w:rsid w:val="1CAA7587"/>
    <w:rsid w:val="1CAB1476"/>
    <w:rsid w:val="1CB217F6"/>
    <w:rsid w:val="1CB7712C"/>
    <w:rsid w:val="1CD71778"/>
    <w:rsid w:val="1CE70B82"/>
    <w:rsid w:val="1CE75965"/>
    <w:rsid w:val="1CF35210"/>
    <w:rsid w:val="1CF95FCD"/>
    <w:rsid w:val="1CFD2D38"/>
    <w:rsid w:val="1CFF35FF"/>
    <w:rsid w:val="1D06695F"/>
    <w:rsid w:val="1D085ACF"/>
    <w:rsid w:val="1D0F2082"/>
    <w:rsid w:val="1D123811"/>
    <w:rsid w:val="1D1442E2"/>
    <w:rsid w:val="1D1D7DAE"/>
    <w:rsid w:val="1D390F01"/>
    <w:rsid w:val="1D3C702F"/>
    <w:rsid w:val="1D405115"/>
    <w:rsid w:val="1D4D7590"/>
    <w:rsid w:val="1D516B6A"/>
    <w:rsid w:val="1D517418"/>
    <w:rsid w:val="1D517885"/>
    <w:rsid w:val="1D561E8E"/>
    <w:rsid w:val="1D567E90"/>
    <w:rsid w:val="1D5E66F9"/>
    <w:rsid w:val="1D5F529B"/>
    <w:rsid w:val="1D617172"/>
    <w:rsid w:val="1D65400D"/>
    <w:rsid w:val="1D7A3AB3"/>
    <w:rsid w:val="1D897467"/>
    <w:rsid w:val="1D8B5ADA"/>
    <w:rsid w:val="1D8F0117"/>
    <w:rsid w:val="1D8F03C1"/>
    <w:rsid w:val="1DA03C06"/>
    <w:rsid w:val="1DA11BEF"/>
    <w:rsid w:val="1DA423A6"/>
    <w:rsid w:val="1DA872AD"/>
    <w:rsid w:val="1DAA6060"/>
    <w:rsid w:val="1DB60A7D"/>
    <w:rsid w:val="1DB77DCD"/>
    <w:rsid w:val="1DC427B9"/>
    <w:rsid w:val="1DCE6F7C"/>
    <w:rsid w:val="1DD14B44"/>
    <w:rsid w:val="1DD37676"/>
    <w:rsid w:val="1DDD3DB7"/>
    <w:rsid w:val="1DE10290"/>
    <w:rsid w:val="1DEF3711"/>
    <w:rsid w:val="1DF3036F"/>
    <w:rsid w:val="1DF336B6"/>
    <w:rsid w:val="1DF47F1D"/>
    <w:rsid w:val="1DFE7506"/>
    <w:rsid w:val="1DFF4508"/>
    <w:rsid w:val="1E0C6133"/>
    <w:rsid w:val="1E121384"/>
    <w:rsid w:val="1E14273D"/>
    <w:rsid w:val="1E151DA5"/>
    <w:rsid w:val="1E2153EB"/>
    <w:rsid w:val="1E2C06F8"/>
    <w:rsid w:val="1E310E0E"/>
    <w:rsid w:val="1E3B4AE1"/>
    <w:rsid w:val="1E4065FB"/>
    <w:rsid w:val="1E4308E5"/>
    <w:rsid w:val="1E4401B6"/>
    <w:rsid w:val="1E4401D9"/>
    <w:rsid w:val="1E4675A0"/>
    <w:rsid w:val="1E47263C"/>
    <w:rsid w:val="1E490DC5"/>
    <w:rsid w:val="1E492E0B"/>
    <w:rsid w:val="1E4A4717"/>
    <w:rsid w:val="1E4E171E"/>
    <w:rsid w:val="1E507151"/>
    <w:rsid w:val="1E55316D"/>
    <w:rsid w:val="1E557FCE"/>
    <w:rsid w:val="1E60798D"/>
    <w:rsid w:val="1E67416D"/>
    <w:rsid w:val="1E701DCA"/>
    <w:rsid w:val="1E706BB8"/>
    <w:rsid w:val="1E777D6D"/>
    <w:rsid w:val="1E7C359C"/>
    <w:rsid w:val="1E956B67"/>
    <w:rsid w:val="1E993AE7"/>
    <w:rsid w:val="1E9B5602"/>
    <w:rsid w:val="1EA00FCE"/>
    <w:rsid w:val="1EA402C3"/>
    <w:rsid w:val="1EA57221"/>
    <w:rsid w:val="1EA70DB1"/>
    <w:rsid w:val="1EB14A23"/>
    <w:rsid w:val="1EB94FA4"/>
    <w:rsid w:val="1EC50E7B"/>
    <w:rsid w:val="1EC80DEC"/>
    <w:rsid w:val="1EC83BE6"/>
    <w:rsid w:val="1ED4006F"/>
    <w:rsid w:val="1ED510D4"/>
    <w:rsid w:val="1EDA48DE"/>
    <w:rsid w:val="1EE40404"/>
    <w:rsid w:val="1EE731BC"/>
    <w:rsid w:val="1EEF6D28"/>
    <w:rsid w:val="1EF30FCB"/>
    <w:rsid w:val="1EF76245"/>
    <w:rsid w:val="1EFA2EFE"/>
    <w:rsid w:val="1EFC79F2"/>
    <w:rsid w:val="1F0D50D3"/>
    <w:rsid w:val="1F0E3DF4"/>
    <w:rsid w:val="1F1A39F1"/>
    <w:rsid w:val="1F1D7FAA"/>
    <w:rsid w:val="1F1F1E55"/>
    <w:rsid w:val="1F252B9F"/>
    <w:rsid w:val="1F2606D2"/>
    <w:rsid w:val="1F287944"/>
    <w:rsid w:val="1F5A2D66"/>
    <w:rsid w:val="1F5C03DD"/>
    <w:rsid w:val="1F604F4D"/>
    <w:rsid w:val="1F62729C"/>
    <w:rsid w:val="1F655540"/>
    <w:rsid w:val="1F6D1F27"/>
    <w:rsid w:val="1F7750BF"/>
    <w:rsid w:val="1F826DDC"/>
    <w:rsid w:val="1F8565F7"/>
    <w:rsid w:val="1F8D79F7"/>
    <w:rsid w:val="1F9D2084"/>
    <w:rsid w:val="1FA7655D"/>
    <w:rsid w:val="1FB143F6"/>
    <w:rsid w:val="1FBA247D"/>
    <w:rsid w:val="1FBC6AF4"/>
    <w:rsid w:val="1FBD452A"/>
    <w:rsid w:val="1FBE60BE"/>
    <w:rsid w:val="1FC66968"/>
    <w:rsid w:val="1FCA1AD0"/>
    <w:rsid w:val="1FCB7F4C"/>
    <w:rsid w:val="1FD102E5"/>
    <w:rsid w:val="1FD22E7C"/>
    <w:rsid w:val="1FD32765"/>
    <w:rsid w:val="1FE753FB"/>
    <w:rsid w:val="1FEA1D14"/>
    <w:rsid w:val="1FF146A6"/>
    <w:rsid w:val="20017A57"/>
    <w:rsid w:val="200836C6"/>
    <w:rsid w:val="20087535"/>
    <w:rsid w:val="201C3FC2"/>
    <w:rsid w:val="20274344"/>
    <w:rsid w:val="202A30CB"/>
    <w:rsid w:val="205022D1"/>
    <w:rsid w:val="206D06D1"/>
    <w:rsid w:val="207133F7"/>
    <w:rsid w:val="207F13E1"/>
    <w:rsid w:val="20854464"/>
    <w:rsid w:val="20864EBD"/>
    <w:rsid w:val="20904A18"/>
    <w:rsid w:val="209F5F36"/>
    <w:rsid w:val="20A8105B"/>
    <w:rsid w:val="20B26A23"/>
    <w:rsid w:val="20BC5D48"/>
    <w:rsid w:val="20BE2717"/>
    <w:rsid w:val="20D138AD"/>
    <w:rsid w:val="20D21C15"/>
    <w:rsid w:val="20D509FB"/>
    <w:rsid w:val="20D710AB"/>
    <w:rsid w:val="20DC29F9"/>
    <w:rsid w:val="20E34909"/>
    <w:rsid w:val="20EE3148"/>
    <w:rsid w:val="20F55D1B"/>
    <w:rsid w:val="20F76446"/>
    <w:rsid w:val="21052A6E"/>
    <w:rsid w:val="211C56F5"/>
    <w:rsid w:val="21314B8F"/>
    <w:rsid w:val="213858FE"/>
    <w:rsid w:val="214903AE"/>
    <w:rsid w:val="2152386F"/>
    <w:rsid w:val="21672847"/>
    <w:rsid w:val="216B15B3"/>
    <w:rsid w:val="216E56C4"/>
    <w:rsid w:val="217768D6"/>
    <w:rsid w:val="217C7A90"/>
    <w:rsid w:val="218907D8"/>
    <w:rsid w:val="21982E22"/>
    <w:rsid w:val="21A93F11"/>
    <w:rsid w:val="21AB49EA"/>
    <w:rsid w:val="21AC5000"/>
    <w:rsid w:val="21B50C7B"/>
    <w:rsid w:val="21B77E80"/>
    <w:rsid w:val="21BD5C89"/>
    <w:rsid w:val="21C20C9B"/>
    <w:rsid w:val="21C26BE6"/>
    <w:rsid w:val="21C97DB0"/>
    <w:rsid w:val="21D3731F"/>
    <w:rsid w:val="21D47413"/>
    <w:rsid w:val="21D8579E"/>
    <w:rsid w:val="21EF46BC"/>
    <w:rsid w:val="21FD6ECF"/>
    <w:rsid w:val="21FF3AD1"/>
    <w:rsid w:val="22104394"/>
    <w:rsid w:val="221073AC"/>
    <w:rsid w:val="22232E6B"/>
    <w:rsid w:val="222E741A"/>
    <w:rsid w:val="22367D32"/>
    <w:rsid w:val="223A5AAF"/>
    <w:rsid w:val="223D092C"/>
    <w:rsid w:val="22531DC9"/>
    <w:rsid w:val="225920E6"/>
    <w:rsid w:val="225F0E38"/>
    <w:rsid w:val="22775D07"/>
    <w:rsid w:val="22795A1D"/>
    <w:rsid w:val="227F5720"/>
    <w:rsid w:val="2285366D"/>
    <w:rsid w:val="2292379C"/>
    <w:rsid w:val="229730B0"/>
    <w:rsid w:val="229831F9"/>
    <w:rsid w:val="229A4D94"/>
    <w:rsid w:val="229F0C88"/>
    <w:rsid w:val="22A159F0"/>
    <w:rsid w:val="22BA7F7B"/>
    <w:rsid w:val="22C053C3"/>
    <w:rsid w:val="22C33881"/>
    <w:rsid w:val="22E670E8"/>
    <w:rsid w:val="22E932AA"/>
    <w:rsid w:val="22F332C2"/>
    <w:rsid w:val="22F86FF5"/>
    <w:rsid w:val="22FA533D"/>
    <w:rsid w:val="22FE5382"/>
    <w:rsid w:val="23034110"/>
    <w:rsid w:val="23084549"/>
    <w:rsid w:val="230D4AAD"/>
    <w:rsid w:val="23107D6B"/>
    <w:rsid w:val="2316311C"/>
    <w:rsid w:val="231D1F41"/>
    <w:rsid w:val="23297438"/>
    <w:rsid w:val="23420E14"/>
    <w:rsid w:val="23424B9D"/>
    <w:rsid w:val="2362081B"/>
    <w:rsid w:val="236C5F5B"/>
    <w:rsid w:val="236D2A1A"/>
    <w:rsid w:val="237F42C0"/>
    <w:rsid w:val="2383325B"/>
    <w:rsid w:val="238759CA"/>
    <w:rsid w:val="238C48F7"/>
    <w:rsid w:val="23954473"/>
    <w:rsid w:val="23A33C4E"/>
    <w:rsid w:val="23A804AF"/>
    <w:rsid w:val="23AD24C3"/>
    <w:rsid w:val="23AD4B9A"/>
    <w:rsid w:val="23C24EBF"/>
    <w:rsid w:val="23D84D33"/>
    <w:rsid w:val="23D97986"/>
    <w:rsid w:val="23DF4DDA"/>
    <w:rsid w:val="23E5248B"/>
    <w:rsid w:val="23E616A2"/>
    <w:rsid w:val="23E72641"/>
    <w:rsid w:val="23E94356"/>
    <w:rsid w:val="23F055A7"/>
    <w:rsid w:val="23F0727A"/>
    <w:rsid w:val="23F174F3"/>
    <w:rsid w:val="23FA5C02"/>
    <w:rsid w:val="240918E2"/>
    <w:rsid w:val="240B3494"/>
    <w:rsid w:val="240D2A5D"/>
    <w:rsid w:val="241516FD"/>
    <w:rsid w:val="24162057"/>
    <w:rsid w:val="241B26ED"/>
    <w:rsid w:val="241E4AC8"/>
    <w:rsid w:val="241F0366"/>
    <w:rsid w:val="24227E1B"/>
    <w:rsid w:val="242456C6"/>
    <w:rsid w:val="243856BA"/>
    <w:rsid w:val="243B5F6B"/>
    <w:rsid w:val="243E43F6"/>
    <w:rsid w:val="244A08C6"/>
    <w:rsid w:val="244A30BC"/>
    <w:rsid w:val="244C4D70"/>
    <w:rsid w:val="245028D0"/>
    <w:rsid w:val="24547F38"/>
    <w:rsid w:val="245B2425"/>
    <w:rsid w:val="2462444F"/>
    <w:rsid w:val="246A0C72"/>
    <w:rsid w:val="246B328D"/>
    <w:rsid w:val="24754CF6"/>
    <w:rsid w:val="247A3E8F"/>
    <w:rsid w:val="247D73A9"/>
    <w:rsid w:val="24810C20"/>
    <w:rsid w:val="248968CE"/>
    <w:rsid w:val="248D0535"/>
    <w:rsid w:val="24936F03"/>
    <w:rsid w:val="24965D54"/>
    <w:rsid w:val="249807E9"/>
    <w:rsid w:val="24AD5D74"/>
    <w:rsid w:val="24AF5C4D"/>
    <w:rsid w:val="24B51C08"/>
    <w:rsid w:val="24B61BA0"/>
    <w:rsid w:val="24BE7499"/>
    <w:rsid w:val="24C63FA4"/>
    <w:rsid w:val="24D66FA8"/>
    <w:rsid w:val="24D90FAC"/>
    <w:rsid w:val="24DA6DA4"/>
    <w:rsid w:val="24DC1698"/>
    <w:rsid w:val="24E557FB"/>
    <w:rsid w:val="24E60740"/>
    <w:rsid w:val="24E62354"/>
    <w:rsid w:val="24F024ED"/>
    <w:rsid w:val="24F37C05"/>
    <w:rsid w:val="24FB581B"/>
    <w:rsid w:val="24FC477F"/>
    <w:rsid w:val="251379C8"/>
    <w:rsid w:val="25154771"/>
    <w:rsid w:val="25173BE8"/>
    <w:rsid w:val="25264362"/>
    <w:rsid w:val="25314653"/>
    <w:rsid w:val="253A0461"/>
    <w:rsid w:val="253A2909"/>
    <w:rsid w:val="253F7A2E"/>
    <w:rsid w:val="25420049"/>
    <w:rsid w:val="25431CBD"/>
    <w:rsid w:val="25453470"/>
    <w:rsid w:val="25476EA5"/>
    <w:rsid w:val="25495B22"/>
    <w:rsid w:val="25496106"/>
    <w:rsid w:val="255A33B1"/>
    <w:rsid w:val="25690006"/>
    <w:rsid w:val="25705C67"/>
    <w:rsid w:val="25751205"/>
    <w:rsid w:val="2577179D"/>
    <w:rsid w:val="257F1832"/>
    <w:rsid w:val="2581324F"/>
    <w:rsid w:val="25880690"/>
    <w:rsid w:val="2593217D"/>
    <w:rsid w:val="25943299"/>
    <w:rsid w:val="25AB0062"/>
    <w:rsid w:val="25AD2087"/>
    <w:rsid w:val="25B01669"/>
    <w:rsid w:val="25C511B8"/>
    <w:rsid w:val="25C67CCD"/>
    <w:rsid w:val="25DC47A1"/>
    <w:rsid w:val="25DE0D42"/>
    <w:rsid w:val="25DE6C8A"/>
    <w:rsid w:val="25E201A6"/>
    <w:rsid w:val="25F502F7"/>
    <w:rsid w:val="25FD61AE"/>
    <w:rsid w:val="25FD68EE"/>
    <w:rsid w:val="260041C8"/>
    <w:rsid w:val="26075578"/>
    <w:rsid w:val="260B0844"/>
    <w:rsid w:val="261160FA"/>
    <w:rsid w:val="26156110"/>
    <w:rsid w:val="26352F07"/>
    <w:rsid w:val="26355BB0"/>
    <w:rsid w:val="265576AF"/>
    <w:rsid w:val="26597902"/>
    <w:rsid w:val="26645179"/>
    <w:rsid w:val="26670C5E"/>
    <w:rsid w:val="26687CF0"/>
    <w:rsid w:val="266A36B0"/>
    <w:rsid w:val="267451DD"/>
    <w:rsid w:val="26805993"/>
    <w:rsid w:val="26855195"/>
    <w:rsid w:val="26905899"/>
    <w:rsid w:val="269F0053"/>
    <w:rsid w:val="26A07149"/>
    <w:rsid w:val="26A679B6"/>
    <w:rsid w:val="26A713AA"/>
    <w:rsid w:val="26B92E52"/>
    <w:rsid w:val="26C112CB"/>
    <w:rsid w:val="26CB7D66"/>
    <w:rsid w:val="26D039CD"/>
    <w:rsid w:val="26D707B7"/>
    <w:rsid w:val="26E53909"/>
    <w:rsid w:val="26EC4146"/>
    <w:rsid w:val="26F34372"/>
    <w:rsid w:val="2705192D"/>
    <w:rsid w:val="27072CFE"/>
    <w:rsid w:val="27074F4B"/>
    <w:rsid w:val="270A5AD7"/>
    <w:rsid w:val="271248C5"/>
    <w:rsid w:val="271A5FC2"/>
    <w:rsid w:val="271B34E9"/>
    <w:rsid w:val="27207EF1"/>
    <w:rsid w:val="272313C9"/>
    <w:rsid w:val="272670C5"/>
    <w:rsid w:val="2728474F"/>
    <w:rsid w:val="27296663"/>
    <w:rsid w:val="273D609C"/>
    <w:rsid w:val="27491C14"/>
    <w:rsid w:val="275244CE"/>
    <w:rsid w:val="275F5214"/>
    <w:rsid w:val="27637FE2"/>
    <w:rsid w:val="276A3C6C"/>
    <w:rsid w:val="276D7844"/>
    <w:rsid w:val="2775182E"/>
    <w:rsid w:val="2777525B"/>
    <w:rsid w:val="27846B73"/>
    <w:rsid w:val="278858B0"/>
    <w:rsid w:val="278F7161"/>
    <w:rsid w:val="27920F02"/>
    <w:rsid w:val="27A120BE"/>
    <w:rsid w:val="27A241A7"/>
    <w:rsid w:val="27AA5D25"/>
    <w:rsid w:val="27BF2B9C"/>
    <w:rsid w:val="27C76642"/>
    <w:rsid w:val="27CC14F7"/>
    <w:rsid w:val="27E53CEE"/>
    <w:rsid w:val="27F42EED"/>
    <w:rsid w:val="27F5249E"/>
    <w:rsid w:val="27F6406E"/>
    <w:rsid w:val="27FA3C84"/>
    <w:rsid w:val="27FE3A71"/>
    <w:rsid w:val="28007F75"/>
    <w:rsid w:val="28031415"/>
    <w:rsid w:val="281E5C4C"/>
    <w:rsid w:val="282B62E8"/>
    <w:rsid w:val="282E0FC0"/>
    <w:rsid w:val="282E66AA"/>
    <w:rsid w:val="28313DBE"/>
    <w:rsid w:val="2837094D"/>
    <w:rsid w:val="28413A21"/>
    <w:rsid w:val="28460C08"/>
    <w:rsid w:val="28473480"/>
    <w:rsid w:val="284806F4"/>
    <w:rsid w:val="284964C3"/>
    <w:rsid w:val="284A380D"/>
    <w:rsid w:val="284E0B4C"/>
    <w:rsid w:val="28541E37"/>
    <w:rsid w:val="28551971"/>
    <w:rsid w:val="28565872"/>
    <w:rsid w:val="28691F26"/>
    <w:rsid w:val="287B1B23"/>
    <w:rsid w:val="287F1CEF"/>
    <w:rsid w:val="28847A3F"/>
    <w:rsid w:val="288C7208"/>
    <w:rsid w:val="289333FF"/>
    <w:rsid w:val="28965658"/>
    <w:rsid w:val="289A198B"/>
    <w:rsid w:val="28A61325"/>
    <w:rsid w:val="28AE31A8"/>
    <w:rsid w:val="28C0195A"/>
    <w:rsid w:val="28C17739"/>
    <w:rsid w:val="28C72D76"/>
    <w:rsid w:val="28DD7BEF"/>
    <w:rsid w:val="28E107C5"/>
    <w:rsid w:val="28EA05D6"/>
    <w:rsid w:val="28EE76C1"/>
    <w:rsid w:val="28F12158"/>
    <w:rsid w:val="28F22118"/>
    <w:rsid w:val="28FD7643"/>
    <w:rsid w:val="2916404F"/>
    <w:rsid w:val="291857A5"/>
    <w:rsid w:val="29191296"/>
    <w:rsid w:val="291A0310"/>
    <w:rsid w:val="291B1E01"/>
    <w:rsid w:val="29225A93"/>
    <w:rsid w:val="292D44E3"/>
    <w:rsid w:val="29413BD2"/>
    <w:rsid w:val="29471FBA"/>
    <w:rsid w:val="294769A3"/>
    <w:rsid w:val="2949799B"/>
    <w:rsid w:val="294B404E"/>
    <w:rsid w:val="294D39DE"/>
    <w:rsid w:val="294F7CD3"/>
    <w:rsid w:val="2951133C"/>
    <w:rsid w:val="295A4599"/>
    <w:rsid w:val="296F0FB4"/>
    <w:rsid w:val="297E4ED3"/>
    <w:rsid w:val="298E39D9"/>
    <w:rsid w:val="299F6E1A"/>
    <w:rsid w:val="29A24926"/>
    <w:rsid w:val="29A7108C"/>
    <w:rsid w:val="29BD2B48"/>
    <w:rsid w:val="29C53D6B"/>
    <w:rsid w:val="29C76E17"/>
    <w:rsid w:val="29D4267F"/>
    <w:rsid w:val="29DD5019"/>
    <w:rsid w:val="29E17581"/>
    <w:rsid w:val="29EA6628"/>
    <w:rsid w:val="29EB683F"/>
    <w:rsid w:val="29F25C4D"/>
    <w:rsid w:val="29F4089F"/>
    <w:rsid w:val="29F6608D"/>
    <w:rsid w:val="2A0E3D62"/>
    <w:rsid w:val="2A1600CC"/>
    <w:rsid w:val="2A2435D5"/>
    <w:rsid w:val="2A284D43"/>
    <w:rsid w:val="2A2B2B09"/>
    <w:rsid w:val="2A356F86"/>
    <w:rsid w:val="2A3D4206"/>
    <w:rsid w:val="2A3E4CCA"/>
    <w:rsid w:val="2A440E57"/>
    <w:rsid w:val="2A4777AE"/>
    <w:rsid w:val="2A4E6577"/>
    <w:rsid w:val="2A532955"/>
    <w:rsid w:val="2A534BA8"/>
    <w:rsid w:val="2A5779B8"/>
    <w:rsid w:val="2A600653"/>
    <w:rsid w:val="2A615016"/>
    <w:rsid w:val="2A693ADB"/>
    <w:rsid w:val="2A75054C"/>
    <w:rsid w:val="2A7D1EE9"/>
    <w:rsid w:val="2A8573E7"/>
    <w:rsid w:val="2A874414"/>
    <w:rsid w:val="2A8E4585"/>
    <w:rsid w:val="2A9673AF"/>
    <w:rsid w:val="2A983B90"/>
    <w:rsid w:val="2A9F4642"/>
    <w:rsid w:val="2AA46109"/>
    <w:rsid w:val="2AA51AD1"/>
    <w:rsid w:val="2AB55D0A"/>
    <w:rsid w:val="2AB573F1"/>
    <w:rsid w:val="2AB876CE"/>
    <w:rsid w:val="2ABA70AB"/>
    <w:rsid w:val="2AC25216"/>
    <w:rsid w:val="2AC52B66"/>
    <w:rsid w:val="2AEA72D0"/>
    <w:rsid w:val="2AEF11D9"/>
    <w:rsid w:val="2B030457"/>
    <w:rsid w:val="2B070957"/>
    <w:rsid w:val="2B0C5D03"/>
    <w:rsid w:val="2B194615"/>
    <w:rsid w:val="2B264C1C"/>
    <w:rsid w:val="2B271654"/>
    <w:rsid w:val="2B2F64DC"/>
    <w:rsid w:val="2B3D5A6E"/>
    <w:rsid w:val="2B5214C8"/>
    <w:rsid w:val="2B5626B8"/>
    <w:rsid w:val="2B586319"/>
    <w:rsid w:val="2B5B263E"/>
    <w:rsid w:val="2B5B3239"/>
    <w:rsid w:val="2B5D3E7E"/>
    <w:rsid w:val="2B6A1F25"/>
    <w:rsid w:val="2B6B63D4"/>
    <w:rsid w:val="2B94773E"/>
    <w:rsid w:val="2B9D390B"/>
    <w:rsid w:val="2B9D56D5"/>
    <w:rsid w:val="2BA254DE"/>
    <w:rsid w:val="2BA435BF"/>
    <w:rsid w:val="2BA6200A"/>
    <w:rsid w:val="2BA75A73"/>
    <w:rsid w:val="2BA9461C"/>
    <w:rsid w:val="2BAC4D37"/>
    <w:rsid w:val="2BB0455F"/>
    <w:rsid w:val="2BB20D00"/>
    <w:rsid w:val="2BC160E4"/>
    <w:rsid w:val="2BC50253"/>
    <w:rsid w:val="2BCA3B46"/>
    <w:rsid w:val="2BCA53E2"/>
    <w:rsid w:val="2BD1097D"/>
    <w:rsid w:val="2BD36928"/>
    <w:rsid w:val="2BD67FA7"/>
    <w:rsid w:val="2BE02C93"/>
    <w:rsid w:val="2BF153CD"/>
    <w:rsid w:val="2BF20BBD"/>
    <w:rsid w:val="2BF21183"/>
    <w:rsid w:val="2BF32CF7"/>
    <w:rsid w:val="2BF62416"/>
    <w:rsid w:val="2BF71E7E"/>
    <w:rsid w:val="2BF8087D"/>
    <w:rsid w:val="2BFB0E0D"/>
    <w:rsid w:val="2BFB2067"/>
    <w:rsid w:val="2BFE146F"/>
    <w:rsid w:val="2C040A98"/>
    <w:rsid w:val="2C105675"/>
    <w:rsid w:val="2C134F2D"/>
    <w:rsid w:val="2C1415C2"/>
    <w:rsid w:val="2C17554F"/>
    <w:rsid w:val="2C1C0108"/>
    <w:rsid w:val="2C222E52"/>
    <w:rsid w:val="2C237631"/>
    <w:rsid w:val="2C2C04CF"/>
    <w:rsid w:val="2C32332A"/>
    <w:rsid w:val="2C336646"/>
    <w:rsid w:val="2C3A3178"/>
    <w:rsid w:val="2C467357"/>
    <w:rsid w:val="2C5A0FEE"/>
    <w:rsid w:val="2C630807"/>
    <w:rsid w:val="2C645274"/>
    <w:rsid w:val="2C6541AB"/>
    <w:rsid w:val="2C6D07EF"/>
    <w:rsid w:val="2C6D49EA"/>
    <w:rsid w:val="2C6D5AB2"/>
    <w:rsid w:val="2C915BDB"/>
    <w:rsid w:val="2C9B2497"/>
    <w:rsid w:val="2CB2626C"/>
    <w:rsid w:val="2CB52E03"/>
    <w:rsid w:val="2CBF317A"/>
    <w:rsid w:val="2CD25693"/>
    <w:rsid w:val="2CD97CB5"/>
    <w:rsid w:val="2CDF4F7F"/>
    <w:rsid w:val="2CE040FB"/>
    <w:rsid w:val="2CE151A6"/>
    <w:rsid w:val="2CE551EF"/>
    <w:rsid w:val="2CEA30D0"/>
    <w:rsid w:val="2CEF4337"/>
    <w:rsid w:val="2CEF4C1F"/>
    <w:rsid w:val="2CFF67A7"/>
    <w:rsid w:val="2D0B3966"/>
    <w:rsid w:val="2D150C82"/>
    <w:rsid w:val="2D1B4116"/>
    <w:rsid w:val="2D1F79A1"/>
    <w:rsid w:val="2D245A85"/>
    <w:rsid w:val="2D260763"/>
    <w:rsid w:val="2D321B0C"/>
    <w:rsid w:val="2D3B7A24"/>
    <w:rsid w:val="2D3F6623"/>
    <w:rsid w:val="2D447E1E"/>
    <w:rsid w:val="2D46005E"/>
    <w:rsid w:val="2D5101C4"/>
    <w:rsid w:val="2D5F52EE"/>
    <w:rsid w:val="2D5F63F0"/>
    <w:rsid w:val="2D6555F9"/>
    <w:rsid w:val="2D743803"/>
    <w:rsid w:val="2D756C26"/>
    <w:rsid w:val="2D76268D"/>
    <w:rsid w:val="2D7A3084"/>
    <w:rsid w:val="2D8075B4"/>
    <w:rsid w:val="2D8F15E5"/>
    <w:rsid w:val="2DA100BC"/>
    <w:rsid w:val="2DAA3289"/>
    <w:rsid w:val="2DC23406"/>
    <w:rsid w:val="2DCE7AB7"/>
    <w:rsid w:val="2DD87C99"/>
    <w:rsid w:val="2DDC6424"/>
    <w:rsid w:val="2DE83AF0"/>
    <w:rsid w:val="2DED2E8A"/>
    <w:rsid w:val="2E067810"/>
    <w:rsid w:val="2E070833"/>
    <w:rsid w:val="2E10249B"/>
    <w:rsid w:val="2E1D7BA8"/>
    <w:rsid w:val="2E21097B"/>
    <w:rsid w:val="2E2A6D63"/>
    <w:rsid w:val="2E3607F5"/>
    <w:rsid w:val="2E3C4E54"/>
    <w:rsid w:val="2E4005D7"/>
    <w:rsid w:val="2E45275F"/>
    <w:rsid w:val="2E510369"/>
    <w:rsid w:val="2E570A33"/>
    <w:rsid w:val="2E5B4244"/>
    <w:rsid w:val="2E5F2DC0"/>
    <w:rsid w:val="2E5F3D6C"/>
    <w:rsid w:val="2E612077"/>
    <w:rsid w:val="2E64462E"/>
    <w:rsid w:val="2E6F49FD"/>
    <w:rsid w:val="2E8C1859"/>
    <w:rsid w:val="2E932006"/>
    <w:rsid w:val="2E9B73EF"/>
    <w:rsid w:val="2EA11549"/>
    <w:rsid w:val="2EA149C4"/>
    <w:rsid w:val="2EA76095"/>
    <w:rsid w:val="2EB2610E"/>
    <w:rsid w:val="2EBB55B9"/>
    <w:rsid w:val="2EC42047"/>
    <w:rsid w:val="2EC50D12"/>
    <w:rsid w:val="2EC66A83"/>
    <w:rsid w:val="2EC91E51"/>
    <w:rsid w:val="2EC92A8E"/>
    <w:rsid w:val="2ED56581"/>
    <w:rsid w:val="2ED849EE"/>
    <w:rsid w:val="2EDA2AFE"/>
    <w:rsid w:val="2EDD2EA3"/>
    <w:rsid w:val="2EE8676D"/>
    <w:rsid w:val="2EF55CE0"/>
    <w:rsid w:val="2F025F01"/>
    <w:rsid w:val="2F04209F"/>
    <w:rsid w:val="2F0E1BBB"/>
    <w:rsid w:val="2F133E5C"/>
    <w:rsid w:val="2F1C6B6D"/>
    <w:rsid w:val="2F1E7DD8"/>
    <w:rsid w:val="2F3E1558"/>
    <w:rsid w:val="2F414E4F"/>
    <w:rsid w:val="2F475E86"/>
    <w:rsid w:val="2F5038F1"/>
    <w:rsid w:val="2F5F57B4"/>
    <w:rsid w:val="2F622FD5"/>
    <w:rsid w:val="2F6D7F27"/>
    <w:rsid w:val="2F7249E2"/>
    <w:rsid w:val="2F731F49"/>
    <w:rsid w:val="2F7806AF"/>
    <w:rsid w:val="2F7F1F59"/>
    <w:rsid w:val="2F8755F1"/>
    <w:rsid w:val="2FA6576B"/>
    <w:rsid w:val="2FB21D3A"/>
    <w:rsid w:val="2FB5021A"/>
    <w:rsid w:val="2FBB2C66"/>
    <w:rsid w:val="2FC02788"/>
    <w:rsid w:val="2FC861DB"/>
    <w:rsid w:val="2FC92AB8"/>
    <w:rsid w:val="2FCB5F9F"/>
    <w:rsid w:val="2FDF511D"/>
    <w:rsid w:val="2FDF6A78"/>
    <w:rsid w:val="2FE51865"/>
    <w:rsid w:val="2FE55A53"/>
    <w:rsid w:val="2FE660DB"/>
    <w:rsid w:val="2FE92A77"/>
    <w:rsid w:val="2FEC706C"/>
    <w:rsid w:val="300F533D"/>
    <w:rsid w:val="30194029"/>
    <w:rsid w:val="301C734E"/>
    <w:rsid w:val="3025134E"/>
    <w:rsid w:val="302A03AB"/>
    <w:rsid w:val="302B06C9"/>
    <w:rsid w:val="302E77CA"/>
    <w:rsid w:val="30300AE8"/>
    <w:rsid w:val="30300B82"/>
    <w:rsid w:val="303A0642"/>
    <w:rsid w:val="304765C2"/>
    <w:rsid w:val="30526878"/>
    <w:rsid w:val="30526B3D"/>
    <w:rsid w:val="30574062"/>
    <w:rsid w:val="305C3864"/>
    <w:rsid w:val="305F3B2D"/>
    <w:rsid w:val="30614CD5"/>
    <w:rsid w:val="30615967"/>
    <w:rsid w:val="307E1C17"/>
    <w:rsid w:val="30865E11"/>
    <w:rsid w:val="30881247"/>
    <w:rsid w:val="309F34F9"/>
    <w:rsid w:val="30A54AA0"/>
    <w:rsid w:val="30B02D54"/>
    <w:rsid w:val="30B03E6A"/>
    <w:rsid w:val="30B042ED"/>
    <w:rsid w:val="30C43371"/>
    <w:rsid w:val="30CB371F"/>
    <w:rsid w:val="30D03A55"/>
    <w:rsid w:val="30D40FD7"/>
    <w:rsid w:val="30DC13F4"/>
    <w:rsid w:val="30DE0E55"/>
    <w:rsid w:val="30DF72B1"/>
    <w:rsid w:val="30FE6257"/>
    <w:rsid w:val="310D0D46"/>
    <w:rsid w:val="311B03FC"/>
    <w:rsid w:val="311B0F28"/>
    <w:rsid w:val="313D1414"/>
    <w:rsid w:val="313F3EFB"/>
    <w:rsid w:val="314530D0"/>
    <w:rsid w:val="31512F23"/>
    <w:rsid w:val="31583ADF"/>
    <w:rsid w:val="315E66FF"/>
    <w:rsid w:val="31706C5C"/>
    <w:rsid w:val="31770A40"/>
    <w:rsid w:val="318A7F7C"/>
    <w:rsid w:val="31B16136"/>
    <w:rsid w:val="31B23F76"/>
    <w:rsid w:val="31B93533"/>
    <w:rsid w:val="31C60B69"/>
    <w:rsid w:val="31CD2762"/>
    <w:rsid w:val="31CE385B"/>
    <w:rsid w:val="31D15ECB"/>
    <w:rsid w:val="31D85080"/>
    <w:rsid w:val="31D97FDB"/>
    <w:rsid w:val="31E72881"/>
    <w:rsid w:val="31EA2E93"/>
    <w:rsid w:val="31EF0D00"/>
    <w:rsid w:val="31FB390D"/>
    <w:rsid w:val="31FB5FA7"/>
    <w:rsid w:val="31FF00EA"/>
    <w:rsid w:val="32025357"/>
    <w:rsid w:val="32102619"/>
    <w:rsid w:val="3213028B"/>
    <w:rsid w:val="32131EF7"/>
    <w:rsid w:val="3227339A"/>
    <w:rsid w:val="322E2CDB"/>
    <w:rsid w:val="32330F0B"/>
    <w:rsid w:val="323D0450"/>
    <w:rsid w:val="3248073B"/>
    <w:rsid w:val="324C4F89"/>
    <w:rsid w:val="324F1BF5"/>
    <w:rsid w:val="324F50CF"/>
    <w:rsid w:val="32510B78"/>
    <w:rsid w:val="325A2C4B"/>
    <w:rsid w:val="32684025"/>
    <w:rsid w:val="326A41D2"/>
    <w:rsid w:val="326A65A0"/>
    <w:rsid w:val="327606BD"/>
    <w:rsid w:val="328E60AA"/>
    <w:rsid w:val="329F56F9"/>
    <w:rsid w:val="32A169DD"/>
    <w:rsid w:val="32A566F7"/>
    <w:rsid w:val="32AC2C6A"/>
    <w:rsid w:val="32B676E9"/>
    <w:rsid w:val="32BC210F"/>
    <w:rsid w:val="32C63BD5"/>
    <w:rsid w:val="32D306D0"/>
    <w:rsid w:val="32D34C6E"/>
    <w:rsid w:val="32D81622"/>
    <w:rsid w:val="32DA0B1D"/>
    <w:rsid w:val="32DA372C"/>
    <w:rsid w:val="32E642EC"/>
    <w:rsid w:val="32F1425D"/>
    <w:rsid w:val="32F5103D"/>
    <w:rsid w:val="32FC7BF7"/>
    <w:rsid w:val="32FE40FF"/>
    <w:rsid w:val="330B5872"/>
    <w:rsid w:val="330E4655"/>
    <w:rsid w:val="33116A6B"/>
    <w:rsid w:val="331376C1"/>
    <w:rsid w:val="33142A54"/>
    <w:rsid w:val="33144866"/>
    <w:rsid w:val="33150791"/>
    <w:rsid w:val="3323141E"/>
    <w:rsid w:val="332C4563"/>
    <w:rsid w:val="33421B18"/>
    <w:rsid w:val="33486F40"/>
    <w:rsid w:val="3350000F"/>
    <w:rsid w:val="335258D1"/>
    <w:rsid w:val="3353589F"/>
    <w:rsid w:val="335A28C3"/>
    <w:rsid w:val="336079E0"/>
    <w:rsid w:val="336517E6"/>
    <w:rsid w:val="3366370D"/>
    <w:rsid w:val="33762F98"/>
    <w:rsid w:val="337B5D27"/>
    <w:rsid w:val="337C2B85"/>
    <w:rsid w:val="33812043"/>
    <w:rsid w:val="3383388F"/>
    <w:rsid w:val="3387560A"/>
    <w:rsid w:val="338E675E"/>
    <w:rsid w:val="33A179B0"/>
    <w:rsid w:val="33A60791"/>
    <w:rsid w:val="33BD4644"/>
    <w:rsid w:val="33BE063D"/>
    <w:rsid w:val="33C017A7"/>
    <w:rsid w:val="33CC625D"/>
    <w:rsid w:val="33CD3A7C"/>
    <w:rsid w:val="33D42F0A"/>
    <w:rsid w:val="33D43957"/>
    <w:rsid w:val="33DB4C2B"/>
    <w:rsid w:val="33EF234A"/>
    <w:rsid w:val="33F037C3"/>
    <w:rsid w:val="340C3647"/>
    <w:rsid w:val="3413176E"/>
    <w:rsid w:val="34175277"/>
    <w:rsid w:val="341912E0"/>
    <w:rsid w:val="341D63D2"/>
    <w:rsid w:val="341F6FEB"/>
    <w:rsid w:val="3422606B"/>
    <w:rsid w:val="342F30F8"/>
    <w:rsid w:val="34342872"/>
    <w:rsid w:val="343645EE"/>
    <w:rsid w:val="343C2DD8"/>
    <w:rsid w:val="343E3E6F"/>
    <w:rsid w:val="344015CD"/>
    <w:rsid w:val="3450562C"/>
    <w:rsid w:val="34513A71"/>
    <w:rsid w:val="345823FB"/>
    <w:rsid w:val="34635D7B"/>
    <w:rsid w:val="346675EE"/>
    <w:rsid w:val="34674196"/>
    <w:rsid w:val="34764DFF"/>
    <w:rsid w:val="347A2381"/>
    <w:rsid w:val="347B0D57"/>
    <w:rsid w:val="34863915"/>
    <w:rsid w:val="348971A4"/>
    <w:rsid w:val="348A1B01"/>
    <w:rsid w:val="3496481A"/>
    <w:rsid w:val="349B355F"/>
    <w:rsid w:val="349D19D0"/>
    <w:rsid w:val="349E1977"/>
    <w:rsid w:val="349F3B1B"/>
    <w:rsid w:val="34A3717C"/>
    <w:rsid w:val="34B20306"/>
    <w:rsid w:val="34B42D12"/>
    <w:rsid w:val="34B923A4"/>
    <w:rsid w:val="34C975F3"/>
    <w:rsid w:val="34CF4853"/>
    <w:rsid w:val="34F267BD"/>
    <w:rsid w:val="35012551"/>
    <w:rsid w:val="35021FE5"/>
    <w:rsid w:val="35100668"/>
    <w:rsid w:val="35112C85"/>
    <w:rsid w:val="3518374D"/>
    <w:rsid w:val="3519702D"/>
    <w:rsid w:val="3519736E"/>
    <w:rsid w:val="351C3D48"/>
    <w:rsid w:val="352D7A74"/>
    <w:rsid w:val="35407C0E"/>
    <w:rsid w:val="35433B90"/>
    <w:rsid w:val="3546683F"/>
    <w:rsid w:val="35547A5B"/>
    <w:rsid w:val="35555673"/>
    <w:rsid w:val="35592A24"/>
    <w:rsid w:val="356217AA"/>
    <w:rsid w:val="356D5668"/>
    <w:rsid w:val="357258D8"/>
    <w:rsid w:val="357C2589"/>
    <w:rsid w:val="35871BFF"/>
    <w:rsid w:val="358B4256"/>
    <w:rsid w:val="358F3DD5"/>
    <w:rsid w:val="35901219"/>
    <w:rsid w:val="359514F7"/>
    <w:rsid w:val="359707EA"/>
    <w:rsid w:val="35A14C67"/>
    <w:rsid w:val="35A30CF4"/>
    <w:rsid w:val="35A500CD"/>
    <w:rsid w:val="35AC1691"/>
    <w:rsid w:val="35AE0F12"/>
    <w:rsid w:val="35B008C8"/>
    <w:rsid w:val="35BE0B5B"/>
    <w:rsid w:val="35C156A2"/>
    <w:rsid w:val="35C71B14"/>
    <w:rsid w:val="35C965C8"/>
    <w:rsid w:val="35D25B97"/>
    <w:rsid w:val="35DA18A1"/>
    <w:rsid w:val="35DE0734"/>
    <w:rsid w:val="35E01376"/>
    <w:rsid w:val="35FE6CBE"/>
    <w:rsid w:val="36045A4E"/>
    <w:rsid w:val="360D2D32"/>
    <w:rsid w:val="360F122A"/>
    <w:rsid w:val="360F3B63"/>
    <w:rsid w:val="361E3E22"/>
    <w:rsid w:val="362B6D4F"/>
    <w:rsid w:val="363076D7"/>
    <w:rsid w:val="363A4B9C"/>
    <w:rsid w:val="364C2C7B"/>
    <w:rsid w:val="365660D1"/>
    <w:rsid w:val="36633C07"/>
    <w:rsid w:val="366566B4"/>
    <w:rsid w:val="36665A48"/>
    <w:rsid w:val="366C6B38"/>
    <w:rsid w:val="366F5F44"/>
    <w:rsid w:val="36700FFF"/>
    <w:rsid w:val="367C64A3"/>
    <w:rsid w:val="36824646"/>
    <w:rsid w:val="368C4219"/>
    <w:rsid w:val="3697487B"/>
    <w:rsid w:val="36A05F27"/>
    <w:rsid w:val="36A32041"/>
    <w:rsid w:val="36A922D5"/>
    <w:rsid w:val="36AB35EF"/>
    <w:rsid w:val="36B86714"/>
    <w:rsid w:val="36C54401"/>
    <w:rsid w:val="36CE0AC8"/>
    <w:rsid w:val="36CE2292"/>
    <w:rsid w:val="36D0367C"/>
    <w:rsid w:val="36D45D63"/>
    <w:rsid w:val="36D6341E"/>
    <w:rsid w:val="36DD2ED1"/>
    <w:rsid w:val="36E25A8D"/>
    <w:rsid w:val="36E3668F"/>
    <w:rsid w:val="36F132C7"/>
    <w:rsid w:val="36F8190F"/>
    <w:rsid w:val="36FA58F1"/>
    <w:rsid w:val="37075A40"/>
    <w:rsid w:val="370C3296"/>
    <w:rsid w:val="370F1648"/>
    <w:rsid w:val="37135666"/>
    <w:rsid w:val="372900F8"/>
    <w:rsid w:val="372B4039"/>
    <w:rsid w:val="373101EC"/>
    <w:rsid w:val="37353500"/>
    <w:rsid w:val="37357B02"/>
    <w:rsid w:val="3739097B"/>
    <w:rsid w:val="37455421"/>
    <w:rsid w:val="37481B63"/>
    <w:rsid w:val="374D0BD2"/>
    <w:rsid w:val="37507512"/>
    <w:rsid w:val="375E48A0"/>
    <w:rsid w:val="3760290D"/>
    <w:rsid w:val="376832CC"/>
    <w:rsid w:val="376A6DF4"/>
    <w:rsid w:val="376E70D3"/>
    <w:rsid w:val="37775EC1"/>
    <w:rsid w:val="37842B36"/>
    <w:rsid w:val="3785695C"/>
    <w:rsid w:val="37905BC2"/>
    <w:rsid w:val="37AF1A40"/>
    <w:rsid w:val="37BA1D38"/>
    <w:rsid w:val="37BC06F2"/>
    <w:rsid w:val="37C612F0"/>
    <w:rsid w:val="37C63AF7"/>
    <w:rsid w:val="37C96AD9"/>
    <w:rsid w:val="37D06F6A"/>
    <w:rsid w:val="37D57481"/>
    <w:rsid w:val="37D71A21"/>
    <w:rsid w:val="37DB4B1B"/>
    <w:rsid w:val="37DD0E80"/>
    <w:rsid w:val="37E75965"/>
    <w:rsid w:val="37F559A6"/>
    <w:rsid w:val="3805674E"/>
    <w:rsid w:val="380A7633"/>
    <w:rsid w:val="380C379C"/>
    <w:rsid w:val="380F75A8"/>
    <w:rsid w:val="38116F39"/>
    <w:rsid w:val="38150283"/>
    <w:rsid w:val="38235155"/>
    <w:rsid w:val="382F03AB"/>
    <w:rsid w:val="38342548"/>
    <w:rsid w:val="38394B02"/>
    <w:rsid w:val="38453AF0"/>
    <w:rsid w:val="384B17BB"/>
    <w:rsid w:val="385F3E9C"/>
    <w:rsid w:val="386F3673"/>
    <w:rsid w:val="387D1195"/>
    <w:rsid w:val="3884521F"/>
    <w:rsid w:val="38866029"/>
    <w:rsid w:val="38931349"/>
    <w:rsid w:val="38A7784B"/>
    <w:rsid w:val="38B433E0"/>
    <w:rsid w:val="38B841E1"/>
    <w:rsid w:val="38B97E62"/>
    <w:rsid w:val="38BB1AB5"/>
    <w:rsid w:val="38BE4FE0"/>
    <w:rsid w:val="38CF7597"/>
    <w:rsid w:val="38D32F6F"/>
    <w:rsid w:val="38D67F23"/>
    <w:rsid w:val="38DB0F62"/>
    <w:rsid w:val="38E65DFA"/>
    <w:rsid w:val="38ED5172"/>
    <w:rsid w:val="38F20E89"/>
    <w:rsid w:val="38F927A6"/>
    <w:rsid w:val="38F979D0"/>
    <w:rsid w:val="38FC5FEA"/>
    <w:rsid w:val="39073F5B"/>
    <w:rsid w:val="390A651F"/>
    <w:rsid w:val="390C0E7A"/>
    <w:rsid w:val="390C2177"/>
    <w:rsid w:val="3910410C"/>
    <w:rsid w:val="3919029E"/>
    <w:rsid w:val="391C549E"/>
    <w:rsid w:val="39205227"/>
    <w:rsid w:val="3927575B"/>
    <w:rsid w:val="392A5AB6"/>
    <w:rsid w:val="392A74BF"/>
    <w:rsid w:val="392C3D96"/>
    <w:rsid w:val="39315ADA"/>
    <w:rsid w:val="393439A4"/>
    <w:rsid w:val="393A1681"/>
    <w:rsid w:val="395A1B5C"/>
    <w:rsid w:val="3960102A"/>
    <w:rsid w:val="39614ED3"/>
    <w:rsid w:val="396326E7"/>
    <w:rsid w:val="3965482A"/>
    <w:rsid w:val="39685FA9"/>
    <w:rsid w:val="396A3EDD"/>
    <w:rsid w:val="396A6003"/>
    <w:rsid w:val="396B7FBF"/>
    <w:rsid w:val="397664A7"/>
    <w:rsid w:val="397A1146"/>
    <w:rsid w:val="397B2BA2"/>
    <w:rsid w:val="399A2DCE"/>
    <w:rsid w:val="399F7F57"/>
    <w:rsid w:val="39AB6E11"/>
    <w:rsid w:val="39AC3649"/>
    <w:rsid w:val="39AE2771"/>
    <w:rsid w:val="39DC4608"/>
    <w:rsid w:val="39E532F5"/>
    <w:rsid w:val="39FE14D5"/>
    <w:rsid w:val="3A066F76"/>
    <w:rsid w:val="3A072FC5"/>
    <w:rsid w:val="3A0E1E66"/>
    <w:rsid w:val="3A0F0F94"/>
    <w:rsid w:val="3A167AB8"/>
    <w:rsid w:val="3A1B00BB"/>
    <w:rsid w:val="3A263222"/>
    <w:rsid w:val="3A2A5A29"/>
    <w:rsid w:val="3A2C349D"/>
    <w:rsid w:val="3A381463"/>
    <w:rsid w:val="3A3F1B6D"/>
    <w:rsid w:val="3A404981"/>
    <w:rsid w:val="3A456687"/>
    <w:rsid w:val="3A4B3272"/>
    <w:rsid w:val="3A4F575B"/>
    <w:rsid w:val="3A5001EC"/>
    <w:rsid w:val="3A500D38"/>
    <w:rsid w:val="3A570404"/>
    <w:rsid w:val="3A651AA2"/>
    <w:rsid w:val="3A700FD5"/>
    <w:rsid w:val="3A705084"/>
    <w:rsid w:val="3A7101B8"/>
    <w:rsid w:val="3A7720E4"/>
    <w:rsid w:val="3A7B05B5"/>
    <w:rsid w:val="3A7D4C16"/>
    <w:rsid w:val="3A801CAB"/>
    <w:rsid w:val="3A913611"/>
    <w:rsid w:val="3A9267A5"/>
    <w:rsid w:val="3A9421C5"/>
    <w:rsid w:val="3A987FDE"/>
    <w:rsid w:val="3A9D057C"/>
    <w:rsid w:val="3A9D74DD"/>
    <w:rsid w:val="3A9F6737"/>
    <w:rsid w:val="3AA956A7"/>
    <w:rsid w:val="3AAB52C4"/>
    <w:rsid w:val="3AB36197"/>
    <w:rsid w:val="3AC15673"/>
    <w:rsid w:val="3AC41622"/>
    <w:rsid w:val="3ACD63EF"/>
    <w:rsid w:val="3ACF48FE"/>
    <w:rsid w:val="3AE04477"/>
    <w:rsid w:val="3AE54D45"/>
    <w:rsid w:val="3AE7037C"/>
    <w:rsid w:val="3AF1405A"/>
    <w:rsid w:val="3AF44902"/>
    <w:rsid w:val="3AF64CE5"/>
    <w:rsid w:val="3AFD6732"/>
    <w:rsid w:val="3B00428D"/>
    <w:rsid w:val="3B0113D0"/>
    <w:rsid w:val="3B052E61"/>
    <w:rsid w:val="3B057BB8"/>
    <w:rsid w:val="3B0B34A6"/>
    <w:rsid w:val="3B0C4D28"/>
    <w:rsid w:val="3B1058AD"/>
    <w:rsid w:val="3B155B71"/>
    <w:rsid w:val="3B1E77C6"/>
    <w:rsid w:val="3B247CC0"/>
    <w:rsid w:val="3B276E7E"/>
    <w:rsid w:val="3B277F2A"/>
    <w:rsid w:val="3B2F4F9E"/>
    <w:rsid w:val="3B313220"/>
    <w:rsid w:val="3B3277D5"/>
    <w:rsid w:val="3B385412"/>
    <w:rsid w:val="3B393DC2"/>
    <w:rsid w:val="3B40516F"/>
    <w:rsid w:val="3B467CB3"/>
    <w:rsid w:val="3B493F53"/>
    <w:rsid w:val="3B4A5C00"/>
    <w:rsid w:val="3B4E12C0"/>
    <w:rsid w:val="3B5026BC"/>
    <w:rsid w:val="3B545E56"/>
    <w:rsid w:val="3B5D64E4"/>
    <w:rsid w:val="3B657D9D"/>
    <w:rsid w:val="3B6B5215"/>
    <w:rsid w:val="3B7258A4"/>
    <w:rsid w:val="3B7E36F0"/>
    <w:rsid w:val="3B825BF9"/>
    <w:rsid w:val="3B8357D7"/>
    <w:rsid w:val="3B876BEE"/>
    <w:rsid w:val="3B905E03"/>
    <w:rsid w:val="3B911881"/>
    <w:rsid w:val="3B97721B"/>
    <w:rsid w:val="3B9847FA"/>
    <w:rsid w:val="3BA710BA"/>
    <w:rsid w:val="3BAF5E97"/>
    <w:rsid w:val="3BB876AE"/>
    <w:rsid w:val="3BC1610F"/>
    <w:rsid w:val="3BC2703D"/>
    <w:rsid w:val="3BC5193D"/>
    <w:rsid w:val="3BC64917"/>
    <w:rsid w:val="3BCB4E43"/>
    <w:rsid w:val="3BCC2D63"/>
    <w:rsid w:val="3BD24C90"/>
    <w:rsid w:val="3BDD3D5A"/>
    <w:rsid w:val="3BDD74B7"/>
    <w:rsid w:val="3BF2423C"/>
    <w:rsid w:val="3BF47E15"/>
    <w:rsid w:val="3BF52ED4"/>
    <w:rsid w:val="3BFC3B97"/>
    <w:rsid w:val="3C0233CF"/>
    <w:rsid w:val="3C0A302B"/>
    <w:rsid w:val="3C1C6F14"/>
    <w:rsid w:val="3C1F1BF2"/>
    <w:rsid w:val="3C273DD6"/>
    <w:rsid w:val="3C275D2E"/>
    <w:rsid w:val="3C2B4ADC"/>
    <w:rsid w:val="3C385A43"/>
    <w:rsid w:val="3C3D4F75"/>
    <w:rsid w:val="3C421037"/>
    <w:rsid w:val="3C423F6B"/>
    <w:rsid w:val="3C4474F7"/>
    <w:rsid w:val="3C457983"/>
    <w:rsid w:val="3C52201F"/>
    <w:rsid w:val="3C5616C6"/>
    <w:rsid w:val="3C5C4F55"/>
    <w:rsid w:val="3C5F5F6F"/>
    <w:rsid w:val="3C6272F5"/>
    <w:rsid w:val="3C717518"/>
    <w:rsid w:val="3C750612"/>
    <w:rsid w:val="3C7F73D3"/>
    <w:rsid w:val="3C895115"/>
    <w:rsid w:val="3C8958AC"/>
    <w:rsid w:val="3C8D24CD"/>
    <w:rsid w:val="3C905BE4"/>
    <w:rsid w:val="3C99793A"/>
    <w:rsid w:val="3C9C5775"/>
    <w:rsid w:val="3CA770AD"/>
    <w:rsid w:val="3CAE1631"/>
    <w:rsid w:val="3CAE2C3F"/>
    <w:rsid w:val="3CB01B96"/>
    <w:rsid w:val="3CB33B17"/>
    <w:rsid w:val="3CB6640E"/>
    <w:rsid w:val="3CBC339A"/>
    <w:rsid w:val="3CBD568B"/>
    <w:rsid w:val="3CC01032"/>
    <w:rsid w:val="3CD03F56"/>
    <w:rsid w:val="3CDC2A3D"/>
    <w:rsid w:val="3CDE75B6"/>
    <w:rsid w:val="3CF30754"/>
    <w:rsid w:val="3D036296"/>
    <w:rsid w:val="3D064CE6"/>
    <w:rsid w:val="3D136882"/>
    <w:rsid w:val="3D18379F"/>
    <w:rsid w:val="3D1D019E"/>
    <w:rsid w:val="3D1F686C"/>
    <w:rsid w:val="3D264453"/>
    <w:rsid w:val="3D344C20"/>
    <w:rsid w:val="3D3A3592"/>
    <w:rsid w:val="3D400924"/>
    <w:rsid w:val="3D543BE9"/>
    <w:rsid w:val="3D5A3DD6"/>
    <w:rsid w:val="3D623C84"/>
    <w:rsid w:val="3D6807A6"/>
    <w:rsid w:val="3D7B778B"/>
    <w:rsid w:val="3D7E68E9"/>
    <w:rsid w:val="3D8C082D"/>
    <w:rsid w:val="3D9640C4"/>
    <w:rsid w:val="3D9943E5"/>
    <w:rsid w:val="3D9B6C3D"/>
    <w:rsid w:val="3DA01785"/>
    <w:rsid w:val="3DA20FBB"/>
    <w:rsid w:val="3DA242EB"/>
    <w:rsid w:val="3DB20931"/>
    <w:rsid w:val="3DB21664"/>
    <w:rsid w:val="3DB35CAB"/>
    <w:rsid w:val="3DB871CC"/>
    <w:rsid w:val="3DBD115A"/>
    <w:rsid w:val="3DC06A21"/>
    <w:rsid w:val="3DC13CFF"/>
    <w:rsid w:val="3DC4696F"/>
    <w:rsid w:val="3DC87F1F"/>
    <w:rsid w:val="3DCB5BEE"/>
    <w:rsid w:val="3DCB716C"/>
    <w:rsid w:val="3DD44A98"/>
    <w:rsid w:val="3DD902DF"/>
    <w:rsid w:val="3DDD2612"/>
    <w:rsid w:val="3DEA4325"/>
    <w:rsid w:val="3DF027E2"/>
    <w:rsid w:val="3DFC0FD5"/>
    <w:rsid w:val="3E014CF5"/>
    <w:rsid w:val="3E0E5A82"/>
    <w:rsid w:val="3E191BC0"/>
    <w:rsid w:val="3E1B1026"/>
    <w:rsid w:val="3E1C5CF2"/>
    <w:rsid w:val="3E1E752D"/>
    <w:rsid w:val="3E1F2A4A"/>
    <w:rsid w:val="3E2126F1"/>
    <w:rsid w:val="3E225ADC"/>
    <w:rsid w:val="3E240A52"/>
    <w:rsid w:val="3E2454F4"/>
    <w:rsid w:val="3E3446C6"/>
    <w:rsid w:val="3E481766"/>
    <w:rsid w:val="3E51532C"/>
    <w:rsid w:val="3E515B10"/>
    <w:rsid w:val="3E8935ED"/>
    <w:rsid w:val="3E8B5B88"/>
    <w:rsid w:val="3E8E4F94"/>
    <w:rsid w:val="3E8F49A3"/>
    <w:rsid w:val="3E907D54"/>
    <w:rsid w:val="3EA60089"/>
    <w:rsid w:val="3EA94997"/>
    <w:rsid w:val="3EAA10EC"/>
    <w:rsid w:val="3EB048C5"/>
    <w:rsid w:val="3EB62A98"/>
    <w:rsid w:val="3EB926A9"/>
    <w:rsid w:val="3EBC3678"/>
    <w:rsid w:val="3ECA2B5D"/>
    <w:rsid w:val="3ECF0603"/>
    <w:rsid w:val="3EE56B11"/>
    <w:rsid w:val="3EE703CA"/>
    <w:rsid w:val="3EF10C88"/>
    <w:rsid w:val="3EF26959"/>
    <w:rsid w:val="3EFB1410"/>
    <w:rsid w:val="3F035FC9"/>
    <w:rsid w:val="3F044162"/>
    <w:rsid w:val="3F0C08E2"/>
    <w:rsid w:val="3F0C1EC2"/>
    <w:rsid w:val="3F1010D8"/>
    <w:rsid w:val="3F1721FA"/>
    <w:rsid w:val="3F1C0F10"/>
    <w:rsid w:val="3F1E386F"/>
    <w:rsid w:val="3F202455"/>
    <w:rsid w:val="3F3022F2"/>
    <w:rsid w:val="3F3C0989"/>
    <w:rsid w:val="3F4074AD"/>
    <w:rsid w:val="3F5D38C0"/>
    <w:rsid w:val="3F687974"/>
    <w:rsid w:val="3F6C237F"/>
    <w:rsid w:val="3F774D30"/>
    <w:rsid w:val="3F8F1210"/>
    <w:rsid w:val="3F8F3BA7"/>
    <w:rsid w:val="3F950DEC"/>
    <w:rsid w:val="3F9A2C84"/>
    <w:rsid w:val="3FA54708"/>
    <w:rsid w:val="3FA61D7C"/>
    <w:rsid w:val="3FB2330C"/>
    <w:rsid w:val="3FC17427"/>
    <w:rsid w:val="3FC27063"/>
    <w:rsid w:val="3FC92AC7"/>
    <w:rsid w:val="3FD2574D"/>
    <w:rsid w:val="3FD72254"/>
    <w:rsid w:val="3FE54D0C"/>
    <w:rsid w:val="3FE828E6"/>
    <w:rsid w:val="3FE92046"/>
    <w:rsid w:val="3FEC2814"/>
    <w:rsid w:val="3FF503B3"/>
    <w:rsid w:val="4005376A"/>
    <w:rsid w:val="40071AA3"/>
    <w:rsid w:val="4009778A"/>
    <w:rsid w:val="40101D96"/>
    <w:rsid w:val="40130506"/>
    <w:rsid w:val="40145134"/>
    <w:rsid w:val="402E1D38"/>
    <w:rsid w:val="403B576B"/>
    <w:rsid w:val="403C77ED"/>
    <w:rsid w:val="40416067"/>
    <w:rsid w:val="40426E63"/>
    <w:rsid w:val="404C1A06"/>
    <w:rsid w:val="40560252"/>
    <w:rsid w:val="405A52E6"/>
    <w:rsid w:val="405D1D70"/>
    <w:rsid w:val="406C17DB"/>
    <w:rsid w:val="406E0539"/>
    <w:rsid w:val="407A2072"/>
    <w:rsid w:val="40820A00"/>
    <w:rsid w:val="40821099"/>
    <w:rsid w:val="40884CF3"/>
    <w:rsid w:val="408D2FAC"/>
    <w:rsid w:val="408F221B"/>
    <w:rsid w:val="40A026AB"/>
    <w:rsid w:val="40B5139E"/>
    <w:rsid w:val="40BB78BB"/>
    <w:rsid w:val="40BC0484"/>
    <w:rsid w:val="40C111AC"/>
    <w:rsid w:val="40D34902"/>
    <w:rsid w:val="40D52F0A"/>
    <w:rsid w:val="40D63792"/>
    <w:rsid w:val="40DA1947"/>
    <w:rsid w:val="40DD19D6"/>
    <w:rsid w:val="40E9444A"/>
    <w:rsid w:val="40ED022F"/>
    <w:rsid w:val="40FB286F"/>
    <w:rsid w:val="410D678F"/>
    <w:rsid w:val="411379D1"/>
    <w:rsid w:val="41153A00"/>
    <w:rsid w:val="411B1732"/>
    <w:rsid w:val="412535C3"/>
    <w:rsid w:val="412603CD"/>
    <w:rsid w:val="41294736"/>
    <w:rsid w:val="413238BE"/>
    <w:rsid w:val="413C5920"/>
    <w:rsid w:val="413F1C76"/>
    <w:rsid w:val="414B1389"/>
    <w:rsid w:val="41502C7A"/>
    <w:rsid w:val="415E7C80"/>
    <w:rsid w:val="416640F6"/>
    <w:rsid w:val="41675198"/>
    <w:rsid w:val="416B0505"/>
    <w:rsid w:val="416B6F06"/>
    <w:rsid w:val="416D6215"/>
    <w:rsid w:val="41735ED5"/>
    <w:rsid w:val="41770053"/>
    <w:rsid w:val="418D6655"/>
    <w:rsid w:val="418E0A77"/>
    <w:rsid w:val="419317A3"/>
    <w:rsid w:val="419A12AC"/>
    <w:rsid w:val="41BA34AE"/>
    <w:rsid w:val="41BE6329"/>
    <w:rsid w:val="41C439BA"/>
    <w:rsid w:val="41C46627"/>
    <w:rsid w:val="41C73FCE"/>
    <w:rsid w:val="41C85841"/>
    <w:rsid w:val="41CB31BB"/>
    <w:rsid w:val="41DC3CD7"/>
    <w:rsid w:val="41E12BC6"/>
    <w:rsid w:val="41E84249"/>
    <w:rsid w:val="41EC69AB"/>
    <w:rsid w:val="41EF6DF6"/>
    <w:rsid w:val="41F6111C"/>
    <w:rsid w:val="41F8372F"/>
    <w:rsid w:val="41F93C0A"/>
    <w:rsid w:val="41FD37CB"/>
    <w:rsid w:val="420D5538"/>
    <w:rsid w:val="420F3232"/>
    <w:rsid w:val="4215006E"/>
    <w:rsid w:val="422B66CB"/>
    <w:rsid w:val="422D59CE"/>
    <w:rsid w:val="4245422C"/>
    <w:rsid w:val="4246623F"/>
    <w:rsid w:val="424A77E1"/>
    <w:rsid w:val="424F7174"/>
    <w:rsid w:val="42520C8F"/>
    <w:rsid w:val="4253350E"/>
    <w:rsid w:val="425E6230"/>
    <w:rsid w:val="427A24FE"/>
    <w:rsid w:val="428F531A"/>
    <w:rsid w:val="429A6A8B"/>
    <w:rsid w:val="429B1F48"/>
    <w:rsid w:val="42A2138A"/>
    <w:rsid w:val="42A261B0"/>
    <w:rsid w:val="42AB7AD9"/>
    <w:rsid w:val="42AE51E5"/>
    <w:rsid w:val="42D053E8"/>
    <w:rsid w:val="42D31F78"/>
    <w:rsid w:val="42DB4C5C"/>
    <w:rsid w:val="42E47920"/>
    <w:rsid w:val="42ED73A1"/>
    <w:rsid w:val="42EF25E7"/>
    <w:rsid w:val="430B3010"/>
    <w:rsid w:val="430C1947"/>
    <w:rsid w:val="43123B53"/>
    <w:rsid w:val="43140463"/>
    <w:rsid w:val="431E0698"/>
    <w:rsid w:val="431E78E6"/>
    <w:rsid w:val="432342E8"/>
    <w:rsid w:val="43286AC9"/>
    <w:rsid w:val="43311FFF"/>
    <w:rsid w:val="43363645"/>
    <w:rsid w:val="43406405"/>
    <w:rsid w:val="43431CE9"/>
    <w:rsid w:val="434461D2"/>
    <w:rsid w:val="435A3562"/>
    <w:rsid w:val="435B2648"/>
    <w:rsid w:val="435E65E3"/>
    <w:rsid w:val="4365171F"/>
    <w:rsid w:val="436A7FA3"/>
    <w:rsid w:val="4371561A"/>
    <w:rsid w:val="43772C31"/>
    <w:rsid w:val="437A2C90"/>
    <w:rsid w:val="437A70C9"/>
    <w:rsid w:val="43834584"/>
    <w:rsid w:val="438C03BD"/>
    <w:rsid w:val="439337BF"/>
    <w:rsid w:val="43965A98"/>
    <w:rsid w:val="439B4422"/>
    <w:rsid w:val="439E465C"/>
    <w:rsid w:val="43B11716"/>
    <w:rsid w:val="43B75145"/>
    <w:rsid w:val="43BA27B5"/>
    <w:rsid w:val="43BB0E88"/>
    <w:rsid w:val="43C52964"/>
    <w:rsid w:val="43CD19AD"/>
    <w:rsid w:val="43D118DB"/>
    <w:rsid w:val="43D90C75"/>
    <w:rsid w:val="43E049ED"/>
    <w:rsid w:val="43EA1C9A"/>
    <w:rsid w:val="43EA586C"/>
    <w:rsid w:val="43ED6B24"/>
    <w:rsid w:val="43F03C63"/>
    <w:rsid w:val="43F12E67"/>
    <w:rsid w:val="43FF4CFC"/>
    <w:rsid w:val="44006984"/>
    <w:rsid w:val="440B6CF8"/>
    <w:rsid w:val="440D1580"/>
    <w:rsid w:val="44152F71"/>
    <w:rsid w:val="44194EED"/>
    <w:rsid w:val="441A4C0B"/>
    <w:rsid w:val="441D19A0"/>
    <w:rsid w:val="442079B5"/>
    <w:rsid w:val="44222A36"/>
    <w:rsid w:val="442B380B"/>
    <w:rsid w:val="445B667D"/>
    <w:rsid w:val="44890D00"/>
    <w:rsid w:val="448A275B"/>
    <w:rsid w:val="448F63C5"/>
    <w:rsid w:val="4494028B"/>
    <w:rsid w:val="449455C7"/>
    <w:rsid w:val="44AA6475"/>
    <w:rsid w:val="44B82AA6"/>
    <w:rsid w:val="44BA29B8"/>
    <w:rsid w:val="44C440E7"/>
    <w:rsid w:val="44C44B14"/>
    <w:rsid w:val="44EB306A"/>
    <w:rsid w:val="44F03014"/>
    <w:rsid w:val="44F05A66"/>
    <w:rsid w:val="44F12817"/>
    <w:rsid w:val="44F94B08"/>
    <w:rsid w:val="450242EA"/>
    <w:rsid w:val="450614A4"/>
    <w:rsid w:val="45072842"/>
    <w:rsid w:val="450D2590"/>
    <w:rsid w:val="45102FE7"/>
    <w:rsid w:val="45135F5E"/>
    <w:rsid w:val="452D3BC7"/>
    <w:rsid w:val="452E0769"/>
    <w:rsid w:val="45321E8C"/>
    <w:rsid w:val="45373D61"/>
    <w:rsid w:val="45387296"/>
    <w:rsid w:val="453D25C2"/>
    <w:rsid w:val="453D6097"/>
    <w:rsid w:val="4542091E"/>
    <w:rsid w:val="454D6B65"/>
    <w:rsid w:val="455021DC"/>
    <w:rsid w:val="4552257D"/>
    <w:rsid w:val="45557E38"/>
    <w:rsid w:val="45575043"/>
    <w:rsid w:val="455B04D5"/>
    <w:rsid w:val="455D40E0"/>
    <w:rsid w:val="456F3B4D"/>
    <w:rsid w:val="4572336D"/>
    <w:rsid w:val="4575540B"/>
    <w:rsid w:val="45913B1F"/>
    <w:rsid w:val="459D7F6B"/>
    <w:rsid w:val="45A60012"/>
    <w:rsid w:val="45AE5931"/>
    <w:rsid w:val="45B8738A"/>
    <w:rsid w:val="45C15FA0"/>
    <w:rsid w:val="45C95D7D"/>
    <w:rsid w:val="45CD0374"/>
    <w:rsid w:val="45D508BD"/>
    <w:rsid w:val="45DA39B5"/>
    <w:rsid w:val="45DD2AF5"/>
    <w:rsid w:val="45F049EE"/>
    <w:rsid w:val="45FE4148"/>
    <w:rsid w:val="45FF36D8"/>
    <w:rsid w:val="460175AC"/>
    <w:rsid w:val="460C2017"/>
    <w:rsid w:val="460E3D54"/>
    <w:rsid w:val="46103980"/>
    <w:rsid w:val="461C70A3"/>
    <w:rsid w:val="46204A88"/>
    <w:rsid w:val="4624656F"/>
    <w:rsid w:val="46264073"/>
    <w:rsid w:val="463248E5"/>
    <w:rsid w:val="463E6753"/>
    <w:rsid w:val="464537E9"/>
    <w:rsid w:val="46562FF8"/>
    <w:rsid w:val="46630A6B"/>
    <w:rsid w:val="4667088B"/>
    <w:rsid w:val="466F3C52"/>
    <w:rsid w:val="46721069"/>
    <w:rsid w:val="4680624C"/>
    <w:rsid w:val="46841CB9"/>
    <w:rsid w:val="46867E5F"/>
    <w:rsid w:val="46875E3F"/>
    <w:rsid w:val="46881AE1"/>
    <w:rsid w:val="468E77B4"/>
    <w:rsid w:val="46916F91"/>
    <w:rsid w:val="46A64250"/>
    <w:rsid w:val="46A718B8"/>
    <w:rsid w:val="46AD0F96"/>
    <w:rsid w:val="46B02EE5"/>
    <w:rsid w:val="46B3762C"/>
    <w:rsid w:val="46BE2CFC"/>
    <w:rsid w:val="46BF4F72"/>
    <w:rsid w:val="46C63D75"/>
    <w:rsid w:val="46CB400E"/>
    <w:rsid w:val="46CC31DA"/>
    <w:rsid w:val="46CC73D1"/>
    <w:rsid w:val="46CD0BB8"/>
    <w:rsid w:val="46DB65FB"/>
    <w:rsid w:val="46DC3FA7"/>
    <w:rsid w:val="46DE3981"/>
    <w:rsid w:val="46E251E2"/>
    <w:rsid w:val="46EB37FA"/>
    <w:rsid w:val="46EC5079"/>
    <w:rsid w:val="46EF1D59"/>
    <w:rsid w:val="47031DA9"/>
    <w:rsid w:val="47053800"/>
    <w:rsid w:val="470B70C3"/>
    <w:rsid w:val="471229A0"/>
    <w:rsid w:val="4727370B"/>
    <w:rsid w:val="47327BCA"/>
    <w:rsid w:val="47346B8B"/>
    <w:rsid w:val="475F32A1"/>
    <w:rsid w:val="475F3472"/>
    <w:rsid w:val="475F7A4F"/>
    <w:rsid w:val="476033C1"/>
    <w:rsid w:val="47645AAE"/>
    <w:rsid w:val="47763995"/>
    <w:rsid w:val="477A0C90"/>
    <w:rsid w:val="477D504B"/>
    <w:rsid w:val="479D0382"/>
    <w:rsid w:val="47A620E5"/>
    <w:rsid w:val="47B873D8"/>
    <w:rsid w:val="47C148AF"/>
    <w:rsid w:val="47CC7AAD"/>
    <w:rsid w:val="47CF3A4D"/>
    <w:rsid w:val="47D63975"/>
    <w:rsid w:val="47E8416A"/>
    <w:rsid w:val="47E93497"/>
    <w:rsid w:val="47EB6EF5"/>
    <w:rsid w:val="47F2600B"/>
    <w:rsid w:val="48017C77"/>
    <w:rsid w:val="4803650A"/>
    <w:rsid w:val="48083860"/>
    <w:rsid w:val="48144B0E"/>
    <w:rsid w:val="481528A8"/>
    <w:rsid w:val="48215C79"/>
    <w:rsid w:val="482A711F"/>
    <w:rsid w:val="482D561F"/>
    <w:rsid w:val="48311A78"/>
    <w:rsid w:val="48511C05"/>
    <w:rsid w:val="486120C5"/>
    <w:rsid w:val="48614626"/>
    <w:rsid w:val="48664029"/>
    <w:rsid w:val="486931E0"/>
    <w:rsid w:val="486A3E93"/>
    <w:rsid w:val="48733D13"/>
    <w:rsid w:val="48752DB8"/>
    <w:rsid w:val="487B554D"/>
    <w:rsid w:val="4882583A"/>
    <w:rsid w:val="489A6742"/>
    <w:rsid w:val="489C2797"/>
    <w:rsid w:val="48B0223D"/>
    <w:rsid w:val="48C2688C"/>
    <w:rsid w:val="48C4588D"/>
    <w:rsid w:val="48C66D09"/>
    <w:rsid w:val="48D352DD"/>
    <w:rsid w:val="48D51CFA"/>
    <w:rsid w:val="48DF069B"/>
    <w:rsid w:val="48EA78DE"/>
    <w:rsid w:val="48EF5129"/>
    <w:rsid w:val="48FA66F3"/>
    <w:rsid w:val="48FF12B1"/>
    <w:rsid w:val="4903217E"/>
    <w:rsid w:val="49055F98"/>
    <w:rsid w:val="49214628"/>
    <w:rsid w:val="492809AC"/>
    <w:rsid w:val="49294BC6"/>
    <w:rsid w:val="492E17CB"/>
    <w:rsid w:val="49305650"/>
    <w:rsid w:val="49411818"/>
    <w:rsid w:val="494F3DB2"/>
    <w:rsid w:val="49525270"/>
    <w:rsid w:val="49633237"/>
    <w:rsid w:val="496E5DE4"/>
    <w:rsid w:val="49732891"/>
    <w:rsid w:val="49735DA3"/>
    <w:rsid w:val="49742314"/>
    <w:rsid w:val="497C0062"/>
    <w:rsid w:val="498335F3"/>
    <w:rsid w:val="49862675"/>
    <w:rsid w:val="498863FA"/>
    <w:rsid w:val="4995717A"/>
    <w:rsid w:val="49962929"/>
    <w:rsid w:val="49964F16"/>
    <w:rsid w:val="49A9505C"/>
    <w:rsid w:val="49AC3E52"/>
    <w:rsid w:val="49AE7A87"/>
    <w:rsid w:val="49B036E9"/>
    <w:rsid w:val="49B904DF"/>
    <w:rsid w:val="49BF1FB5"/>
    <w:rsid w:val="49C01EF5"/>
    <w:rsid w:val="49D24343"/>
    <w:rsid w:val="49D81128"/>
    <w:rsid w:val="49DB344C"/>
    <w:rsid w:val="49DC6BC4"/>
    <w:rsid w:val="49E65669"/>
    <w:rsid w:val="49F303FC"/>
    <w:rsid w:val="49FC4182"/>
    <w:rsid w:val="4A055F4A"/>
    <w:rsid w:val="4A0832D1"/>
    <w:rsid w:val="4A2C0FB2"/>
    <w:rsid w:val="4A3F186D"/>
    <w:rsid w:val="4A4113FF"/>
    <w:rsid w:val="4A4B5116"/>
    <w:rsid w:val="4A5320D7"/>
    <w:rsid w:val="4A5549B5"/>
    <w:rsid w:val="4A5937C7"/>
    <w:rsid w:val="4A5A36B4"/>
    <w:rsid w:val="4A5B4C28"/>
    <w:rsid w:val="4A61539F"/>
    <w:rsid w:val="4A622888"/>
    <w:rsid w:val="4A644B2B"/>
    <w:rsid w:val="4A891F6A"/>
    <w:rsid w:val="4A921756"/>
    <w:rsid w:val="4A9471C8"/>
    <w:rsid w:val="4AA25122"/>
    <w:rsid w:val="4AA55DE8"/>
    <w:rsid w:val="4AA86E9B"/>
    <w:rsid w:val="4AB74421"/>
    <w:rsid w:val="4AB772A5"/>
    <w:rsid w:val="4AB912D4"/>
    <w:rsid w:val="4AC15801"/>
    <w:rsid w:val="4ACC5E2A"/>
    <w:rsid w:val="4AD66808"/>
    <w:rsid w:val="4AE22625"/>
    <w:rsid w:val="4AE56339"/>
    <w:rsid w:val="4AF76389"/>
    <w:rsid w:val="4AFD186C"/>
    <w:rsid w:val="4B015798"/>
    <w:rsid w:val="4B0754E2"/>
    <w:rsid w:val="4B0E1436"/>
    <w:rsid w:val="4B0F4D91"/>
    <w:rsid w:val="4B1106DD"/>
    <w:rsid w:val="4B203640"/>
    <w:rsid w:val="4B221BB1"/>
    <w:rsid w:val="4B236327"/>
    <w:rsid w:val="4B2876D7"/>
    <w:rsid w:val="4B295E7F"/>
    <w:rsid w:val="4B41500C"/>
    <w:rsid w:val="4B4B78F3"/>
    <w:rsid w:val="4B4E121C"/>
    <w:rsid w:val="4B504154"/>
    <w:rsid w:val="4B5B047F"/>
    <w:rsid w:val="4B5E3457"/>
    <w:rsid w:val="4B61779A"/>
    <w:rsid w:val="4B645063"/>
    <w:rsid w:val="4B6C36FD"/>
    <w:rsid w:val="4B7940F6"/>
    <w:rsid w:val="4B844F39"/>
    <w:rsid w:val="4B9036D7"/>
    <w:rsid w:val="4B943A7C"/>
    <w:rsid w:val="4BB05273"/>
    <w:rsid w:val="4BC046D6"/>
    <w:rsid w:val="4BCC39B7"/>
    <w:rsid w:val="4BD42F71"/>
    <w:rsid w:val="4BDC448F"/>
    <w:rsid w:val="4BE4020C"/>
    <w:rsid w:val="4BE972B8"/>
    <w:rsid w:val="4BED1F48"/>
    <w:rsid w:val="4BF25728"/>
    <w:rsid w:val="4C112392"/>
    <w:rsid w:val="4C1F42AF"/>
    <w:rsid w:val="4C2355C9"/>
    <w:rsid w:val="4C243968"/>
    <w:rsid w:val="4C2E23E1"/>
    <w:rsid w:val="4C304E5C"/>
    <w:rsid w:val="4C334B64"/>
    <w:rsid w:val="4C3363FE"/>
    <w:rsid w:val="4C3A0DED"/>
    <w:rsid w:val="4C446419"/>
    <w:rsid w:val="4C503719"/>
    <w:rsid w:val="4C521764"/>
    <w:rsid w:val="4C56035C"/>
    <w:rsid w:val="4C58364C"/>
    <w:rsid w:val="4C5F21B4"/>
    <w:rsid w:val="4C751931"/>
    <w:rsid w:val="4C772D23"/>
    <w:rsid w:val="4C7B21D4"/>
    <w:rsid w:val="4C816362"/>
    <w:rsid w:val="4C89360D"/>
    <w:rsid w:val="4C8D74B9"/>
    <w:rsid w:val="4C9360E7"/>
    <w:rsid w:val="4C93633C"/>
    <w:rsid w:val="4C952AB6"/>
    <w:rsid w:val="4C95768A"/>
    <w:rsid w:val="4C9650E8"/>
    <w:rsid w:val="4CBF5E6C"/>
    <w:rsid w:val="4CBF605A"/>
    <w:rsid w:val="4CC978E6"/>
    <w:rsid w:val="4CCD4E4F"/>
    <w:rsid w:val="4CD309C0"/>
    <w:rsid w:val="4CD32145"/>
    <w:rsid w:val="4CD57862"/>
    <w:rsid w:val="4CDD4471"/>
    <w:rsid w:val="4CE22A8B"/>
    <w:rsid w:val="4CE256CC"/>
    <w:rsid w:val="4CE302CA"/>
    <w:rsid w:val="4CE60066"/>
    <w:rsid w:val="4CE75DCD"/>
    <w:rsid w:val="4CF8435E"/>
    <w:rsid w:val="4D071BF7"/>
    <w:rsid w:val="4D165F36"/>
    <w:rsid w:val="4D23594F"/>
    <w:rsid w:val="4D2A347E"/>
    <w:rsid w:val="4D314D6C"/>
    <w:rsid w:val="4D316C7E"/>
    <w:rsid w:val="4D37508C"/>
    <w:rsid w:val="4D3A285F"/>
    <w:rsid w:val="4D4B146D"/>
    <w:rsid w:val="4D552CAB"/>
    <w:rsid w:val="4D6B7185"/>
    <w:rsid w:val="4D6C1FF5"/>
    <w:rsid w:val="4D72304F"/>
    <w:rsid w:val="4D7954B4"/>
    <w:rsid w:val="4D8978C0"/>
    <w:rsid w:val="4D9730CA"/>
    <w:rsid w:val="4DAA276C"/>
    <w:rsid w:val="4DAA2BBF"/>
    <w:rsid w:val="4DAB3F79"/>
    <w:rsid w:val="4DAB615D"/>
    <w:rsid w:val="4DAC7A6A"/>
    <w:rsid w:val="4DBE0623"/>
    <w:rsid w:val="4DC05E8F"/>
    <w:rsid w:val="4DC82BB3"/>
    <w:rsid w:val="4DCF28D0"/>
    <w:rsid w:val="4DD7110C"/>
    <w:rsid w:val="4DE60DBD"/>
    <w:rsid w:val="4DE6342A"/>
    <w:rsid w:val="4DE7715D"/>
    <w:rsid w:val="4DF8641D"/>
    <w:rsid w:val="4E070E2D"/>
    <w:rsid w:val="4E0B0FEF"/>
    <w:rsid w:val="4E0B7136"/>
    <w:rsid w:val="4E151B21"/>
    <w:rsid w:val="4E1946A4"/>
    <w:rsid w:val="4E4026EC"/>
    <w:rsid w:val="4E4240E8"/>
    <w:rsid w:val="4E491543"/>
    <w:rsid w:val="4E4E6B0A"/>
    <w:rsid w:val="4E4F76B3"/>
    <w:rsid w:val="4E560316"/>
    <w:rsid w:val="4E573CBF"/>
    <w:rsid w:val="4E596C05"/>
    <w:rsid w:val="4E733D35"/>
    <w:rsid w:val="4E734AF6"/>
    <w:rsid w:val="4E7F0708"/>
    <w:rsid w:val="4E856225"/>
    <w:rsid w:val="4E8D0725"/>
    <w:rsid w:val="4E973081"/>
    <w:rsid w:val="4E973A7D"/>
    <w:rsid w:val="4E9C1AD3"/>
    <w:rsid w:val="4E9C77C5"/>
    <w:rsid w:val="4E9D4F1F"/>
    <w:rsid w:val="4EA91FD9"/>
    <w:rsid w:val="4EBB0576"/>
    <w:rsid w:val="4ECA7784"/>
    <w:rsid w:val="4ECB1B03"/>
    <w:rsid w:val="4ED605CF"/>
    <w:rsid w:val="4ED61521"/>
    <w:rsid w:val="4ED858C2"/>
    <w:rsid w:val="4ED85A82"/>
    <w:rsid w:val="4EDD46A5"/>
    <w:rsid w:val="4EE16FAF"/>
    <w:rsid w:val="4EE77B1D"/>
    <w:rsid w:val="4EEC75A9"/>
    <w:rsid w:val="4EED7031"/>
    <w:rsid w:val="4EF217A5"/>
    <w:rsid w:val="4EFA1445"/>
    <w:rsid w:val="4EFC6664"/>
    <w:rsid w:val="4EFD142D"/>
    <w:rsid w:val="4EFE5F33"/>
    <w:rsid w:val="4F003BD4"/>
    <w:rsid w:val="4F037A2C"/>
    <w:rsid w:val="4F1A7E93"/>
    <w:rsid w:val="4F1B4086"/>
    <w:rsid w:val="4F1E75FB"/>
    <w:rsid w:val="4F295F47"/>
    <w:rsid w:val="4F396AC8"/>
    <w:rsid w:val="4F42634B"/>
    <w:rsid w:val="4F4329B0"/>
    <w:rsid w:val="4F440016"/>
    <w:rsid w:val="4F477154"/>
    <w:rsid w:val="4F4E6F09"/>
    <w:rsid w:val="4F587365"/>
    <w:rsid w:val="4F663926"/>
    <w:rsid w:val="4F73609E"/>
    <w:rsid w:val="4F795860"/>
    <w:rsid w:val="4F7A5AA9"/>
    <w:rsid w:val="4F92571F"/>
    <w:rsid w:val="4F93759C"/>
    <w:rsid w:val="4F9432C0"/>
    <w:rsid w:val="4F961B11"/>
    <w:rsid w:val="4F96748E"/>
    <w:rsid w:val="4F99037E"/>
    <w:rsid w:val="4F9D172E"/>
    <w:rsid w:val="4FA14805"/>
    <w:rsid w:val="4FAA292D"/>
    <w:rsid w:val="4FAB6F1E"/>
    <w:rsid w:val="4FB26D61"/>
    <w:rsid w:val="4FC47F49"/>
    <w:rsid w:val="4FCD2B79"/>
    <w:rsid w:val="4FD213F5"/>
    <w:rsid w:val="4FD95D31"/>
    <w:rsid w:val="4FF4271E"/>
    <w:rsid w:val="4FF5502D"/>
    <w:rsid w:val="4FF93E42"/>
    <w:rsid w:val="4FFA10CD"/>
    <w:rsid w:val="4FFB1085"/>
    <w:rsid w:val="5002022D"/>
    <w:rsid w:val="50065F5F"/>
    <w:rsid w:val="50093F9F"/>
    <w:rsid w:val="500C62BA"/>
    <w:rsid w:val="500D5F20"/>
    <w:rsid w:val="50172612"/>
    <w:rsid w:val="502139C3"/>
    <w:rsid w:val="50266D29"/>
    <w:rsid w:val="502C3728"/>
    <w:rsid w:val="503269DA"/>
    <w:rsid w:val="50386ED3"/>
    <w:rsid w:val="5048393B"/>
    <w:rsid w:val="504A30A0"/>
    <w:rsid w:val="50532F0A"/>
    <w:rsid w:val="505B6E5D"/>
    <w:rsid w:val="50627A88"/>
    <w:rsid w:val="506879E6"/>
    <w:rsid w:val="506A4783"/>
    <w:rsid w:val="506C4D74"/>
    <w:rsid w:val="507C3AE2"/>
    <w:rsid w:val="508912C7"/>
    <w:rsid w:val="5091187F"/>
    <w:rsid w:val="509473B9"/>
    <w:rsid w:val="509544C2"/>
    <w:rsid w:val="50AA1FE7"/>
    <w:rsid w:val="50AB0B18"/>
    <w:rsid w:val="50AD14D9"/>
    <w:rsid w:val="50B11450"/>
    <w:rsid w:val="50B726F3"/>
    <w:rsid w:val="50BC4C45"/>
    <w:rsid w:val="50C03A31"/>
    <w:rsid w:val="50C61290"/>
    <w:rsid w:val="50C85258"/>
    <w:rsid w:val="50CD3FB3"/>
    <w:rsid w:val="50D37296"/>
    <w:rsid w:val="50E56301"/>
    <w:rsid w:val="50FE7303"/>
    <w:rsid w:val="50FF27BD"/>
    <w:rsid w:val="510274E2"/>
    <w:rsid w:val="510A6A23"/>
    <w:rsid w:val="5112213D"/>
    <w:rsid w:val="51182B27"/>
    <w:rsid w:val="51183297"/>
    <w:rsid w:val="51196987"/>
    <w:rsid w:val="51211573"/>
    <w:rsid w:val="51232CB7"/>
    <w:rsid w:val="512418BF"/>
    <w:rsid w:val="512D0FB4"/>
    <w:rsid w:val="512E708F"/>
    <w:rsid w:val="512F627D"/>
    <w:rsid w:val="513654ED"/>
    <w:rsid w:val="51462AE4"/>
    <w:rsid w:val="51486912"/>
    <w:rsid w:val="51517A87"/>
    <w:rsid w:val="515279DE"/>
    <w:rsid w:val="515F087D"/>
    <w:rsid w:val="516658C2"/>
    <w:rsid w:val="51767A68"/>
    <w:rsid w:val="517701BE"/>
    <w:rsid w:val="51780A0E"/>
    <w:rsid w:val="51782209"/>
    <w:rsid w:val="518174EA"/>
    <w:rsid w:val="519B241E"/>
    <w:rsid w:val="51A41108"/>
    <w:rsid w:val="51A95FC7"/>
    <w:rsid w:val="51AD6112"/>
    <w:rsid w:val="51C63D78"/>
    <w:rsid w:val="51D02B90"/>
    <w:rsid w:val="51D312A7"/>
    <w:rsid w:val="51D375CA"/>
    <w:rsid w:val="51D773E0"/>
    <w:rsid w:val="51D90676"/>
    <w:rsid w:val="51D93F3B"/>
    <w:rsid w:val="51DA16F3"/>
    <w:rsid w:val="51E7242F"/>
    <w:rsid w:val="51EA191B"/>
    <w:rsid w:val="51ED36B1"/>
    <w:rsid w:val="51EE4140"/>
    <w:rsid w:val="51F57043"/>
    <w:rsid w:val="51F85C26"/>
    <w:rsid w:val="52085AB2"/>
    <w:rsid w:val="52087083"/>
    <w:rsid w:val="521342CF"/>
    <w:rsid w:val="52317158"/>
    <w:rsid w:val="523B76B5"/>
    <w:rsid w:val="523C05CA"/>
    <w:rsid w:val="523E6D6A"/>
    <w:rsid w:val="52400585"/>
    <w:rsid w:val="524549C5"/>
    <w:rsid w:val="524C68E7"/>
    <w:rsid w:val="5257296A"/>
    <w:rsid w:val="52780BC6"/>
    <w:rsid w:val="528734FA"/>
    <w:rsid w:val="52924C94"/>
    <w:rsid w:val="52937FDD"/>
    <w:rsid w:val="529D0EC3"/>
    <w:rsid w:val="52A00855"/>
    <w:rsid w:val="52A06F33"/>
    <w:rsid w:val="52A85A38"/>
    <w:rsid w:val="52A92284"/>
    <w:rsid w:val="52AA3EA0"/>
    <w:rsid w:val="52AD39FC"/>
    <w:rsid w:val="52B934A9"/>
    <w:rsid w:val="52BB625A"/>
    <w:rsid w:val="52BC1F59"/>
    <w:rsid w:val="52BC3CF8"/>
    <w:rsid w:val="52BC5756"/>
    <w:rsid w:val="52CC1831"/>
    <w:rsid w:val="52CF5999"/>
    <w:rsid w:val="52DE55A6"/>
    <w:rsid w:val="52E27C19"/>
    <w:rsid w:val="52F00693"/>
    <w:rsid w:val="52FC076F"/>
    <w:rsid w:val="530040C4"/>
    <w:rsid w:val="530D0396"/>
    <w:rsid w:val="5324380D"/>
    <w:rsid w:val="53334EF1"/>
    <w:rsid w:val="53396DB6"/>
    <w:rsid w:val="533D44E8"/>
    <w:rsid w:val="534071FA"/>
    <w:rsid w:val="53420E8E"/>
    <w:rsid w:val="5351296C"/>
    <w:rsid w:val="535F7525"/>
    <w:rsid w:val="53636569"/>
    <w:rsid w:val="537510CE"/>
    <w:rsid w:val="5378593B"/>
    <w:rsid w:val="53862F2F"/>
    <w:rsid w:val="53871DF8"/>
    <w:rsid w:val="538929ED"/>
    <w:rsid w:val="538D72A6"/>
    <w:rsid w:val="539B4C4D"/>
    <w:rsid w:val="539D141D"/>
    <w:rsid w:val="53A50718"/>
    <w:rsid w:val="53A81AFC"/>
    <w:rsid w:val="53B6414F"/>
    <w:rsid w:val="53C11960"/>
    <w:rsid w:val="53D24BB0"/>
    <w:rsid w:val="53D404A7"/>
    <w:rsid w:val="53DD1FC2"/>
    <w:rsid w:val="53DE7FE0"/>
    <w:rsid w:val="53E2122F"/>
    <w:rsid w:val="53E22A67"/>
    <w:rsid w:val="53F05AA0"/>
    <w:rsid w:val="53FC721A"/>
    <w:rsid w:val="54032734"/>
    <w:rsid w:val="541405F8"/>
    <w:rsid w:val="541442B9"/>
    <w:rsid w:val="541834A0"/>
    <w:rsid w:val="541C63FD"/>
    <w:rsid w:val="542B111B"/>
    <w:rsid w:val="5437395C"/>
    <w:rsid w:val="544943F5"/>
    <w:rsid w:val="54500B39"/>
    <w:rsid w:val="54586B92"/>
    <w:rsid w:val="545968AC"/>
    <w:rsid w:val="545D5AEA"/>
    <w:rsid w:val="545E3FB6"/>
    <w:rsid w:val="54717136"/>
    <w:rsid w:val="547619D9"/>
    <w:rsid w:val="547A36FD"/>
    <w:rsid w:val="548345F0"/>
    <w:rsid w:val="548B7FAF"/>
    <w:rsid w:val="548C7A62"/>
    <w:rsid w:val="549072DE"/>
    <w:rsid w:val="54A94E1D"/>
    <w:rsid w:val="54AB1E47"/>
    <w:rsid w:val="54AF14B3"/>
    <w:rsid w:val="54B503AF"/>
    <w:rsid w:val="54C93A11"/>
    <w:rsid w:val="54D0539B"/>
    <w:rsid w:val="54D61196"/>
    <w:rsid w:val="54E26853"/>
    <w:rsid w:val="54E76D8E"/>
    <w:rsid w:val="54F21613"/>
    <w:rsid w:val="550506DD"/>
    <w:rsid w:val="55182756"/>
    <w:rsid w:val="551C007E"/>
    <w:rsid w:val="55392885"/>
    <w:rsid w:val="553C5163"/>
    <w:rsid w:val="553E24A6"/>
    <w:rsid w:val="553E50E7"/>
    <w:rsid w:val="553E738C"/>
    <w:rsid w:val="5542273E"/>
    <w:rsid w:val="556A6FAB"/>
    <w:rsid w:val="556C4117"/>
    <w:rsid w:val="55707BE9"/>
    <w:rsid w:val="55770403"/>
    <w:rsid w:val="55790B40"/>
    <w:rsid w:val="557B6101"/>
    <w:rsid w:val="557D2D0A"/>
    <w:rsid w:val="557E38F3"/>
    <w:rsid w:val="558265D4"/>
    <w:rsid w:val="55880CD7"/>
    <w:rsid w:val="55A027C5"/>
    <w:rsid w:val="55A25BC5"/>
    <w:rsid w:val="55AA7E6F"/>
    <w:rsid w:val="55AE651D"/>
    <w:rsid w:val="55B243E1"/>
    <w:rsid w:val="55B85D67"/>
    <w:rsid w:val="55C76C80"/>
    <w:rsid w:val="55C80166"/>
    <w:rsid w:val="55CC28B5"/>
    <w:rsid w:val="55D2668A"/>
    <w:rsid w:val="55DC269C"/>
    <w:rsid w:val="55E0719B"/>
    <w:rsid w:val="55E23E2E"/>
    <w:rsid w:val="55EA0519"/>
    <w:rsid w:val="55F037CA"/>
    <w:rsid w:val="55F26EA6"/>
    <w:rsid w:val="55FD4C36"/>
    <w:rsid w:val="5600094F"/>
    <w:rsid w:val="5606036D"/>
    <w:rsid w:val="560E7746"/>
    <w:rsid w:val="5610701E"/>
    <w:rsid w:val="56164599"/>
    <w:rsid w:val="56196F37"/>
    <w:rsid w:val="561C6BD4"/>
    <w:rsid w:val="561E54D5"/>
    <w:rsid w:val="56247152"/>
    <w:rsid w:val="562B079E"/>
    <w:rsid w:val="56313003"/>
    <w:rsid w:val="563166EF"/>
    <w:rsid w:val="56320C9C"/>
    <w:rsid w:val="563640DC"/>
    <w:rsid w:val="56373C9F"/>
    <w:rsid w:val="5644121A"/>
    <w:rsid w:val="566F7303"/>
    <w:rsid w:val="56702448"/>
    <w:rsid w:val="56766B7D"/>
    <w:rsid w:val="567D59B5"/>
    <w:rsid w:val="56917A85"/>
    <w:rsid w:val="569366DC"/>
    <w:rsid w:val="56990BC0"/>
    <w:rsid w:val="56A8600C"/>
    <w:rsid w:val="56AE0228"/>
    <w:rsid w:val="56BC0B36"/>
    <w:rsid w:val="56BF3147"/>
    <w:rsid w:val="56C84210"/>
    <w:rsid w:val="56CB463D"/>
    <w:rsid w:val="56CC3FFA"/>
    <w:rsid w:val="56CF5541"/>
    <w:rsid w:val="56D4683B"/>
    <w:rsid w:val="56DD73D4"/>
    <w:rsid w:val="56E261C5"/>
    <w:rsid w:val="56E53ADD"/>
    <w:rsid w:val="56F42A27"/>
    <w:rsid w:val="56F812D0"/>
    <w:rsid w:val="56FA29F7"/>
    <w:rsid w:val="56FE12A8"/>
    <w:rsid w:val="56FF20C1"/>
    <w:rsid w:val="57074BBB"/>
    <w:rsid w:val="57126548"/>
    <w:rsid w:val="57226D83"/>
    <w:rsid w:val="572A60B5"/>
    <w:rsid w:val="572C62BD"/>
    <w:rsid w:val="572C65B2"/>
    <w:rsid w:val="573634D1"/>
    <w:rsid w:val="574201D6"/>
    <w:rsid w:val="57507D7F"/>
    <w:rsid w:val="575D609D"/>
    <w:rsid w:val="576710A5"/>
    <w:rsid w:val="57671982"/>
    <w:rsid w:val="57682376"/>
    <w:rsid w:val="57760202"/>
    <w:rsid w:val="57773EAC"/>
    <w:rsid w:val="57787E3F"/>
    <w:rsid w:val="57826ACE"/>
    <w:rsid w:val="57842E68"/>
    <w:rsid w:val="579B303D"/>
    <w:rsid w:val="579D4ECA"/>
    <w:rsid w:val="57A00758"/>
    <w:rsid w:val="57A54869"/>
    <w:rsid w:val="57A87F69"/>
    <w:rsid w:val="57B649B6"/>
    <w:rsid w:val="57B84423"/>
    <w:rsid w:val="57C530BB"/>
    <w:rsid w:val="57C92822"/>
    <w:rsid w:val="57CB365D"/>
    <w:rsid w:val="57CC237B"/>
    <w:rsid w:val="57DF2BD7"/>
    <w:rsid w:val="57EB392A"/>
    <w:rsid w:val="57F069C0"/>
    <w:rsid w:val="57F14CEC"/>
    <w:rsid w:val="57F379F8"/>
    <w:rsid w:val="5819046F"/>
    <w:rsid w:val="581D5110"/>
    <w:rsid w:val="582E3613"/>
    <w:rsid w:val="58346F0B"/>
    <w:rsid w:val="5839780A"/>
    <w:rsid w:val="5846242B"/>
    <w:rsid w:val="58485D82"/>
    <w:rsid w:val="58496887"/>
    <w:rsid w:val="58556EBD"/>
    <w:rsid w:val="5859624D"/>
    <w:rsid w:val="585B7828"/>
    <w:rsid w:val="58684CF0"/>
    <w:rsid w:val="586D5013"/>
    <w:rsid w:val="587C7467"/>
    <w:rsid w:val="58873313"/>
    <w:rsid w:val="588D0E7E"/>
    <w:rsid w:val="58994775"/>
    <w:rsid w:val="589F6E42"/>
    <w:rsid w:val="589F70B2"/>
    <w:rsid w:val="58AB0DA9"/>
    <w:rsid w:val="58B47EDA"/>
    <w:rsid w:val="58C55C5D"/>
    <w:rsid w:val="58CB2E6A"/>
    <w:rsid w:val="58CC341C"/>
    <w:rsid w:val="58CF5280"/>
    <w:rsid w:val="58DC08AA"/>
    <w:rsid w:val="58DD5F60"/>
    <w:rsid w:val="58E95697"/>
    <w:rsid w:val="58EB43B5"/>
    <w:rsid w:val="58F12C62"/>
    <w:rsid w:val="58F515B6"/>
    <w:rsid w:val="58F90512"/>
    <w:rsid w:val="59022451"/>
    <w:rsid w:val="59057985"/>
    <w:rsid w:val="590A0751"/>
    <w:rsid w:val="590F08E0"/>
    <w:rsid w:val="59197627"/>
    <w:rsid w:val="591C6B52"/>
    <w:rsid w:val="591D4164"/>
    <w:rsid w:val="59206A4A"/>
    <w:rsid w:val="592D1DD3"/>
    <w:rsid w:val="593A1692"/>
    <w:rsid w:val="593F4A88"/>
    <w:rsid w:val="59452B34"/>
    <w:rsid w:val="594E2824"/>
    <w:rsid w:val="595D1C9F"/>
    <w:rsid w:val="595D717C"/>
    <w:rsid w:val="59642394"/>
    <w:rsid w:val="59646F3E"/>
    <w:rsid w:val="596503D2"/>
    <w:rsid w:val="59677DB0"/>
    <w:rsid w:val="59715647"/>
    <w:rsid w:val="59721C12"/>
    <w:rsid w:val="597D5E0D"/>
    <w:rsid w:val="59884397"/>
    <w:rsid w:val="59940356"/>
    <w:rsid w:val="59A92638"/>
    <w:rsid w:val="59BF095C"/>
    <w:rsid w:val="59C63380"/>
    <w:rsid w:val="59CD62E5"/>
    <w:rsid w:val="59E735E1"/>
    <w:rsid w:val="59ED7AA2"/>
    <w:rsid w:val="59F1228D"/>
    <w:rsid w:val="59F8330C"/>
    <w:rsid w:val="59FA4EB3"/>
    <w:rsid w:val="5A142DFB"/>
    <w:rsid w:val="5A170848"/>
    <w:rsid w:val="5A1A7DA9"/>
    <w:rsid w:val="5A1E005E"/>
    <w:rsid w:val="5A1F5CD3"/>
    <w:rsid w:val="5A211CD9"/>
    <w:rsid w:val="5A321DEF"/>
    <w:rsid w:val="5A3805DA"/>
    <w:rsid w:val="5A3E79A1"/>
    <w:rsid w:val="5A3F472A"/>
    <w:rsid w:val="5A435F53"/>
    <w:rsid w:val="5A436E3A"/>
    <w:rsid w:val="5A465213"/>
    <w:rsid w:val="5A474FC8"/>
    <w:rsid w:val="5A5632E7"/>
    <w:rsid w:val="5A574288"/>
    <w:rsid w:val="5A59761F"/>
    <w:rsid w:val="5A656D11"/>
    <w:rsid w:val="5A6B6BE4"/>
    <w:rsid w:val="5A6F601C"/>
    <w:rsid w:val="5A70066B"/>
    <w:rsid w:val="5A71409C"/>
    <w:rsid w:val="5A7150CE"/>
    <w:rsid w:val="5A73446D"/>
    <w:rsid w:val="5A7641D8"/>
    <w:rsid w:val="5A771049"/>
    <w:rsid w:val="5A7D2825"/>
    <w:rsid w:val="5A7E5881"/>
    <w:rsid w:val="5A8666B9"/>
    <w:rsid w:val="5A8D5C24"/>
    <w:rsid w:val="5A92317B"/>
    <w:rsid w:val="5A987D39"/>
    <w:rsid w:val="5AA15369"/>
    <w:rsid w:val="5AAD1409"/>
    <w:rsid w:val="5AC61D7F"/>
    <w:rsid w:val="5ADF0F42"/>
    <w:rsid w:val="5AE30BC3"/>
    <w:rsid w:val="5AF16EA8"/>
    <w:rsid w:val="5AF711CF"/>
    <w:rsid w:val="5AFC3E4B"/>
    <w:rsid w:val="5B010355"/>
    <w:rsid w:val="5B04709E"/>
    <w:rsid w:val="5B0C506A"/>
    <w:rsid w:val="5B107DF0"/>
    <w:rsid w:val="5B1346D3"/>
    <w:rsid w:val="5B1B1C0A"/>
    <w:rsid w:val="5B1E7732"/>
    <w:rsid w:val="5B2A7DBF"/>
    <w:rsid w:val="5B314AD1"/>
    <w:rsid w:val="5B332559"/>
    <w:rsid w:val="5B337089"/>
    <w:rsid w:val="5B3709D3"/>
    <w:rsid w:val="5B3A35B1"/>
    <w:rsid w:val="5B3A678C"/>
    <w:rsid w:val="5B436E37"/>
    <w:rsid w:val="5B443238"/>
    <w:rsid w:val="5B45442D"/>
    <w:rsid w:val="5B491BF0"/>
    <w:rsid w:val="5B4C6FCF"/>
    <w:rsid w:val="5B5148BB"/>
    <w:rsid w:val="5B5455D4"/>
    <w:rsid w:val="5B575ABF"/>
    <w:rsid w:val="5B5C3305"/>
    <w:rsid w:val="5B5E0577"/>
    <w:rsid w:val="5B6148ED"/>
    <w:rsid w:val="5B711398"/>
    <w:rsid w:val="5B824533"/>
    <w:rsid w:val="5B84085D"/>
    <w:rsid w:val="5B9019B4"/>
    <w:rsid w:val="5B9C334D"/>
    <w:rsid w:val="5BAA11FA"/>
    <w:rsid w:val="5BC3574B"/>
    <w:rsid w:val="5BC67B3B"/>
    <w:rsid w:val="5BC93F38"/>
    <w:rsid w:val="5BCE082E"/>
    <w:rsid w:val="5BD859D2"/>
    <w:rsid w:val="5BE4383C"/>
    <w:rsid w:val="5BED39E7"/>
    <w:rsid w:val="5BEF03FB"/>
    <w:rsid w:val="5BF4359C"/>
    <w:rsid w:val="5BF81C13"/>
    <w:rsid w:val="5BFA215F"/>
    <w:rsid w:val="5BFE16A2"/>
    <w:rsid w:val="5C152F54"/>
    <w:rsid w:val="5C1826BE"/>
    <w:rsid w:val="5C1F2089"/>
    <w:rsid w:val="5C233BA0"/>
    <w:rsid w:val="5C291E73"/>
    <w:rsid w:val="5C2A7B91"/>
    <w:rsid w:val="5C2E4EC8"/>
    <w:rsid w:val="5C3476A0"/>
    <w:rsid w:val="5C3F3303"/>
    <w:rsid w:val="5C485430"/>
    <w:rsid w:val="5C575430"/>
    <w:rsid w:val="5C5D1A81"/>
    <w:rsid w:val="5C630B64"/>
    <w:rsid w:val="5C6B4BD3"/>
    <w:rsid w:val="5C730E0B"/>
    <w:rsid w:val="5C7322D0"/>
    <w:rsid w:val="5C7851BF"/>
    <w:rsid w:val="5C8A312C"/>
    <w:rsid w:val="5C8E1E58"/>
    <w:rsid w:val="5C92178E"/>
    <w:rsid w:val="5C98548B"/>
    <w:rsid w:val="5C994C07"/>
    <w:rsid w:val="5C9D39E5"/>
    <w:rsid w:val="5C9D6635"/>
    <w:rsid w:val="5CA32729"/>
    <w:rsid w:val="5CAE5D92"/>
    <w:rsid w:val="5CAF61CA"/>
    <w:rsid w:val="5CB716AA"/>
    <w:rsid w:val="5CBB4E00"/>
    <w:rsid w:val="5CC1127A"/>
    <w:rsid w:val="5CD60D36"/>
    <w:rsid w:val="5CDA6200"/>
    <w:rsid w:val="5CDD3778"/>
    <w:rsid w:val="5CE16A1C"/>
    <w:rsid w:val="5CE274B2"/>
    <w:rsid w:val="5D0333E9"/>
    <w:rsid w:val="5D0C493D"/>
    <w:rsid w:val="5D102499"/>
    <w:rsid w:val="5D225069"/>
    <w:rsid w:val="5D245903"/>
    <w:rsid w:val="5D296D22"/>
    <w:rsid w:val="5D2F6915"/>
    <w:rsid w:val="5D4E4C37"/>
    <w:rsid w:val="5D562286"/>
    <w:rsid w:val="5D5A2884"/>
    <w:rsid w:val="5D5B7B5C"/>
    <w:rsid w:val="5D5F16C2"/>
    <w:rsid w:val="5D6D7162"/>
    <w:rsid w:val="5D711B34"/>
    <w:rsid w:val="5D886C29"/>
    <w:rsid w:val="5D8904C9"/>
    <w:rsid w:val="5D8A5CE4"/>
    <w:rsid w:val="5D9309B1"/>
    <w:rsid w:val="5D954F59"/>
    <w:rsid w:val="5D9779E4"/>
    <w:rsid w:val="5D9D4B8D"/>
    <w:rsid w:val="5D9E1B5A"/>
    <w:rsid w:val="5DB52F1E"/>
    <w:rsid w:val="5DBC4DA3"/>
    <w:rsid w:val="5DC04123"/>
    <w:rsid w:val="5DC65A6E"/>
    <w:rsid w:val="5DC819B3"/>
    <w:rsid w:val="5DCD6010"/>
    <w:rsid w:val="5DD22A04"/>
    <w:rsid w:val="5DD56FFF"/>
    <w:rsid w:val="5DE556C1"/>
    <w:rsid w:val="5DE75B94"/>
    <w:rsid w:val="5DF01B29"/>
    <w:rsid w:val="5DF97830"/>
    <w:rsid w:val="5E0667F9"/>
    <w:rsid w:val="5E073A73"/>
    <w:rsid w:val="5E24370F"/>
    <w:rsid w:val="5E2D6F7C"/>
    <w:rsid w:val="5E3109B3"/>
    <w:rsid w:val="5E4A49D5"/>
    <w:rsid w:val="5E58130F"/>
    <w:rsid w:val="5E5E4CE1"/>
    <w:rsid w:val="5E667850"/>
    <w:rsid w:val="5E7132C4"/>
    <w:rsid w:val="5E72380D"/>
    <w:rsid w:val="5E734429"/>
    <w:rsid w:val="5E7E0CDA"/>
    <w:rsid w:val="5E84221D"/>
    <w:rsid w:val="5E873BCA"/>
    <w:rsid w:val="5E956D48"/>
    <w:rsid w:val="5EA45311"/>
    <w:rsid w:val="5EB02900"/>
    <w:rsid w:val="5EC87FB9"/>
    <w:rsid w:val="5EC93B04"/>
    <w:rsid w:val="5EC951F8"/>
    <w:rsid w:val="5ECD1C19"/>
    <w:rsid w:val="5ED074C0"/>
    <w:rsid w:val="5ED51852"/>
    <w:rsid w:val="5ED76634"/>
    <w:rsid w:val="5ED95250"/>
    <w:rsid w:val="5ED972FA"/>
    <w:rsid w:val="5EE00A79"/>
    <w:rsid w:val="5EE2415E"/>
    <w:rsid w:val="5EE51B4D"/>
    <w:rsid w:val="5EE62ECA"/>
    <w:rsid w:val="5EE65164"/>
    <w:rsid w:val="5EEC0795"/>
    <w:rsid w:val="5EEC3D66"/>
    <w:rsid w:val="5EF532CA"/>
    <w:rsid w:val="5EF629B4"/>
    <w:rsid w:val="5EF902EC"/>
    <w:rsid w:val="5EFB59BB"/>
    <w:rsid w:val="5F051E2C"/>
    <w:rsid w:val="5F09024A"/>
    <w:rsid w:val="5F104A51"/>
    <w:rsid w:val="5F114A1A"/>
    <w:rsid w:val="5F123535"/>
    <w:rsid w:val="5F1607A6"/>
    <w:rsid w:val="5F163C49"/>
    <w:rsid w:val="5F1A278E"/>
    <w:rsid w:val="5F254089"/>
    <w:rsid w:val="5F2A0EA9"/>
    <w:rsid w:val="5F330A32"/>
    <w:rsid w:val="5F3B63EF"/>
    <w:rsid w:val="5F5563B8"/>
    <w:rsid w:val="5F560534"/>
    <w:rsid w:val="5F564F6E"/>
    <w:rsid w:val="5F572682"/>
    <w:rsid w:val="5F573871"/>
    <w:rsid w:val="5F6D780C"/>
    <w:rsid w:val="5F773632"/>
    <w:rsid w:val="5F7B34DA"/>
    <w:rsid w:val="5F822D57"/>
    <w:rsid w:val="5F85275F"/>
    <w:rsid w:val="5FA47A49"/>
    <w:rsid w:val="5FA82207"/>
    <w:rsid w:val="5FAB068A"/>
    <w:rsid w:val="5FAF76EA"/>
    <w:rsid w:val="5FB3752F"/>
    <w:rsid w:val="5FBB4BD3"/>
    <w:rsid w:val="5FC70AC8"/>
    <w:rsid w:val="5FC81C6C"/>
    <w:rsid w:val="5FCA517F"/>
    <w:rsid w:val="5FCC1C22"/>
    <w:rsid w:val="5FCC72D2"/>
    <w:rsid w:val="5FD42713"/>
    <w:rsid w:val="5FDD2B2F"/>
    <w:rsid w:val="5FE44A8E"/>
    <w:rsid w:val="5FEA1EE9"/>
    <w:rsid w:val="5FEB0F56"/>
    <w:rsid w:val="5FED464D"/>
    <w:rsid w:val="5FEF619A"/>
    <w:rsid w:val="5FFB4E52"/>
    <w:rsid w:val="5FFB56E1"/>
    <w:rsid w:val="60055466"/>
    <w:rsid w:val="600F1C95"/>
    <w:rsid w:val="60264825"/>
    <w:rsid w:val="60276490"/>
    <w:rsid w:val="602C0093"/>
    <w:rsid w:val="604D281F"/>
    <w:rsid w:val="6058306D"/>
    <w:rsid w:val="605A381A"/>
    <w:rsid w:val="60614CF0"/>
    <w:rsid w:val="606273DB"/>
    <w:rsid w:val="60792D30"/>
    <w:rsid w:val="607B44C5"/>
    <w:rsid w:val="6085510D"/>
    <w:rsid w:val="6090583F"/>
    <w:rsid w:val="60937726"/>
    <w:rsid w:val="60995BC2"/>
    <w:rsid w:val="60A17EB7"/>
    <w:rsid w:val="60BB2AFE"/>
    <w:rsid w:val="60BD137B"/>
    <w:rsid w:val="60C047A0"/>
    <w:rsid w:val="60C4649A"/>
    <w:rsid w:val="60CA0A6F"/>
    <w:rsid w:val="60CF2578"/>
    <w:rsid w:val="60D32293"/>
    <w:rsid w:val="60D3789F"/>
    <w:rsid w:val="60DB5B33"/>
    <w:rsid w:val="60DD1945"/>
    <w:rsid w:val="60E6459C"/>
    <w:rsid w:val="60EF0307"/>
    <w:rsid w:val="60F33472"/>
    <w:rsid w:val="60FC24FC"/>
    <w:rsid w:val="60FC74EA"/>
    <w:rsid w:val="60FC77BF"/>
    <w:rsid w:val="6102581D"/>
    <w:rsid w:val="61087654"/>
    <w:rsid w:val="6109146B"/>
    <w:rsid w:val="61116712"/>
    <w:rsid w:val="61190772"/>
    <w:rsid w:val="61222377"/>
    <w:rsid w:val="61241197"/>
    <w:rsid w:val="61293B9E"/>
    <w:rsid w:val="612941BE"/>
    <w:rsid w:val="612A3037"/>
    <w:rsid w:val="612D0282"/>
    <w:rsid w:val="612E4453"/>
    <w:rsid w:val="61375DDD"/>
    <w:rsid w:val="613C6020"/>
    <w:rsid w:val="61416067"/>
    <w:rsid w:val="61465EDC"/>
    <w:rsid w:val="61542096"/>
    <w:rsid w:val="61571075"/>
    <w:rsid w:val="6161412E"/>
    <w:rsid w:val="61632A9C"/>
    <w:rsid w:val="616F160B"/>
    <w:rsid w:val="617234CA"/>
    <w:rsid w:val="61783E71"/>
    <w:rsid w:val="617B1CFC"/>
    <w:rsid w:val="61885E4C"/>
    <w:rsid w:val="61931220"/>
    <w:rsid w:val="61933001"/>
    <w:rsid w:val="619F001F"/>
    <w:rsid w:val="619F5E80"/>
    <w:rsid w:val="61B45FA6"/>
    <w:rsid w:val="61B75ACD"/>
    <w:rsid w:val="61BF65CE"/>
    <w:rsid w:val="61C178B2"/>
    <w:rsid w:val="61C310A4"/>
    <w:rsid w:val="61CC0056"/>
    <w:rsid w:val="61DC1750"/>
    <w:rsid w:val="61E35036"/>
    <w:rsid w:val="61E44D2B"/>
    <w:rsid w:val="61F14B55"/>
    <w:rsid w:val="61FD3A25"/>
    <w:rsid w:val="61FF4A32"/>
    <w:rsid w:val="6207630B"/>
    <w:rsid w:val="620B312D"/>
    <w:rsid w:val="620E02C8"/>
    <w:rsid w:val="621B3D6F"/>
    <w:rsid w:val="62242768"/>
    <w:rsid w:val="62281F67"/>
    <w:rsid w:val="62463DA4"/>
    <w:rsid w:val="62493FC4"/>
    <w:rsid w:val="6249733F"/>
    <w:rsid w:val="624C6E17"/>
    <w:rsid w:val="62590840"/>
    <w:rsid w:val="626B256C"/>
    <w:rsid w:val="626C705E"/>
    <w:rsid w:val="626D1D8F"/>
    <w:rsid w:val="626D719E"/>
    <w:rsid w:val="62700B3B"/>
    <w:rsid w:val="62796D3C"/>
    <w:rsid w:val="627A1372"/>
    <w:rsid w:val="62830C49"/>
    <w:rsid w:val="628673DF"/>
    <w:rsid w:val="628F6237"/>
    <w:rsid w:val="6294595C"/>
    <w:rsid w:val="62966B81"/>
    <w:rsid w:val="629868FA"/>
    <w:rsid w:val="629D13F4"/>
    <w:rsid w:val="629D3C77"/>
    <w:rsid w:val="62AB0B1B"/>
    <w:rsid w:val="62B14227"/>
    <w:rsid w:val="62B90269"/>
    <w:rsid w:val="62BD3611"/>
    <w:rsid w:val="62BD7406"/>
    <w:rsid w:val="62C34480"/>
    <w:rsid w:val="62C81238"/>
    <w:rsid w:val="62CC580E"/>
    <w:rsid w:val="62D018AA"/>
    <w:rsid w:val="62D159E8"/>
    <w:rsid w:val="62D57A37"/>
    <w:rsid w:val="62D95680"/>
    <w:rsid w:val="62E81B3C"/>
    <w:rsid w:val="62F02D00"/>
    <w:rsid w:val="62FB7142"/>
    <w:rsid w:val="62FC5650"/>
    <w:rsid w:val="630262E2"/>
    <w:rsid w:val="63054FCC"/>
    <w:rsid w:val="63057774"/>
    <w:rsid w:val="630E3198"/>
    <w:rsid w:val="63135E52"/>
    <w:rsid w:val="631E344E"/>
    <w:rsid w:val="631F1AB7"/>
    <w:rsid w:val="632A1C3B"/>
    <w:rsid w:val="632F76DA"/>
    <w:rsid w:val="63307D8D"/>
    <w:rsid w:val="63350785"/>
    <w:rsid w:val="63425BA1"/>
    <w:rsid w:val="63520205"/>
    <w:rsid w:val="63597EEB"/>
    <w:rsid w:val="636439C6"/>
    <w:rsid w:val="636A0038"/>
    <w:rsid w:val="636A25B2"/>
    <w:rsid w:val="636A394B"/>
    <w:rsid w:val="6370437A"/>
    <w:rsid w:val="637068AF"/>
    <w:rsid w:val="63710C9F"/>
    <w:rsid w:val="63766EC3"/>
    <w:rsid w:val="63836130"/>
    <w:rsid w:val="639009A3"/>
    <w:rsid w:val="639F700B"/>
    <w:rsid w:val="63A43394"/>
    <w:rsid w:val="63A445FE"/>
    <w:rsid w:val="63A7028E"/>
    <w:rsid w:val="63A806A1"/>
    <w:rsid w:val="63AA43B1"/>
    <w:rsid w:val="63BC4CC1"/>
    <w:rsid w:val="63BF19A4"/>
    <w:rsid w:val="63C0681D"/>
    <w:rsid w:val="63C66713"/>
    <w:rsid w:val="63CD1692"/>
    <w:rsid w:val="63D53FE8"/>
    <w:rsid w:val="63E20A0B"/>
    <w:rsid w:val="63E412CC"/>
    <w:rsid w:val="63ED26A1"/>
    <w:rsid w:val="63F85AF6"/>
    <w:rsid w:val="64050FE7"/>
    <w:rsid w:val="6408733A"/>
    <w:rsid w:val="640B4BB9"/>
    <w:rsid w:val="640C61F2"/>
    <w:rsid w:val="641865F7"/>
    <w:rsid w:val="64225C2B"/>
    <w:rsid w:val="642400F1"/>
    <w:rsid w:val="642B5861"/>
    <w:rsid w:val="645A0CFC"/>
    <w:rsid w:val="645E0F88"/>
    <w:rsid w:val="645E70CD"/>
    <w:rsid w:val="6470646F"/>
    <w:rsid w:val="64756CA1"/>
    <w:rsid w:val="647902B4"/>
    <w:rsid w:val="647F0C42"/>
    <w:rsid w:val="64820BD3"/>
    <w:rsid w:val="649412B1"/>
    <w:rsid w:val="64944CBE"/>
    <w:rsid w:val="64954072"/>
    <w:rsid w:val="649B43F2"/>
    <w:rsid w:val="649F3596"/>
    <w:rsid w:val="649F39E9"/>
    <w:rsid w:val="64A40A41"/>
    <w:rsid w:val="64A63F6C"/>
    <w:rsid w:val="64AA78DD"/>
    <w:rsid w:val="64AE1715"/>
    <w:rsid w:val="64C03BDB"/>
    <w:rsid w:val="64C2015F"/>
    <w:rsid w:val="64C83671"/>
    <w:rsid w:val="64EC4B15"/>
    <w:rsid w:val="64EF6A1C"/>
    <w:rsid w:val="64FA7E2B"/>
    <w:rsid w:val="650E2766"/>
    <w:rsid w:val="650E564F"/>
    <w:rsid w:val="650F3192"/>
    <w:rsid w:val="651428B4"/>
    <w:rsid w:val="65162A17"/>
    <w:rsid w:val="65257364"/>
    <w:rsid w:val="65262C1E"/>
    <w:rsid w:val="652873E4"/>
    <w:rsid w:val="652A7F1F"/>
    <w:rsid w:val="65383491"/>
    <w:rsid w:val="65802D70"/>
    <w:rsid w:val="658D6B50"/>
    <w:rsid w:val="65911571"/>
    <w:rsid w:val="65A04084"/>
    <w:rsid w:val="65A24E57"/>
    <w:rsid w:val="65A576EF"/>
    <w:rsid w:val="65A87A77"/>
    <w:rsid w:val="65AE191C"/>
    <w:rsid w:val="65B5182F"/>
    <w:rsid w:val="65B60D40"/>
    <w:rsid w:val="65C609A3"/>
    <w:rsid w:val="65CA1C2C"/>
    <w:rsid w:val="65D002E1"/>
    <w:rsid w:val="65D05C9D"/>
    <w:rsid w:val="65D925DE"/>
    <w:rsid w:val="65DC011C"/>
    <w:rsid w:val="65DE718E"/>
    <w:rsid w:val="65DF4B41"/>
    <w:rsid w:val="65E2138C"/>
    <w:rsid w:val="65E24F41"/>
    <w:rsid w:val="65E55AF2"/>
    <w:rsid w:val="65E57F12"/>
    <w:rsid w:val="65EB155E"/>
    <w:rsid w:val="65F16503"/>
    <w:rsid w:val="65F75899"/>
    <w:rsid w:val="65FD11D4"/>
    <w:rsid w:val="65FE434C"/>
    <w:rsid w:val="66053E73"/>
    <w:rsid w:val="660D4BBE"/>
    <w:rsid w:val="66113B73"/>
    <w:rsid w:val="66301728"/>
    <w:rsid w:val="66310526"/>
    <w:rsid w:val="66370584"/>
    <w:rsid w:val="663D280E"/>
    <w:rsid w:val="663F22C5"/>
    <w:rsid w:val="665418B6"/>
    <w:rsid w:val="6659589D"/>
    <w:rsid w:val="665F4478"/>
    <w:rsid w:val="66622C6F"/>
    <w:rsid w:val="666637B8"/>
    <w:rsid w:val="666B405E"/>
    <w:rsid w:val="667906A0"/>
    <w:rsid w:val="66817E3F"/>
    <w:rsid w:val="668332FD"/>
    <w:rsid w:val="66851585"/>
    <w:rsid w:val="668777EF"/>
    <w:rsid w:val="668A741B"/>
    <w:rsid w:val="668E6E08"/>
    <w:rsid w:val="668F3FE9"/>
    <w:rsid w:val="669A4683"/>
    <w:rsid w:val="669C1404"/>
    <w:rsid w:val="669D3C0E"/>
    <w:rsid w:val="66BD0C0B"/>
    <w:rsid w:val="66C07B0E"/>
    <w:rsid w:val="66CD14AA"/>
    <w:rsid w:val="66D113EE"/>
    <w:rsid w:val="66D6094F"/>
    <w:rsid w:val="66E65AF1"/>
    <w:rsid w:val="66E6795F"/>
    <w:rsid w:val="66EA7BE5"/>
    <w:rsid w:val="66EE0166"/>
    <w:rsid w:val="66F20AE0"/>
    <w:rsid w:val="670D5516"/>
    <w:rsid w:val="670F323C"/>
    <w:rsid w:val="67131ED7"/>
    <w:rsid w:val="671600A0"/>
    <w:rsid w:val="671D5451"/>
    <w:rsid w:val="672B48D4"/>
    <w:rsid w:val="67345852"/>
    <w:rsid w:val="67351E4E"/>
    <w:rsid w:val="67383656"/>
    <w:rsid w:val="673A7802"/>
    <w:rsid w:val="674E51A2"/>
    <w:rsid w:val="6756473D"/>
    <w:rsid w:val="676F51F1"/>
    <w:rsid w:val="678022EC"/>
    <w:rsid w:val="678500B2"/>
    <w:rsid w:val="678866B3"/>
    <w:rsid w:val="67886DAD"/>
    <w:rsid w:val="67934C67"/>
    <w:rsid w:val="67BB1A06"/>
    <w:rsid w:val="67C43F2B"/>
    <w:rsid w:val="67C66102"/>
    <w:rsid w:val="67C6630A"/>
    <w:rsid w:val="67C8188B"/>
    <w:rsid w:val="67CB2D4F"/>
    <w:rsid w:val="67EA0191"/>
    <w:rsid w:val="67FF3BA3"/>
    <w:rsid w:val="680066DE"/>
    <w:rsid w:val="68063CF7"/>
    <w:rsid w:val="680965A8"/>
    <w:rsid w:val="681740A3"/>
    <w:rsid w:val="681E7C5D"/>
    <w:rsid w:val="68220402"/>
    <w:rsid w:val="68274BA2"/>
    <w:rsid w:val="682B11E0"/>
    <w:rsid w:val="68445E0D"/>
    <w:rsid w:val="68451F57"/>
    <w:rsid w:val="68490F0E"/>
    <w:rsid w:val="684B56AE"/>
    <w:rsid w:val="684F421C"/>
    <w:rsid w:val="685279FD"/>
    <w:rsid w:val="68535A8A"/>
    <w:rsid w:val="686F327D"/>
    <w:rsid w:val="68727919"/>
    <w:rsid w:val="687611A7"/>
    <w:rsid w:val="687841F8"/>
    <w:rsid w:val="687E13CD"/>
    <w:rsid w:val="687F0360"/>
    <w:rsid w:val="687F6140"/>
    <w:rsid w:val="68812E18"/>
    <w:rsid w:val="688959BD"/>
    <w:rsid w:val="6891260E"/>
    <w:rsid w:val="6893639F"/>
    <w:rsid w:val="6897659E"/>
    <w:rsid w:val="689F588B"/>
    <w:rsid w:val="68A26451"/>
    <w:rsid w:val="68A40CC5"/>
    <w:rsid w:val="68B35FA0"/>
    <w:rsid w:val="68B45B60"/>
    <w:rsid w:val="68B51258"/>
    <w:rsid w:val="68D03A5F"/>
    <w:rsid w:val="68DE247D"/>
    <w:rsid w:val="68E02075"/>
    <w:rsid w:val="68E76B21"/>
    <w:rsid w:val="68EC1A36"/>
    <w:rsid w:val="690D54B6"/>
    <w:rsid w:val="690F3615"/>
    <w:rsid w:val="6913217E"/>
    <w:rsid w:val="691E20BA"/>
    <w:rsid w:val="691F020B"/>
    <w:rsid w:val="69211D85"/>
    <w:rsid w:val="69314CE0"/>
    <w:rsid w:val="69356EF6"/>
    <w:rsid w:val="693B2538"/>
    <w:rsid w:val="69476F8F"/>
    <w:rsid w:val="694B3E2A"/>
    <w:rsid w:val="696117D7"/>
    <w:rsid w:val="69621203"/>
    <w:rsid w:val="69692F8F"/>
    <w:rsid w:val="696C3B4C"/>
    <w:rsid w:val="696D6E31"/>
    <w:rsid w:val="697218D6"/>
    <w:rsid w:val="6977340D"/>
    <w:rsid w:val="6979131C"/>
    <w:rsid w:val="697A6EEC"/>
    <w:rsid w:val="69812BEC"/>
    <w:rsid w:val="69812C63"/>
    <w:rsid w:val="69AA146A"/>
    <w:rsid w:val="69AE4E70"/>
    <w:rsid w:val="69B32D92"/>
    <w:rsid w:val="69B35E8C"/>
    <w:rsid w:val="69C54119"/>
    <w:rsid w:val="69CA7DD7"/>
    <w:rsid w:val="69CB0D07"/>
    <w:rsid w:val="69CE64B4"/>
    <w:rsid w:val="69DD639C"/>
    <w:rsid w:val="69E61A91"/>
    <w:rsid w:val="69FA78E7"/>
    <w:rsid w:val="6A0A55A9"/>
    <w:rsid w:val="6A0D3ADE"/>
    <w:rsid w:val="6A11049F"/>
    <w:rsid w:val="6A152E14"/>
    <w:rsid w:val="6A1D3AC0"/>
    <w:rsid w:val="6A267F93"/>
    <w:rsid w:val="6A273C0C"/>
    <w:rsid w:val="6A2C20A6"/>
    <w:rsid w:val="6A356BD7"/>
    <w:rsid w:val="6A423EBF"/>
    <w:rsid w:val="6A49178A"/>
    <w:rsid w:val="6A506ACE"/>
    <w:rsid w:val="6A521EC8"/>
    <w:rsid w:val="6A52207E"/>
    <w:rsid w:val="6A552561"/>
    <w:rsid w:val="6A5677D1"/>
    <w:rsid w:val="6A572B5A"/>
    <w:rsid w:val="6A5827B1"/>
    <w:rsid w:val="6A5B61CD"/>
    <w:rsid w:val="6A6B2CEC"/>
    <w:rsid w:val="6A7933CB"/>
    <w:rsid w:val="6A816FC5"/>
    <w:rsid w:val="6A902771"/>
    <w:rsid w:val="6A93572E"/>
    <w:rsid w:val="6A9B751A"/>
    <w:rsid w:val="6AA0481A"/>
    <w:rsid w:val="6AA11B6A"/>
    <w:rsid w:val="6AA46EC2"/>
    <w:rsid w:val="6AB55E83"/>
    <w:rsid w:val="6ABE055C"/>
    <w:rsid w:val="6AC83D50"/>
    <w:rsid w:val="6ACB01E4"/>
    <w:rsid w:val="6AE865EA"/>
    <w:rsid w:val="6AEC5571"/>
    <w:rsid w:val="6AF14EDB"/>
    <w:rsid w:val="6B123EFE"/>
    <w:rsid w:val="6B216804"/>
    <w:rsid w:val="6B230D43"/>
    <w:rsid w:val="6B232042"/>
    <w:rsid w:val="6B277E96"/>
    <w:rsid w:val="6B2A1C7F"/>
    <w:rsid w:val="6B2B5C26"/>
    <w:rsid w:val="6B347F49"/>
    <w:rsid w:val="6B3E6AF3"/>
    <w:rsid w:val="6B49598B"/>
    <w:rsid w:val="6B4F517D"/>
    <w:rsid w:val="6B524165"/>
    <w:rsid w:val="6B54569F"/>
    <w:rsid w:val="6B5E2C17"/>
    <w:rsid w:val="6B6A6FEF"/>
    <w:rsid w:val="6B6D4219"/>
    <w:rsid w:val="6B6D7FF4"/>
    <w:rsid w:val="6B6E6B2A"/>
    <w:rsid w:val="6B7B1DA2"/>
    <w:rsid w:val="6B82440F"/>
    <w:rsid w:val="6B83268A"/>
    <w:rsid w:val="6B835DDC"/>
    <w:rsid w:val="6B8974DE"/>
    <w:rsid w:val="6B8B7B4B"/>
    <w:rsid w:val="6BB046B3"/>
    <w:rsid w:val="6BB71433"/>
    <w:rsid w:val="6BBA0517"/>
    <w:rsid w:val="6BBE269F"/>
    <w:rsid w:val="6BE35482"/>
    <w:rsid w:val="6BE440D7"/>
    <w:rsid w:val="6BEA36E9"/>
    <w:rsid w:val="6BEC2314"/>
    <w:rsid w:val="6BF10FE2"/>
    <w:rsid w:val="6BF57389"/>
    <w:rsid w:val="6BFD0536"/>
    <w:rsid w:val="6C064226"/>
    <w:rsid w:val="6C1107DA"/>
    <w:rsid w:val="6C155D48"/>
    <w:rsid w:val="6C1A7264"/>
    <w:rsid w:val="6C1B2FEF"/>
    <w:rsid w:val="6C1F067C"/>
    <w:rsid w:val="6C2165C3"/>
    <w:rsid w:val="6C260E7A"/>
    <w:rsid w:val="6C2936EB"/>
    <w:rsid w:val="6C2D0F65"/>
    <w:rsid w:val="6C30493E"/>
    <w:rsid w:val="6C314E22"/>
    <w:rsid w:val="6C3A5FBF"/>
    <w:rsid w:val="6C4403E8"/>
    <w:rsid w:val="6C525604"/>
    <w:rsid w:val="6C536A49"/>
    <w:rsid w:val="6C5F20D7"/>
    <w:rsid w:val="6C675AE0"/>
    <w:rsid w:val="6C7369F5"/>
    <w:rsid w:val="6C76078E"/>
    <w:rsid w:val="6C762909"/>
    <w:rsid w:val="6C8037A6"/>
    <w:rsid w:val="6C825018"/>
    <w:rsid w:val="6C8330AD"/>
    <w:rsid w:val="6C9136ED"/>
    <w:rsid w:val="6C9916E6"/>
    <w:rsid w:val="6C9D3F3D"/>
    <w:rsid w:val="6C9E15DD"/>
    <w:rsid w:val="6CB753B6"/>
    <w:rsid w:val="6CBA2687"/>
    <w:rsid w:val="6CBB010D"/>
    <w:rsid w:val="6CC41C1C"/>
    <w:rsid w:val="6CC81805"/>
    <w:rsid w:val="6CCD0DE4"/>
    <w:rsid w:val="6CCF6A90"/>
    <w:rsid w:val="6CD35AA2"/>
    <w:rsid w:val="6CD64A63"/>
    <w:rsid w:val="6CE356E3"/>
    <w:rsid w:val="6CE53FE1"/>
    <w:rsid w:val="6CF066FB"/>
    <w:rsid w:val="6CF2756C"/>
    <w:rsid w:val="6CF81C12"/>
    <w:rsid w:val="6D10616B"/>
    <w:rsid w:val="6D257071"/>
    <w:rsid w:val="6D290D67"/>
    <w:rsid w:val="6D2C1EAC"/>
    <w:rsid w:val="6D342825"/>
    <w:rsid w:val="6D3F3C12"/>
    <w:rsid w:val="6D4C4F14"/>
    <w:rsid w:val="6D4D74E7"/>
    <w:rsid w:val="6D593CC0"/>
    <w:rsid w:val="6D5B3979"/>
    <w:rsid w:val="6D5B52A6"/>
    <w:rsid w:val="6D63418D"/>
    <w:rsid w:val="6D682616"/>
    <w:rsid w:val="6D695E1A"/>
    <w:rsid w:val="6D6F33E1"/>
    <w:rsid w:val="6D6F48E1"/>
    <w:rsid w:val="6D7874ED"/>
    <w:rsid w:val="6D947798"/>
    <w:rsid w:val="6D991437"/>
    <w:rsid w:val="6D9E7C66"/>
    <w:rsid w:val="6DAF4183"/>
    <w:rsid w:val="6DBD747B"/>
    <w:rsid w:val="6DCB2A78"/>
    <w:rsid w:val="6DCF0CAD"/>
    <w:rsid w:val="6DD10C88"/>
    <w:rsid w:val="6DD73C42"/>
    <w:rsid w:val="6DEF5FE2"/>
    <w:rsid w:val="6DF47F88"/>
    <w:rsid w:val="6DF614C7"/>
    <w:rsid w:val="6E027D31"/>
    <w:rsid w:val="6E0B3ED9"/>
    <w:rsid w:val="6E2354F1"/>
    <w:rsid w:val="6E247D3A"/>
    <w:rsid w:val="6E346E82"/>
    <w:rsid w:val="6E3A1EEA"/>
    <w:rsid w:val="6E3A7261"/>
    <w:rsid w:val="6E3E7DD7"/>
    <w:rsid w:val="6E426A1E"/>
    <w:rsid w:val="6E4459AB"/>
    <w:rsid w:val="6E49458E"/>
    <w:rsid w:val="6E59299E"/>
    <w:rsid w:val="6E661F40"/>
    <w:rsid w:val="6E673D53"/>
    <w:rsid w:val="6E697AB0"/>
    <w:rsid w:val="6E7040CC"/>
    <w:rsid w:val="6E82615D"/>
    <w:rsid w:val="6E855D18"/>
    <w:rsid w:val="6E9B58A9"/>
    <w:rsid w:val="6E9C2C18"/>
    <w:rsid w:val="6EA6476D"/>
    <w:rsid w:val="6EB303D0"/>
    <w:rsid w:val="6EBC7546"/>
    <w:rsid w:val="6EC55E7E"/>
    <w:rsid w:val="6EC64E57"/>
    <w:rsid w:val="6EC936AB"/>
    <w:rsid w:val="6ECE1F87"/>
    <w:rsid w:val="6ECF0447"/>
    <w:rsid w:val="6ED450BE"/>
    <w:rsid w:val="6ED6310A"/>
    <w:rsid w:val="6ED700C7"/>
    <w:rsid w:val="6EDF1786"/>
    <w:rsid w:val="6EE21F5E"/>
    <w:rsid w:val="6EE707CF"/>
    <w:rsid w:val="6EF367CE"/>
    <w:rsid w:val="6EF55330"/>
    <w:rsid w:val="6EF63CCA"/>
    <w:rsid w:val="6EFC237B"/>
    <w:rsid w:val="6F067C81"/>
    <w:rsid w:val="6F0C000F"/>
    <w:rsid w:val="6F122894"/>
    <w:rsid w:val="6F154CC6"/>
    <w:rsid w:val="6F167FF2"/>
    <w:rsid w:val="6F196B04"/>
    <w:rsid w:val="6F1F6CAF"/>
    <w:rsid w:val="6F2175DA"/>
    <w:rsid w:val="6F2410D4"/>
    <w:rsid w:val="6F33052C"/>
    <w:rsid w:val="6F3616C7"/>
    <w:rsid w:val="6F3B662B"/>
    <w:rsid w:val="6F402C93"/>
    <w:rsid w:val="6F43397E"/>
    <w:rsid w:val="6F4445C0"/>
    <w:rsid w:val="6F4931C3"/>
    <w:rsid w:val="6F5C22E7"/>
    <w:rsid w:val="6F5D5140"/>
    <w:rsid w:val="6F682A48"/>
    <w:rsid w:val="6F6D758E"/>
    <w:rsid w:val="6F6E0D1F"/>
    <w:rsid w:val="6F734835"/>
    <w:rsid w:val="6F762B3C"/>
    <w:rsid w:val="6F973F8E"/>
    <w:rsid w:val="6FA40D62"/>
    <w:rsid w:val="6FB17351"/>
    <w:rsid w:val="6FB303A1"/>
    <w:rsid w:val="6FC1690E"/>
    <w:rsid w:val="6FC73FE4"/>
    <w:rsid w:val="6FC86A4B"/>
    <w:rsid w:val="6FCF6A86"/>
    <w:rsid w:val="6FD2606A"/>
    <w:rsid w:val="6FD97F25"/>
    <w:rsid w:val="6FE715D7"/>
    <w:rsid w:val="6FF2334A"/>
    <w:rsid w:val="700B356F"/>
    <w:rsid w:val="700F6BF0"/>
    <w:rsid w:val="70156F67"/>
    <w:rsid w:val="70324261"/>
    <w:rsid w:val="70420902"/>
    <w:rsid w:val="704B5DE0"/>
    <w:rsid w:val="70507D2E"/>
    <w:rsid w:val="7051209E"/>
    <w:rsid w:val="70612E3C"/>
    <w:rsid w:val="707A2C59"/>
    <w:rsid w:val="70805D7F"/>
    <w:rsid w:val="708F50CB"/>
    <w:rsid w:val="7091217F"/>
    <w:rsid w:val="7091357D"/>
    <w:rsid w:val="7095277C"/>
    <w:rsid w:val="709D1288"/>
    <w:rsid w:val="70B17C9B"/>
    <w:rsid w:val="70B24A42"/>
    <w:rsid w:val="70B36004"/>
    <w:rsid w:val="70B50A5A"/>
    <w:rsid w:val="70B61DB3"/>
    <w:rsid w:val="70B76332"/>
    <w:rsid w:val="70BC6C27"/>
    <w:rsid w:val="70C60F77"/>
    <w:rsid w:val="70D64B62"/>
    <w:rsid w:val="70DB28B7"/>
    <w:rsid w:val="70DE2004"/>
    <w:rsid w:val="70EB760D"/>
    <w:rsid w:val="70F10ED1"/>
    <w:rsid w:val="71062378"/>
    <w:rsid w:val="71076444"/>
    <w:rsid w:val="710D7B9F"/>
    <w:rsid w:val="710E242F"/>
    <w:rsid w:val="710F4DDA"/>
    <w:rsid w:val="711004D2"/>
    <w:rsid w:val="71144CA6"/>
    <w:rsid w:val="71161F7B"/>
    <w:rsid w:val="71237CDE"/>
    <w:rsid w:val="712843CC"/>
    <w:rsid w:val="712A2B9F"/>
    <w:rsid w:val="712E7310"/>
    <w:rsid w:val="71387375"/>
    <w:rsid w:val="714B61EB"/>
    <w:rsid w:val="714E0174"/>
    <w:rsid w:val="715D3884"/>
    <w:rsid w:val="715E1529"/>
    <w:rsid w:val="71611513"/>
    <w:rsid w:val="716E12A1"/>
    <w:rsid w:val="71700EBA"/>
    <w:rsid w:val="71770666"/>
    <w:rsid w:val="7188480F"/>
    <w:rsid w:val="71943030"/>
    <w:rsid w:val="71972CB4"/>
    <w:rsid w:val="71983EDE"/>
    <w:rsid w:val="71A1299E"/>
    <w:rsid w:val="71AD7457"/>
    <w:rsid w:val="71B111CF"/>
    <w:rsid w:val="71B14E68"/>
    <w:rsid w:val="71B34377"/>
    <w:rsid w:val="71B80474"/>
    <w:rsid w:val="71BA5D0F"/>
    <w:rsid w:val="71CB353F"/>
    <w:rsid w:val="71DF5AFE"/>
    <w:rsid w:val="71E133FA"/>
    <w:rsid w:val="71E17CD1"/>
    <w:rsid w:val="71F76E71"/>
    <w:rsid w:val="71FF0C77"/>
    <w:rsid w:val="72147368"/>
    <w:rsid w:val="72153D40"/>
    <w:rsid w:val="72164F27"/>
    <w:rsid w:val="721942FA"/>
    <w:rsid w:val="7224636A"/>
    <w:rsid w:val="722F7751"/>
    <w:rsid w:val="72466CE3"/>
    <w:rsid w:val="72481F6C"/>
    <w:rsid w:val="72491E3C"/>
    <w:rsid w:val="724B1EB6"/>
    <w:rsid w:val="724C5A79"/>
    <w:rsid w:val="72517832"/>
    <w:rsid w:val="72574FD2"/>
    <w:rsid w:val="72597D53"/>
    <w:rsid w:val="725B223A"/>
    <w:rsid w:val="725E74E4"/>
    <w:rsid w:val="72622408"/>
    <w:rsid w:val="726814A6"/>
    <w:rsid w:val="726C27A7"/>
    <w:rsid w:val="727070F0"/>
    <w:rsid w:val="72766B15"/>
    <w:rsid w:val="72963888"/>
    <w:rsid w:val="729969F8"/>
    <w:rsid w:val="729E07DC"/>
    <w:rsid w:val="72AC7748"/>
    <w:rsid w:val="72B5203F"/>
    <w:rsid w:val="72CA406F"/>
    <w:rsid w:val="72CB46A2"/>
    <w:rsid w:val="72CE73EA"/>
    <w:rsid w:val="72D02E2A"/>
    <w:rsid w:val="72D07053"/>
    <w:rsid w:val="72D103D1"/>
    <w:rsid w:val="72D454B6"/>
    <w:rsid w:val="72DD2C30"/>
    <w:rsid w:val="72E000FF"/>
    <w:rsid w:val="72E245E6"/>
    <w:rsid w:val="72FE04B0"/>
    <w:rsid w:val="73003BC1"/>
    <w:rsid w:val="730071DA"/>
    <w:rsid w:val="73087E86"/>
    <w:rsid w:val="730B66F9"/>
    <w:rsid w:val="7319035F"/>
    <w:rsid w:val="732107B7"/>
    <w:rsid w:val="732825AD"/>
    <w:rsid w:val="732D0F77"/>
    <w:rsid w:val="733621FC"/>
    <w:rsid w:val="73376BFD"/>
    <w:rsid w:val="73400335"/>
    <w:rsid w:val="73457AC9"/>
    <w:rsid w:val="7356178D"/>
    <w:rsid w:val="73620109"/>
    <w:rsid w:val="736A1119"/>
    <w:rsid w:val="73707BEA"/>
    <w:rsid w:val="73772350"/>
    <w:rsid w:val="737D01FB"/>
    <w:rsid w:val="738827C3"/>
    <w:rsid w:val="738D756E"/>
    <w:rsid w:val="7392105C"/>
    <w:rsid w:val="7392751E"/>
    <w:rsid w:val="739319B2"/>
    <w:rsid w:val="73957EE4"/>
    <w:rsid w:val="739C4CBE"/>
    <w:rsid w:val="739E707B"/>
    <w:rsid w:val="73A9257D"/>
    <w:rsid w:val="73D40F52"/>
    <w:rsid w:val="73D82E88"/>
    <w:rsid w:val="73DC3912"/>
    <w:rsid w:val="73E0009B"/>
    <w:rsid w:val="73E14495"/>
    <w:rsid w:val="74000232"/>
    <w:rsid w:val="740B7E65"/>
    <w:rsid w:val="740E3A06"/>
    <w:rsid w:val="741121C4"/>
    <w:rsid w:val="74186E4F"/>
    <w:rsid w:val="74201CE5"/>
    <w:rsid w:val="74212559"/>
    <w:rsid w:val="74240B8F"/>
    <w:rsid w:val="7426628E"/>
    <w:rsid w:val="742918CF"/>
    <w:rsid w:val="742D35D8"/>
    <w:rsid w:val="743B647E"/>
    <w:rsid w:val="743E03B7"/>
    <w:rsid w:val="744A18B8"/>
    <w:rsid w:val="74503A1A"/>
    <w:rsid w:val="7452774F"/>
    <w:rsid w:val="74531BBF"/>
    <w:rsid w:val="74545A4B"/>
    <w:rsid w:val="74614DCC"/>
    <w:rsid w:val="74721982"/>
    <w:rsid w:val="7475217C"/>
    <w:rsid w:val="747B2ECF"/>
    <w:rsid w:val="747F2783"/>
    <w:rsid w:val="748D486D"/>
    <w:rsid w:val="748D55E6"/>
    <w:rsid w:val="74AB429B"/>
    <w:rsid w:val="74C153CB"/>
    <w:rsid w:val="74C53028"/>
    <w:rsid w:val="74C744EB"/>
    <w:rsid w:val="74CF43DA"/>
    <w:rsid w:val="74D057E0"/>
    <w:rsid w:val="74DC6F2C"/>
    <w:rsid w:val="74EA7C4C"/>
    <w:rsid w:val="74F44598"/>
    <w:rsid w:val="74F90C1F"/>
    <w:rsid w:val="74F94343"/>
    <w:rsid w:val="74FD1C21"/>
    <w:rsid w:val="74FE5E01"/>
    <w:rsid w:val="74FE7E58"/>
    <w:rsid w:val="75150D9D"/>
    <w:rsid w:val="751B6757"/>
    <w:rsid w:val="751C1B79"/>
    <w:rsid w:val="751E3A1E"/>
    <w:rsid w:val="75224794"/>
    <w:rsid w:val="75324725"/>
    <w:rsid w:val="75345006"/>
    <w:rsid w:val="75380F92"/>
    <w:rsid w:val="75392183"/>
    <w:rsid w:val="754B7BF9"/>
    <w:rsid w:val="754D6A55"/>
    <w:rsid w:val="755613D0"/>
    <w:rsid w:val="75571E79"/>
    <w:rsid w:val="75625974"/>
    <w:rsid w:val="75646984"/>
    <w:rsid w:val="75681F0B"/>
    <w:rsid w:val="757E7540"/>
    <w:rsid w:val="758137A9"/>
    <w:rsid w:val="75815850"/>
    <w:rsid w:val="7589134B"/>
    <w:rsid w:val="758D304D"/>
    <w:rsid w:val="75A3666A"/>
    <w:rsid w:val="75AB46C7"/>
    <w:rsid w:val="75AD66DF"/>
    <w:rsid w:val="75B16831"/>
    <w:rsid w:val="75B17348"/>
    <w:rsid w:val="75B63E18"/>
    <w:rsid w:val="75B85BAC"/>
    <w:rsid w:val="75B93C4E"/>
    <w:rsid w:val="75BA61C4"/>
    <w:rsid w:val="75BC76DC"/>
    <w:rsid w:val="75C224DE"/>
    <w:rsid w:val="75D24AF4"/>
    <w:rsid w:val="75E95622"/>
    <w:rsid w:val="75ED63F9"/>
    <w:rsid w:val="75F0244F"/>
    <w:rsid w:val="75F0310B"/>
    <w:rsid w:val="75F12B76"/>
    <w:rsid w:val="75F17A35"/>
    <w:rsid w:val="75F31560"/>
    <w:rsid w:val="7603769D"/>
    <w:rsid w:val="76080055"/>
    <w:rsid w:val="760902D6"/>
    <w:rsid w:val="761576A8"/>
    <w:rsid w:val="761651D5"/>
    <w:rsid w:val="761B34E5"/>
    <w:rsid w:val="761F53D4"/>
    <w:rsid w:val="762359CE"/>
    <w:rsid w:val="762B108D"/>
    <w:rsid w:val="762B4720"/>
    <w:rsid w:val="762C5886"/>
    <w:rsid w:val="76361723"/>
    <w:rsid w:val="763D457B"/>
    <w:rsid w:val="764A6525"/>
    <w:rsid w:val="76550B40"/>
    <w:rsid w:val="765C0732"/>
    <w:rsid w:val="765E5133"/>
    <w:rsid w:val="7664629B"/>
    <w:rsid w:val="76670390"/>
    <w:rsid w:val="766767EA"/>
    <w:rsid w:val="766B4D58"/>
    <w:rsid w:val="766E4EA3"/>
    <w:rsid w:val="766E7317"/>
    <w:rsid w:val="766F4202"/>
    <w:rsid w:val="766F4F87"/>
    <w:rsid w:val="76745D8D"/>
    <w:rsid w:val="76787C77"/>
    <w:rsid w:val="767D75AD"/>
    <w:rsid w:val="76800574"/>
    <w:rsid w:val="76803DA2"/>
    <w:rsid w:val="76812A23"/>
    <w:rsid w:val="768D587A"/>
    <w:rsid w:val="76905D5F"/>
    <w:rsid w:val="769C7E12"/>
    <w:rsid w:val="76AC121C"/>
    <w:rsid w:val="76AE0076"/>
    <w:rsid w:val="76B10DA4"/>
    <w:rsid w:val="76B475DA"/>
    <w:rsid w:val="76BC77E1"/>
    <w:rsid w:val="76C16BD9"/>
    <w:rsid w:val="76CA4FDF"/>
    <w:rsid w:val="76D374D2"/>
    <w:rsid w:val="76D85246"/>
    <w:rsid w:val="76DA6FAF"/>
    <w:rsid w:val="76DC5C7C"/>
    <w:rsid w:val="76DF7125"/>
    <w:rsid w:val="76E41FA1"/>
    <w:rsid w:val="76EA301D"/>
    <w:rsid w:val="76EF4C9B"/>
    <w:rsid w:val="770345C2"/>
    <w:rsid w:val="77043438"/>
    <w:rsid w:val="771954E0"/>
    <w:rsid w:val="771D507F"/>
    <w:rsid w:val="77225256"/>
    <w:rsid w:val="772C4284"/>
    <w:rsid w:val="77304E54"/>
    <w:rsid w:val="773827A0"/>
    <w:rsid w:val="77480170"/>
    <w:rsid w:val="77484B29"/>
    <w:rsid w:val="77521FE8"/>
    <w:rsid w:val="77532617"/>
    <w:rsid w:val="775554D2"/>
    <w:rsid w:val="77583AFD"/>
    <w:rsid w:val="77584DFB"/>
    <w:rsid w:val="775B5A90"/>
    <w:rsid w:val="775C2EF0"/>
    <w:rsid w:val="775D5BE0"/>
    <w:rsid w:val="775E5AF6"/>
    <w:rsid w:val="77645280"/>
    <w:rsid w:val="776D429F"/>
    <w:rsid w:val="77715DB5"/>
    <w:rsid w:val="7772774C"/>
    <w:rsid w:val="777A5C21"/>
    <w:rsid w:val="777E65BB"/>
    <w:rsid w:val="77834917"/>
    <w:rsid w:val="778727F7"/>
    <w:rsid w:val="77881FA5"/>
    <w:rsid w:val="778C7324"/>
    <w:rsid w:val="77947786"/>
    <w:rsid w:val="77955C80"/>
    <w:rsid w:val="7795611D"/>
    <w:rsid w:val="77A14440"/>
    <w:rsid w:val="77AB01FC"/>
    <w:rsid w:val="77AB2108"/>
    <w:rsid w:val="77B85E3D"/>
    <w:rsid w:val="77C13C9E"/>
    <w:rsid w:val="77C36B6E"/>
    <w:rsid w:val="77CA3353"/>
    <w:rsid w:val="77D67607"/>
    <w:rsid w:val="77DD5A57"/>
    <w:rsid w:val="780112E5"/>
    <w:rsid w:val="78065562"/>
    <w:rsid w:val="7807157A"/>
    <w:rsid w:val="7808756A"/>
    <w:rsid w:val="780D7DB7"/>
    <w:rsid w:val="78145CB5"/>
    <w:rsid w:val="781A04B6"/>
    <w:rsid w:val="781A6FCC"/>
    <w:rsid w:val="781B0B00"/>
    <w:rsid w:val="78232876"/>
    <w:rsid w:val="7825462C"/>
    <w:rsid w:val="78274F42"/>
    <w:rsid w:val="782D4AB6"/>
    <w:rsid w:val="78387918"/>
    <w:rsid w:val="78401951"/>
    <w:rsid w:val="784502D6"/>
    <w:rsid w:val="78523391"/>
    <w:rsid w:val="78523ED3"/>
    <w:rsid w:val="785655DD"/>
    <w:rsid w:val="785A45FE"/>
    <w:rsid w:val="785F627B"/>
    <w:rsid w:val="786075F7"/>
    <w:rsid w:val="78653063"/>
    <w:rsid w:val="78730FEB"/>
    <w:rsid w:val="787A05EA"/>
    <w:rsid w:val="787D2F47"/>
    <w:rsid w:val="788F4907"/>
    <w:rsid w:val="78954B35"/>
    <w:rsid w:val="78977C2B"/>
    <w:rsid w:val="78A22234"/>
    <w:rsid w:val="78A330C8"/>
    <w:rsid w:val="78A70FFB"/>
    <w:rsid w:val="78AD0B6E"/>
    <w:rsid w:val="78C47021"/>
    <w:rsid w:val="78CA17B8"/>
    <w:rsid w:val="78D06C68"/>
    <w:rsid w:val="78DC1DB4"/>
    <w:rsid w:val="78DC7A5C"/>
    <w:rsid w:val="78ED215C"/>
    <w:rsid w:val="78F05EAF"/>
    <w:rsid w:val="78F36B31"/>
    <w:rsid w:val="78FD1177"/>
    <w:rsid w:val="78FE45CC"/>
    <w:rsid w:val="78FE5B69"/>
    <w:rsid w:val="78FF6133"/>
    <w:rsid w:val="79117E60"/>
    <w:rsid w:val="791408E0"/>
    <w:rsid w:val="7916504A"/>
    <w:rsid w:val="791D593C"/>
    <w:rsid w:val="79280276"/>
    <w:rsid w:val="79365850"/>
    <w:rsid w:val="793B4491"/>
    <w:rsid w:val="795202DC"/>
    <w:rsid w:val="795F0153"/>
    <w:rsid w:val="796B32E9"/>
    <w:rsid w:val="7977053E"/>
    <w:rsid w:val="79775D44"/>
    <w:rsid w:val="797A3EA8"/>
    <w:rsid w:val="797F3859"/>
    <w:rsid w:val="79805609"/>
    <w:rsid w:val="79886C3D"/>
    <w:rsid w:val="798B04CF"/>
    <w:rsid w:val="79910918"/>
    <w:rsid w:val="799534AA"/>
    <w:rsid w:val="799F0290"/>
    <w:rsid w:val="79A1066B"/>
    <w:rsid w:val="79AF39D7"/>
    <w:rsid w:val="79B216F9"/>
    <w:rsid w:val="79C63C8C"/>
    <w:rsid w:val="79C87F5A"/>
    <w:rsid w:val="79D30842"/>
    <w:rsid w:val="79D409B5"/>
    <w:rsid w:val="79DA622C"/>
    <w:rsid w:val="79E04270"/>
    <w:rsid w:val="79FB4B54"/>
    <w:rsid w:val="7A004027"/>
    <w:rsid w:val="7A0E11CC"/>
    <w:rsid w:val="7A0E1D93"/>
    <w:rsid w:val="7A1363E5"/>
    <w:rsid w:val="7A1E1D8A"/>
    <w:rsid w:val="7A23407F"/>
    <w:rsid w:val="7A274043"/>
    <w:rsid w:val="7A2F367A"/>
    <w:rsid w:val="7A36707C"/>
    <w:rsid w:val="7A3E75FB"/>
    <w:rsid w:val="7A412B53"/>
    <w:rsid w:val="7A4952DF"/>
    <w:rsid w:val="7A4D172D"/>
    <w:rsid w:val="7A526EB9"/>
    <w:rsid w:val="7A543F0E"/>
    <w:rsid w:val="7A5F7A38"/>
    <w:rsid w:val="7A6D0F34"/>
    <w:rsid w:val="7A6F2D9B"/>
    <w:rsid w:val="7A7276C7"/>
    <w:rsid w:val="7A7326F0"/>
    <w:rsid w:val="7A862AE8"/>
    <w:rsid w:val="7A900F24"/>
    <w:rsid w:val="7A921FDC"/>
    <w:rsid w:val="7A97605D"/>
    <w:rsid w:val="7A977EAD"/>
    <w:rsid w:val="7AA22E12"/>
    <w:rsid w:val="7AA4168A"/>
    <w:rsid w:val="7AA62D5F"/>
    <w:rsid w:val="7AB23821"/>
    <w:rsid w:val="7AB94A7F"/>
    <w:rsid w:val="7AC451B4"/>
    <w:rsid w:val="7AD02FD1"/>
    <w:rsid w:val="7AD239C3"/>
    <w:rsid w:val="7AF00E5A"/>
    <w:rsid w:val="7AFD660B"/>
    <w:rsid w:val="7B0409A6"/>
    <w:rsid w:val="7B051335"/>
    <w:rsid w:val="7B0D4044"/>
    <w:rsid w:val="7B16573D"/>
    <w:rsid w:val="7B19764F"/>
    <w:rsid w:val="7B2312CF"/>
    <w:rsid w:val="7B280B13"/>
    <w:rsid w:val="7B293AF6"/>
    <w:rsid w:val="7B2A6CFF"/>
    <w:rsid w:val="7B3944E9"/>
    <w:rsid w:val="7B3C15E9"/>
    <w:rsid w:val="7B3D1285"/>
    <w:rsid w:val="7B467C5C"/>
    <w:rsid w:val="7B4B5E15"/>
    <w:rsid w:val="7B515A7D"/>
    <w:rsid w:val="7B527833"/>
    <w:rsid w:val="7B5E5B87"/>
    <w:rsid w:val="7B6869A2"/>
    <w:rsid w:val="7B7055B8"/>
    <w:rsid w:val="7B7C7734"/>
    <w:rsid w:val="7B826747"/>
    <w:rsid w:val="7B861317"/>
    <w:rsid w:val="7BB54987"/>
    <w:rsid w:val="7BC923D0"/>
    <w:rsid w:val="7BD7695C"/>
    <w:rsid w:val="7BE24F43"/>
    <w:rsid w:val="7BF04A2E"/>
    <w:rsid w:val="7BF54A08"/>
    <w:rsid w:val="7BF77650"/>
    <w:rsid w:val="7BFD44E4"/>
    <w:rsid w:val="7C116D8E"/>
    <w:rsid w:val="7C137B01"/>
    <w:rsid w:val="7C16406F"/>
    <w:rsid w:val="7C25737E"/>
    <w:rsid w:val="7C2B252F"/>
    <w:rsid w:val="7C2D1170"/>
    <w:rsid w:val="7C393B13"/>
    <w:rsid w:val="7C3A6299"/>
    <w:rsid w:val="7C4073ED"/>
    <w:rsid w:val="7C457508"/>
    <w:rsid w:val="7C4F7FED"/>
    <w:rsid w:val="7C5A3914"/>
    <w:rsid w:val="7C6C1F9D"/>
    <w:rsid w:val="7C795990"/>
    <w:rsid w:val="7C800C2E"/>
    <w:rsid w:val="7C8B128D"/>
    <w:rsid w:val="7C902C64"/>
    <w:rsid w:val="7C9A6328"/>
    <w:rsid w:val="7C9B3B56"/>
    <w:rsid w:val="7CA03B25"/>
    <w:rsid w:val="7CA77D2D"/>
    <w:rsid w:val="7CAC2863"/>
    <w:rsid w:val="7CB37B91"/>
    <w:rsid w:val="7CB53C9C"/>
    <w:rsid w:val="7CBC6A7E"/>
    <w:rsid w:val="7CC5548A"/>
    <w:rsid w:val="7CC6307D"/>
    <w:rsid w:val="7CD74B7E"/>
    <w:rsid w:val="7CD808F4"/>
    <w:rsid w:val="7CD85D91"/>
    <w:rsid w:val="7CE553F0"/>
    <w:rsid w:val="7CE85D73"/>
    <w:rsid w:val="7CEA0416"/>
    <w:rsid w:val="7CEF358E"/>
    <w:rsid w:val="7CF07D46"/>
    <w:rsid w:val="7CF73E41"/>
    <w:rsid w:val="7CF85C52"/>
    <w:rsid w:val="7CFF739B"/>
    <w:rsid w:val="7D02778D"/>
    <w:rsid w:val="7D064FFE"/>
    <w:rsid w:val="7D207403"/>
    <w:rsid w:val="7D212F05"/>
    <w:rsid w:val="7D2627DB"/>
    <w:rsid w:val="7D375DDA"/>
    <w:rsid w:val="7D3B347A"/>
    <w:rsid w:val="7D3C4883"/>
    <w:rsid w:val="7D3D2249"/>
    <w:rsid w:val="7D3F1B7D"/>
    <w:rsid w:val="7D404FD3"/>
    <w:rsid w:val="7D411DAB"/>
    <w:rsid w:val="7D490611"/>
    <w:rsid w:val="7D4B722B"/>
    <w:rsid w:val="7D5D1BBB"/>
    <w:rsid w:val="7D6F36D2"/>
    <w:rsid w:val="7D76673A"/>
    <w:rsid w:val="7D7D1945"/>
    <w:rsid w:val="7D7E7A38"/>
    <w:rsid w:val="7D871E24"/>
    <w:rsid w:val="7D8A19EE"/>
    <w:rsid w:val="7D8B71BB"/>
    <w:rsid w:val="7D9A4477"/>
    <w:rsid w:val="7DA913AE"/>
    <w:rsid w:val="7DA939B4"/>
    <w:rsid w:val="7DA95EEE"/>
    <w:rsid w:val="7DAC0636"/>
    <w:rsid w:val="7DAF71DE"/>
    <w:rsid w:val="7DB008C6"/>
    <w:rsid w:val="7DB20DFD"/>
    <w:rsid w:val="7DBD7629"/>
    <w:rsid w:val="7DBF55F6"/>
    <w:rsid w:val="7DC622EB"/>
    <w:rsid w:val="7DC924EF"/>
    <w:rsid w:val="7DCD25D5"/>
    <w:rsid w:val="7DDC022C"/>
    <w:rsid w:val="7DDE34F2"/>
    <w:rsid w:val="7DDF6C1B"/>
    <w:rsid w:val="7DEC259B"/>
    <w:rsid w:val="7DF41E48"/>
    <w:rsid w:val="7DF7555F"/>
    <w:rsid w:val="7DF82F1A"/>
    <w:rsid w:val="7E011CFF"/>
    <w:rsid w:val="7E035C29"/>
    <w:rsid w:val="7E06013F"/>
    <w:rsid w:val="7E084610"/>
    <w:rsid w:val="7E0C30DF"/>
    <w:rsid w:val="7E14065D"/>
    <w:rsid w:val="7E185F63"/>
    <w:rsid w:val="7E1E61F5"/>
    <w:rsid w:val="7E342E72"/>
    <w:rsid w:val="7E4E0950"/>
    <w:rsid w:val="7E534156"/>
    <w:rsid w:val="7E7B0D8B"/>
    <w:rsid w:val="7E803956"/>
    <w:rsid w:val="7E806963"/>
    <w:rsid w:val="7E860D7C"/>
    <w:rsid w:val="7E865ADA"/>
    <w:rsid w:val="7E8A656A"/>
    <w:rsid w:val="7EB20118"/>
    <w:rsid w:val="7EB278A3"/>
    <w:rsid w:val="7EB6778E"/>
    <w:rsid w:val="7EB8164F"/>
    <w:rsid w:val="7ECC7DF2"/>
    <w:rsid w:val="7ED3660A"/>
    <w:rsid w:val="7EDB2C7B"/>
    <w:rsid w:val="7EEB558F"/>
    <w:rsid w:val="7EEC1CD4"/>
    <w:rsid w:val="7EEF0F49"/>
    <w:rsid w:val="7EEF7F58"/>
    <w:rsid w:val="7EF67115"/>
    <w:rsid w:val="7EF93133"/>
    <w:rsid w:val="7EFE5F6E"/>
    <w:rsid w:val="7F031862"/>
    <w:rsid w:val="7F08248D"/>
    <w:rsid w:val="7F1E2AAF"/>
    <w:rsid w:val="7F2262A4"/>
    <w:rsid w:val="7F263401"/>
    <w:rsid w:val="7F2D7306"/>
    <w:rsid w:val="7F3B0D02"/>
    <w:rsid w:val="7F3D39BF"/>
    <w:rsid w:val="7F4255CC"/>
    <w:rsid w:val="7F4B0DA3"/>
    <w:rsid w:val="7F4C3F28"/>
    <w:rsid w:val="7F572ACB"/>
    <w:rsid w:val="7F694B83"/>
    <w:rsid w:val="7F6D62A2"/>
    <w:rsid w:val="7F714A88"/>
    <w:rsid w:val="7F7D3F51"/>
    <w:rsid w:val="7F8C321C"/>
    <w:rsid w:val="7F996E7A"/>
    <w:rsid w:val="7FA13FDA"/>
    <w:rsid w:val="7FA37CD0"/>
    <w:rsid w:val="7FAB2CA4"/>
    <w:rsid w:val="7FAE3045"/>
    <w:rsid w:val="7FB77C6A"/>
    <w:rsid w:val="7FBD3A73"/>
    <w:rsid w:val="7FBF4CE5"/>
    <w:rsid w:val="7FC9041E"/>
    <w:rsid w:val="7FD56386"/>
    <w:rsid w:val="7FDD298C"/>
    <w:rsid w:val="7FE1162A"/>
    <w:rsid w:val="7FE24E98"/>
    <w:rsid w:val="7FE423D8"/>
    <w:rsid w:val="7FE87F11"/>
    <w:rsid w:val="7FE97C8B"/>
    <w:rsid w:val="7FF23672"/>
    <w:rsid w:val="7FFB4310"/>
    <w:rsid w:val="7FFC568D"/>
    <w:rsid w:val="7FFC56B8"/>
    <w:rsid w:val="7FFF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rPr>
      <w:rFonts w:eastAsia="仿宋_GB2312"/>
      <w:sz w:val="32"/>
    </w:r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header"/>
    <w:basedOn w:val="1"/>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able of figures"/>
    <w:basedOn w:val="1"/>
    <w:next w:val="1"/>
    <w:semiHidden/>
    <w:unhideWhenUsed/>
    <w:qFormat/>
    <w:uiPriority w:val="99"/>
    <w:pPr>
      <w:ind w:left="200" w:leftChars="200" w:hanging="200" w:hangingChars="200"/>
    </w:pPr>
  </w:style>
  <w:style w:type="character" w:styleId="8">
    <w:name w:val="page number"/>
    <w:basedOn w:val="7"/>
    <w:semiHidden/>
    <w:unhideWhenUsed/>
    <w:qFormat/>
    <w:uiPriority w:val="99"/>
  </w:style>
  <w:style w:type="character" w:styleId="9">
    <w:name w:val="Hyperlink"/>
    <w:semiHidden/>
    <w:unhideWhenUsed/>
    <w:qFormat/>
    <w:uiPriority w:val="99"/>
    <w:rPr>
      <w:rFonts w:cs="Times New Roman"/>
      <w:color w:val="0563C1"/>
      <w:u w:val="single"/>
    </w:rPr>
  </w:style>
  <w:style w:type="paragraph" w:customStyle="1" w:styleId="10">
    <w:name w:val="正文-公1"/>
    <w:basedOn w:val="11"/>
    <w:next w:val="12"/>
    <w:qFormat/>
    <w:uiPriority w:val="0"/>
    <w:pPr>
      <w:ind w:firstLine="200" w:firstLineChars="200"/>
    </w:p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无间隔1"/>
    <w:basedOn w:val="1"/>
    <w:qFormat/>
    <w:uiPriority w:val="1"/>
    <w:rPr>
      <w:szCs w:val="32"/>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分类号"/>
    <w:basedOn w:val="1"/>
    <w:qFormat/>
    <w:uiPriority w:val="0"/>
    <w:rPr>
      <w:rFonts w:ascii="仿宋_GB2312" w:hAnsi="Times New Roman" w:eastAsia="仿宋_GB2312" w:cs="Times New Roman"/>
      <w:sz w:val="28"/>
      <w:szCs w:val="28"/>
    </w:rPr>
  </w:style>
  <w:style w:type="paragraph" w:customStyle="1" w:styleId="16">
    <w:name w:val="封面日期"/>
    <w:basedOn w:val="1"/>
    <w:qFormat/>
    <w:uiPriority w:val="0"/>
    <w:pPr>
      <w:jc w:val="center"/>
    </w:pPr>
    <w:rPr>
      <w:rFonts w:ascii="黑体" w:hAnsi="Times New Roman" w:eastAsia="黑体" w:cs="Times New Roman"/>
      <w:sz w:val="32"/>
      <w:szCs w:val="32"/>
    </w:rPr>
  </w:style>
  <w:style w:type="paragraph" w:customStyle="1" w:styleId="17">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18">
    <w:name w:val="硕士学位论文"/>
    <w:basedOn w:val="1"/>
    <w:qFormat/>
    <w:uiPriority w:val="0"/>
    <w:pPr>
      <w:spacing w:before="240"/>
      <w:jc w:val="center"/>
    </w:pPr>
    <w:rPr>
      <w:rFonts w:ascii="Times New Roman" w:hAnsi="Times New Roman" w:eastAsia="宋体" w:cs="Times New Roman"/>
      <w:sz w:val="44"/>
      <w:szCs w:val="44"/>
    </w:rPr>
  </w:style>
  <w:style w:type="paragraph" w:customStyle="1" w:styleId="19">
    <w:name w:val="研究生姓名"/>
    <w:basedOn w:val="1"/>
    <w:qFormat/>
    <w:uiPriority w:val="0"/>
    <w:pPr>
      <w:ind w:firstLine="700" w:firstLineChars="700"/>
    </w:pPr>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lengthwise1"/>
      <sectRole val="1"/>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27</Words>
  <Characters>160</Characters>
  <Lines>1</Lines>
  <Paragraphs>1</Paragraphs>
  <TotalTime>7</TotalTime>
  <ScaleCrop>false</ScaleCrop>
  <LinksUpToDate>false</LinksUpToDate>
  <CharactersWithSpaces>186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129869-李萍</cp:lastModifiedBy>
  <cp:lastPrinted>2024-04-28T01:26:00Z</cp:lastPrinted>
  <dcterms:modified xsi:type="dcterms:W3CDTF">2024-04-30T10:01:27Z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C63B35CFD41746A98CA3EE75666FE481_13</vt:lpwstr>
  </property>
</Properties>
</file>