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40" w:lineRule="exact"/>
        <w:jc w:val="center"/>
        <w:textAlignment w:val="auto"/>
        <w:rPr>
          <w:rFonts w:hint="eastAsia" w:ascii="方正小标宋简体" w:eastAsia="方正小标宋简体"/>
          <w:sz w:val="44"/>
          <w:szCs w:val="44"/>
          <w:highlight w:val="none"/>
          <w:lang w:val="en-US" w:eastAsia="zh-CN"/>
        </w:rPr>
      </w:pPr>
      <w:r>
        <w:rPr>
          <w:rFonts w:hint="eastAsia" w:ascii="方正小标宋简体" w:eastAsia="方正小标宋简体"/>
          <w:sz w:val="44"/>
          <w:szCs w:val="44"/>
          <w:highlight w:val="none"/>
          <w:lang w:val="en-US" w:eastAsia="zh-CN"/>
        </w:rPr>
        <w:t>贵州兴义</w:t>
      </w:r>
      <w:r>
        <w:rPr>
          <w:rFonts w:hint="eastAsia" w:ascii="方正小标宋简体" w:eastAsia="方正小标宋简体"/>
          <w:sz w:val="44"/>
          <w:szCs w:val="44"/>
          <w:highlight w:val="none"/>
        </w:rPr>
        <w:t>农村商业银行</w:t>
      </w:r>
      <w:r>
        <w:rPr>
          <w:rFonts w:hint="eastAsia" w:ascii="方正小标宋简体" w:eastAsia="方正小标宋简体"/>
          <w:sz w:val="44"/>
          <w:szCs w:val="44"/>
          <w:highlight w:val="none"/>
          <w:lang w:val="en-US" w:eastAsia="zh-CN"/>
        </w:rPr>
        <w:t>股份有限公司</w:t>
      </w:r>
    </w:p>
    <w:p>
      <w:pPr>
        <w:keepNext w:val="0"/>
        <w:keepLines w:val="0"/>
        <w:pageBreakBefore w:val="0"/>
        <w:kinsoku/>
        <w:wordWrap/>
        <w:overflowPunct/>
        <w:topLinePunct w:val="0"/>
        <w:bidi w:val="0"/>
        <w:snapToGrid/>
        <w:spacing w:line="540" w:lineRule="exact"/>
        <w:jc w:val="center"/>
        <w:textAlignment w:val="auto"/>
        <w:rPr>
          <w:rFonts w:ascii="方正小标宋简体" w:eastAsia="方正小标宋简体"/>
          <w:sz w:val="44"/>
          <w:szCs w:val="44"/>
          <w:highlight w:val="none"/>
        </w:rPr>
      </w:pPr>
      <w:r>
        <w:rPr>
          <w:rFonts w:hint="eastAsia" w:ascii="方正小标宋简体" w:eastAsia="方正小标宋简体"/>
          <w:sz w:val="44"/>
          <w:szCs w:val="44"/>
          <w:highlight w:val="none"/>
        </w:rPr>
        <w:t>202</w:t>
      </w:r>
      <w:r>
        <w:rPr>
          <w:rFonts w:hint="eastAsia" w:ascii="方正小标宋简体" w:eastAsia="方正小标宋简体"/>
          <w:sz w:val="44"/>
          <w:szCs w:val="44"/>
          <w:highlight w:val="none"/>
          <w:lang w:eastAsia="zh-CN"/>
        </w:rPr>
        <w:t>3</w:t>
      </w:r>
      <w:r>
        <w:rPr>
          <w:rFonts w:hint="eastAsia" w:ascii="方正小标宋简体" w:eastAsia="方正小标宋简体"/>
          <w:sz w:val="44"/>
          <w:szCs w:val="44"/>
          <w:highlight w:val="none"/>
        </w:rPr>
        <w:t>年度环境信息披露报告</w:t>
      </w:r>
    </w:p>
    <w:p>
      <w:pPr>
        <w:keepNext w:val="0"/>
        <w:keepLines w:val="0"/>
        <w:pageBreakBefore w:val="0"/>
        <w:kinsoku/>
        <w:wordWrap/>
        <w:overflowPunct/>
        <w:topLinePunct w:val="0"/>
        <w:bidi w:val="0"/>
        <w:snapToGrid/>
        <w:spacing w:line="540" w:lineRule="exact"/>
        <w:textAlignment w:val="auto"/>
        <w:rPr>
          <w:rFonts w:ascii="仿宋_GB2312" w:eastAsia="仿宋_GB2312"/>
          <w:sz w:val="32"/>
          <w:szCs w:val="32"/>
          <w:highlight w:val="none"/>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一、基本信息</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rPr>
        <w:t>报告时间：</w:t>
      </w: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eastAsia="zh-CN"/>
        </w:rPr>
        <w:t>3</w:t>
      </w:r>
      <w:r>
        <w:rPr>
          <w:rFonts w:hint="eastAsia" w:ascii="仿宋_GB2312" w:hAnsi="仿宋_GB2312" w:eastAsia="仿宋_GB2312" w:cs="仿宋_GB2312"/>
          <w:sz w:val="28"/>
          <w:szCs w:val="28"/>
          <w:highlight w:val="none"/>
        </w:rPr>
        <w:t>年1月1日至202</w:t>
      </w:r>
      <w:r>
        <w:rPr>
          <w:rFonts w:hint="eastAsia" w:ascii="仿宋_GB2312" w:hAnsi="仿宋_GB2312" w:eastAsia="仿宋_GB2312" w:cs="仿宋_GB2312"/>
          <w:sz w:val="28"/>
          <w:szCs w:val="28"/>
          <w:highlight w:val="none"/>
          <w:lang w:eastAsia="zh-CN"/>
        </w:rPr>
        <w:t>3</w:t>
      </w:r>
      <w:r>
        <w:rPr>
          <w:rFonts w:hint="eastAsia" w:ascii="仿宋_GB2312" w:hAnsi="仿宋_GB2312" w:eastAsia="仿宋_GB2312" w:cs="仿宋_GB2312"/>
          <w:sz w:val="28"/>
          <w:szCs w:val="28"/>
          <w:highlight w:val="none"/>
        </w:rPr>
        <w:t>年12月31日</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rPr>
        <w:t>报告周期：</w:t>
      </w:r>
      <w:r>
        <w:rPr>
          <w:rFonts w:hint="eastAsia" w:ascii="仿宋_GB2312" w:hAnsi="仿宋_GB2312" w:eastAsia="仿宋_GB2312" w:cs="仿宋_GB2312"/>
          <w:sz w:val="28"/>
          <w:szCs w:val="28"/>
          <w:highlight w:val="none"/>
        </w:rPr>
        <w:t>年度报告</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auto"/>
        <w:rPr>
          <w:rFonts w:hint="default" w:ascii="仿宋_GB2312" w:hAnsi="仿宋_GB2312" w:eastAsia="黑体" w:cs="仿宋_GB2312"/>
          <w:sz w:val="28"/>
          <w:szCs w:val="28"/>
          <w:highlight w:val="none"/>
          <w:lang w:val="en-US" w:eastAsia="zh-CN"/>
        </w:rPr>
      </w:pPr>
      <w:r>
        <w:rPr>
          <w:rFonts w:hint="eastAsia" w:ascii="黑体" w:hAnsi="黑体" w:eastAsia="黑体" w:cs="黑体"/>
          <w:sz w:val="28"/>
          <w:szCs w:val="28"/>
          <w:highlight w:val="none"/>
        </w:rPr>
        <w:t>编制单位：</w:t>
      </w:r>
      <w:r>
        <w:rPr>
          <w:rFonts w:hint="eastAsia" w:ascii="仿宋_GB2312" w:hAnsi="仿宋_GB2312" w:eastAsia="仿宋_GB2312" w:cs="仿宋_GB2312"/>
          <w:sz w:val="28"/>
          <w:szCs w:val="28"/>
          <w:highlight w:val="none"/>
          <w:lang w:val="en-US" w:eastAsia="zh-CN"/>
        </w:rPr>
        <w:t>贵州兴义农村商业银行股份有限公司</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default" w:ascii="黑体" w:hAnsi="黑体" w:eastAsia="黑体" w:cs="黑体"/>
          <w:sz w:val="28"/>
          <w:szCs w:val="28"/>
          <w:highlight w:val="none"/>
          <w:lang w:val="en-US" w:eastAsia="zh-CN"/>
        </w:rPr>
      </w:pPr>
      <w:r>
        <w:rPr>
          <w:rFonts w:hint="eastAsia" w:ascii="黑体" w:hAnsi="黑体" w:eastAsia="黑体" w:cs="黑体"/>
          <w:sz w:val="28"/>
          <w:szCs w:val="28"/>
          <w:highlight w:val="none"/>
          <w:lang w:eastAsia="zh-CN"/>
        </w:rPr>
        <w:t>社会信用代码：</w:t>
      </w:r>
      <w:r>
        <w:rPr>
          <w:rFonts w:hint="eastAsia" w:ascii="黑体" w:hAnsi="黑体" w:eastAsia="黑体" w:cs="黑体"/>
          <w:sz w:val="28"/>
          <w:szCs w:val="28"/>
          <w:highlight w:val="none"/>
          <w:lang w:val="en-US" w:eastAsia="zh-CN"/>
        </w:rPr>
        <w:t>91522300215302292E</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黑体" w:hAnsi="黑体" w:eastAsia="黑体" w:cs="黑体"/>
          <w:sz w:val="28"/>
          <w:szCs w:val="28"/>
          <w:highlight w:val="none"/>
          <w:lang w:eastAsia="zh-CN"/>
        </w:rPr>
        <w:t>法定代表人：</w:t>
      </w:r>
      <w:r>
        <w:rPr>
          <w:rFonts w:hint="eastAsia" w:ascii="仿宋_GB2312" w:hAnsi="仿宋_GB2312" w:eastAsia="仿宋_GB2312" w:cs="仿宋_GB2312"/>
          <w:sz w:val="28"/>
          <w:szCs w:val="28"/>
          <w:highlight w:val="none"/>
          <w:lang w:val="en-US" w:eastAsia="zh-CN"/>
        </w:rPr>
        <w:t>唐永强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业务类型：</w:t>
      </w:r>
      <w:r>
        <w:rPr>
          <w:rFonts w:hint="eastAsia" w:ascii="仿宋_GB2312" w:hAnsi="仿宋_GB2312" w:eastAsia="仿宋_GB2312" w:cs="仿宋_GB2312"/>
          <w:sz w:val="28"/>
          <w:szCs w:val="28"/>
          <w:highlight w:val="none"/>
          <w:lang w:val="en-US" w:eastAsia="zh-CN"/>
        </w:rPr>
        <w:t>法律、法规、国务院决定规定禁止的不得经营；法律、法规、国务院决定规定应当许可（审批）的，经审批机关批准后凭许可（审批）文件经营；法律、法规、国务院决定规定无需许可（审批）的，市场主体自主选择经营。（许可该机构经营中国银行业监督管理委员会依照有关法律、行政法规和其他规定批准的业务，经营范围以批准文件所列的为准。（凭许可证、批准文件经营））</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黑体" w:hAnsi="黑体" w:eastAsia="黑体" w:cs="黑体"/>
          <w:sz w:val="28"/>
          <w:szCs w:val="28"/>
          <w:highlight w:val="none"/>
        </w:rPr>
        <w:t>报告范围：</w:t>
      </w:r>
      <w:r>
        <w:rPr>
          <w:rFonts w:hint="eastAsia" w:ascii="仿宋_GB2312" w:hAnsi="仿宋_GB2312" w:eastAsia="仿宋_GB2312" w:cs="仿宋_GB2312"/>
          <w:sz w:val="28"/>
          <w:szCs w:val="28"/>
          <w:highlight w:val="none"/>
        </w:rPr>
        <w:t>本报告以</w:t>
      </w:r>
      <w:r>
        <w:rPr>
          <w:rFonts w:hint="eastAsia" w:ascii="仿宋_GB2312" w:hAnsi="仿宋_GB2312" w:eastAsia="仿宋_GB2312" w:cs="仿宋_GB2312"/>
          <w:sz w:val="28"/>
          <w:szCs w:val="28"/>
          <w:highlight w:val="none"/>
          <w:lang w:val="en-US" w:eastAsia="zh-CN"/>
        </w:rPr>
        <w:t>贵州兴义农村商业银行股份有限公司</w:t>
      </w:r>
      <w:r>
        <w:rPr>
          <w:rFonts w:hint="eastAsia" w:ascii="仿宋_GB2312" w:hAnsi="仿宋_GB2312" w:eastAsia="仿宋_GB2312" w:cs="仿宋_GB2312"/>
          <w:sz w:val="28"/>
          <w:szCs w:val="28"/>
          <w:highlight w:val="none"/>
        </w:rPr>
        <w:t>为主体，内容涉及</w:t>
      </w:r>
      <w:r>
        <w:rPr>
          <w:rFonts w:hint="eastAsia" w:ascii="仿宋_GB2312" w:hAnsi="仿宋_GB2312" w:eastAsia="仿宋_GB2312" w:cs="仿宋_GB2312"/>
          <w:sz w:val="28"/>
          <w:szCs w:val="28"/>
          <w:highlight w:val="none"/>
          <w:lang w:val="en-US" w:eastAsia="zh-CN"/>
        </w:rPr>
        <w:t>2023年各项业务指标、绿色环境治理、绿色金融制度等。</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auto"/>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rPr>
        <w:t>数据说明：</w:t>
      </w:r>
      <w:r>
        <w:rPr>
          <w:rFonts w:hint="eastAsia" w:ascii="仿宋_GB2312" w:hAnsi="仿宋_GB2312" w:eastAsia="仿宋_GB2312" w:cs="仿宋_GB2312"/>
          <w:sz w:val="28"/>
          <w:szCs w:val="28"/>
          <w:highlight w:val="none"/>
        </w:rPr>
        <w:t>本报告数据截至202</w:t>
      </w:r>
      <w:r>
        <w:rPr>
          <w:rFonts w:hint="eastAsia" w:ascii="仿宋_GB2312" w:hAnsi="仿宋_GB2312" w:eastAsia="仿宋_GB2312" w:cs="仿宋_GB2312"/>
          <w:sz w:val="28"/>
          <w:szCs w:val="28"/>
          <w:highlight w:val="none"/>
          <w:lang w:eastAsia="zh-CN"/>
        </w:rPr>
        <w:t>3</w:t>
      </w:r>
      <w:r>
        <w:rPr>
          <w:rFonts w:hint="eastAsia" w:ascii="仿宋_GB2312" w:hAnsi="仿宋_GB2312" w:eastAsia="仿宋_GB2312" w:cs="仿宋_GB2312"/>
          <w:sz w:val="28"/>
          <w:szCs w:val="28"/>
          <w:highlight w:val="none"/>
        </w:rPr>
        <w:t>年12月31日。</w:t>
      </w:r>
      <w:r>
        <w:rPr>
          <w:rFonts w:hint="eastAsia" w:ascii="仿宋_GB2312" w:hAnsi="仿宋_GB2312" w:eastAsia="仿宋_GB2312" w:cs="仿宋_GB2312"/>
          <w:sz w:val="28"/>
          <w:szCs w:val="28"/>
          <w:highlight w:val="none"/>
        </w:rPr>
        <w:t>数据主要来自内部文件和相关统计。如无特别说明，报告中涉及货币金额均以人民币列示。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rPr>
        <w:t>编制依据：</w:t>
      </w:r>
      <w:r>
        <w:rPr>
          <w:rFonts w:hint="eastAsia" w:ascii="仿宋_GB2312" w:hAnsi="仿宋_GB2312" w:eastAsia="仿宋_GB2312" w:cs="仿宋_GB2312"/>
          <w:sz w:val="28"/>
          <w:szCs w:val="28"/>
          <w:highlight w:val="none"/>
        </w:rPr>
        <w:t>本报告根据中华人民共和国金融行业标准（JR/T 0227—2021）《金融机构环境信息披露指南》等有关要求进行编制。</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rPr>
        <w:t>指代说明：</w:t>
      </w:r>
      <w:r>
        <w:rPr>
          <w:rFonts w:hint="eastAsia" w:ascii="仿宋_GB2312" w:hAnsi="仿宋_GB2312" w:eastAsia="仿宋_GB2312" w:cs="仿宋_GB2312"/>
          <w:b w:val="0"/>
          <w:bCs w:val="0"/>
          <w:sz w:val="28"/>
          <w:szCs w:val="28"/>
          <w:highlight w:val="none"/>
          <w:lang w:val="en-US" w:eastAsia="zh-CN"/>
        </w:rPr>
        <w:t>为便于表达，在报告中“贵州兴义农村商业银行股份有限公司”以“兴义农商银行”或“本行”表示。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jc w:val="left"/>
        <w:textAlignment w:val="auto"/>
        <w:rPr>
          <w:rFonts w:hint="eastAsia" w:ascii="仿宋_GB2312" w:hAnsi="仿宋_GB2312" w:eastAsia="仿宋_GB2312" w:cs="仿宋_GB2312"/>
          <w:sz w:val="28"/>
          <w:szCs w:val="28"/>
          <w:highlight w:val="none"/>
        </w:rPr>
      </w:pPr>
      <w:r>
        <w:rPr>
          <w:rFonts w:hint="eastAsia" w:ascii="黑体" w:hAnsi="黑体" w:eastAsia="黑体" w:cs="黑体"/>
          <w:sz w:val="28"/>
          <w:szCs w:val="28"/>
          <w:highlight w:val="none"/>
        </w:rPr>
        <w:t>发布形式：</w:t>
      </w:r>
      <w:r>
        <w:rPr>
          <w:rFonts w:hint="eastAsia" w:ascii="仿宋_GB2312" w:hAnsi="仿宋_GB2312" w:eastAsia="仿宋_GB2312" w:cs="仿宋_GB2312"/>
          <w:sz w:val="28"/>
          <w:szCs w:val="28"/>
          <w:highlight w:val="none"/>
        </w:rPr>
        <w:t>本报告采用网络电子版形式，发布于</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https://www.gznxbank.com/html/2880000/index.html</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网络平台。</w:t>
      </w:r>
    </w:p>
    <w:tbl>
      <w:tblPr>
        <w:tblStyle w:val="14"/>
        <w:tblpPr w:leftFromText="180" w:rightFromText="180" w:vertAnchor="text" w:horzAnchor="page" w:tblpX="2380" w:tblpY="5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7858" w:type="dxa"/>
            <w:noWrap w:val="0"/>
            <w:vAlign w:val="top"/>
          </w:tcPr>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仿宋_GB2312" w:hAnsi="仿宋_GB2312" w:eastAsia="仿宋_GB2312" w:cs="仿宋_GB2312"/>
                <w:sz w:val="21"/>
                <w:szCs w:val="21"/>
                <w:highlight w:val="none"/>
                <w:lang w:val="en-US" w:eastAsia="zh-CN"/>
              </w:rPr>
            </w:pPr>
            <w:r>
              <w:rPr>
                <w:rFonts w:hint="eastAsia" w:ascii="彩虹小标宋" w:hAnsi="彩虹小标宋" w:eastAsia="彩虹小标宋" w:cs="彩虹小标宋"/>
                <w:sz w:val="21"/>
                <w:szCs w:val="21"/>
                <w:highlight w:val="none"/>
                <w:vertAlign w:val="baseline"/>
                <w:lang w:val="en-US" w:eastAsia="zh-CN"/>
              </w:rPr>
              <w:t>联系方式：</w:t>
            </w:r>
            <w:r>
              <w:rPr>
                <w:rFonts w:hint="eastAsia" w:ascii="仿宋_GB2312" w:hAnsi="仿宋_GB2312" w:eastAsia="仿宋_GB2312" w:cs="仿宋_GB2312"/>
                <w:b w:val="0"/>
                <w:bCs w:val="0"/>
                <w:sz w:val="21"/>
                <w:szCs w:val="21"/>
                <w:highlight w:val="none"/>
                <w:lang w:val="en-US" w:eastAsia="zh-CN"/>
              </w:rPr>
              <w:t>贵州兴义农村商业银行股份有限公司</w:t>
            </w:r>
          </w:p>
          <w:p>
            <w:pPr>
              <w:keepNext w:val="0"/>
              <w:keepLines w:val="0"/>
              <w:pageBreakBefore w:val="0"/>
              <w:kinsoku/>
              <w:wordWrap/>
              <w:overflowPunct/>
              <w:topLinePunct w:val="0"/>
              <w:bidi w:val="0"/>
              <w:snapToGrid/>
              <w:spacing w:line="540" w:lineRule="exact"/>
              <w:jc w:val="left"/>
              <w:textAlignment w:val="auto"/>
              <w:rPr>
                <w:rFonts w:hint="eastAsia" w:ascii="仿宋_GB2312" w:hAnsi="仿宋_GB2312" w:eastAsia="仿宋_GB2312" w:cs="仿宋_GB2312"/>
                <w:sz w:val="21"/>
                <w:szCs w:val="21"/>
                <w:highlight w:val="none"/>
                <w:vertAlign w:val="baseline"/>
                <w:lang w:val="en-US" w:eastAsia="zh-CN"/>
              </w:rPr>
            </w:pPr>
            <w:r>
              <w:rPr>
                <w:rFonts w:hint="eastAsia" w:ascii="彩虹小标宋" w:hAnsi="彩虹小标宋" w:eastAsia="彩虹小标宋" w:cs="彩虹小标宋"/>
                <w:sz w:val="21"/>
                <w:szCs w:val="21"/>
                <w:highlight w:val="none"/>
                <w:vertAlign w:val="baseline"/>
                <w:lang w:val="en-US" w:eastAsia="zh-CN"/>
              </w:rPr>
              <w:t>联系地址：</w:t>
            </w:r>
            <w:r>
              <w:rPr>
                <w:rFonts w:hint="eastAsia" w:ascii="仿宋_GB2312" w:hAnsi="仿宋_GB2312" w:eastAsia="仿宋_GB2312" w:cs="仿宋_GB2312"/>
                <w:sz w:val="21"/>
                <w:szCs w:val="21"/>
                <w:highlight w:val="none"/>
                <w:vertAlign w:val="baseline"/>
                <w:lang w:val="en-US" w:eastAsia="zh-CN"/>
              </w:rPr>
              <w:t>贵州省兴义市桔山街道办事处峡谷村（桔山大道侧）</w:t>
            </w:r>
          </w:p>
          <w:p>
            <w:pPr>
              <w:keepNext w:val="0"/>
              <w:keepLines w:val="0"/>
              <w:pageBreakBefore w:val="0"/>
              <w:kinsoku/>
              <w:wordWrap/>
              <w:overflowPunct/>
              <w:topLinePunct w:val="0"/>
              <w:bidi w:val="0"/>
              <w:snapToGrid/>
              <w:spacing w:line="540" w:lineRule="exact"/>
              <w:jc w:val="left"/>
              <w:textAlignment w:val="auto"/>
              <w:rPr>
                <w:rFonts w:hint="eastAsia" w:ascii="彩虹小标宋" w:hAnsi="彩虹小标宋" w:eastAsia="彩虹小标宋" w:cs="彩虹小标宋"/>
                <w:sz w:val="21"/>
                <w:szCs w:val="21"/>
                <w:highlight w:val="none"/>
                <w:vertAlign w:val="baseline"/>
                <w:lang w:val="en-US" w:eastAsia="zh-CN"/>
              </w:rPr>
            </w:pPr>
            <w:r>
              <w:rPr>
                <w:rFonts w:hint="eastAsia" w:ascii="彩虹小标宋" w:hAnsi="彩虹小标宋" w:eastAsia="彩虹小标宋" w:cs="彩虹小标宋"/>
                <w:sz w:val="21"/>
                <w:szCs w:val="21"/>
                <w:highlight w:val="none"/>
                <w:vertAlign w:val="baseline"/>
                <w:lang w:val="en-US" w:eastAsia="zh-CN"/>
              </w:rPr>
              <w:t>联系电话：0859-3221400</w:t>
            </w:r>
          </w:p>
          <w:p>
            <w:pPr>
              <w:keepNext w:val="0"/>
              <w:keepLines w:val="0"/>
              <w:pageBreakBefore w:val="0"/>
              <w:kinsoku/>
              <w:wordWrap/>
              <w:overflowPunct/>
              <w:topLinePunct w:val="0"/>
              <w:bidi w:val="0"/>
              <w:snapToGrid/>
              <w:spacing w:line="540" w:lineRule="exact"/>
              <w:jc w:val="left"/>
              <w:textAlignment w:val="auto"/>
              <w:rPr>
                <w:rFonts w:hint="eastAsia" w:ascii="彩虹小标宋" w:hAnsi="彩虹小标宋" w:eastAsia="彩虹小标宋" w:cs="彩虹小标宋"/>
                <w:sz w:val="21"/>
                <w:szCs w:val="21"/>
                <w:highlight w:val="none"/>
                <w:vertAlign w:val="baseline"/>
                <w:lang w:val="en-US" w:eastAsia="zh-CN"/>
              </w:rPr>
            </w:pPr>
            <w:r>
              <w:rPr>
                <w:rFonts w:hint="eastAsia" w:ascii="彩虹小标宋" w:hAnsi="彩虹小标宋" w:eastAsia="彩虹小标宋" w:cs="彩虹小标宋"/>
                <w:sz w:val="21"/>
                <w:szCs w:val="21"/>
                <w:highlight w:val="none"/>
                <w:vertAlign w:val="baseline"/>
                <w:lang w:val="en-US" w:eastAsia="zh-CN"/>
              </w:rPr>
              <w:t>邮编：562400</w:t>
            </w:r>
          </w:p>
        </w:tc>
      </w:tr>
    </w:tbl>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黑体" w:hAnsi="黑体" w:eastAsia="黑体" w:cs="黑体"/>
          <w:sz w:val="28"/>
          <w:szCs w:val="28"/>
          <w:highlight w:val="none"/>
          <w:lang w:val="en-US" w:eastAsia="zh-CN"/>
        </w:rPr>
        <w:t>编制单位</w:t>
      </w:r>
      <w:r>
        <w:rPr>
          <w:rFonts w:hint="eastAsia" w:ascii="黑体" w:hAnsi="黑体" w:eastAsia="黑体" w:cs="黑体"/>
          <w:sz w:val="28"/>
          <w:szCs w:val="28"/>
          <w:highlight w:val="none"/>
        </w:rPr>
        <w:t>：</w:t>
      </w:r>
      <w:r>
        <w:rPr>
          <w:rFonts w:hint="eastAsia" w:ascii="仿宋_GB2312" w:hAnsi="仿宋_GB2312" w:eastAsia="仿宋_GB2312" w:cs="仿宋_GB2312"/>
          <w:b w:val="0"/>
          <w:bCs w:val="0"/>
          <w:sz w:val="28"/>
          <w:szCs w:val="28"/>
          <w:highlight w:val="none"/>
          <w:lang w:val="en-US" w:eastAsia="zh-CN"/>
        </w:rPr>
        <w:t>贵州兴义农村商业银行股份有限公司</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hint="eastAsia" w:ascii="Times New Roman" w:hAnsi="Times New Roman"/>
          <w:b/>
          <w:bCs/>
          <w:sz w:val="32"/>
          <w:szCs w:val="32"/>
          <w:highlight w:val="none"/>
          <w:lang w:val="en-US" w:eastAsia="zh-CN"/>
        </w:rPr>
      </w:pPr>
      <w:r>
        <w:rPr>
          <w:rFonts w:hint="eastAsia" w:ascii="Times New Roman" w:hAnsi="Times New Roman"/>
          <w:b/>
          <w:bCs/>
          <w:sz w:val="32"/>
          <w:szCs w:val="32"/>
          <w:highlight w:val="none"/>
          <w:lang w:val="en-US" w:eastAsia="zh-CN"/>
        </w:rPr>
        <w:t>二、</w:t>
      </w:r>
      <w:r>
        <w:rPr>
          <w:rFonts w:hint="eastAsia" w:ascii="黑体" w:hAnsi="黑体" w:eastAsia="黑体" w:cs="黑体"/>
          <w:sz w:val="32"/>
          <w:szCs w:val="32"/>
          <w:highlight w:val="none"/>
        </w:rPr>
        <w:t>年度概况及绿色金融发展战略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eastAsiaTheme="minorEastAsia"/>
          <w:highlight w:val="none"/>
          <w:lang w:val="en-US" w:eastAsia="zh-CN"/>
        </w:rPr>
      </w:pPr>
      <w:r>
        <w:rPr>
          <w:rFonts w:hint="eastAsia" w:ascii="楷体" w:hAnsi="楷体" w:eastAsia="楷体" w:cs="楷体"/>
          <w:kern w:val="2"/>
          <w:sz w:val="32"/>
          <w:szCs w:val="32"/>
          <w:highlight w:val="none"/>
          <w:lang w:val="en-US" w:eastAsia="zh-CN" w:bidi="ar-SA"/>
        </w:rPr>
        <w:t>（一）基本概况。</w:t>
      </w:r>
      <w:r>
        <w:rPr>
          <w:rFonts w:hint="eastAsia" w:ascii="Times New Roman" w:hAnsi="Times New Roman" w:eastAsia="仿宋_GB2312" w:cs="Times New Roman"/>
          <w:b w:val="0"/>
          <w:bCs w:val="0"/>
          <w:color w:val="auto"/>
          <w:sz w:val="32"/>
          <w:szCs w:val="32"/>
          <w:highlight w:val="none"/>
          <w:lang w:val="en-US" w:eastAsia="zh-CN"/>
        </w:rPr>
        <w:t>2023年兴义农商银行深入践行习近平生态文明思想，完整、准确、全面贯彻新发展理念，</w:t>
      </w:r>
      <w:r>
        <w:rPr>
          <w:rFonts w:hint="eastAsia" w:ascii="Times New Roman" w:hAnsi="Times New Roman" w:eastAsia="仿宋_GB2312" w:cs="Times New Roman"/>
          <w:sz w:val="32"/>
          <w:szCs w:val="32"/>
          <w:highlight w:val="none"/>
          <w:lang w:val="en-US" w:eastAsia="zh-CN"/>
        </w:rPr>
        <w:t>全力助推乡村全面振兴与县域经济绿色发展。</w:t>
      </w:r>
      <w:r>
        <w:rPr>
          <w:rFonts w:hint="eastAsia" w:ascii="仿宋_GB2312" w:hAnsi="仿宋_GB2312" w:eastAsia="仿宋_GB2312" w:cs="仿宋_GB2312"/>
          <w:sz w:val="32"/>
          <w:szCs w:val="32"/>
          <w:highlight w:val="none"/>
          <w:lang w:val="en-US" w:eastAsia="zh-CN"/>
        </w:rPr>
        <w:t>我行始终以服务“三农”、助推小微企业和地方经济加速发展为己任，从战略高度推进绿色普惠信贷，加大对小微企业、农民、城镇低收入人群、贫困人群等特殊群体的绿色农业、绿色消费、绿色建筑及绿色出行等普惠金融服务，努力推动地方能源生产和消费方式变革，牢固树立和践行“绿水青山就是金山银山”理念</w:t>
      </w:r>
      <w:r>
        <w:rPr>
          <w:rFonts w:hint="eastAsia" w:ascii="仿宋_GB2312" w:hAnsi="仿宋_GB2312" w:eastAsia="仿宋_GB2312" w:cs="仿宋_GB2312"/>
          <w:color w:val="auto"/>
          <w:sz w:val="32"/>
          <w:szCs w:val="32"/>
          <w:highlight w:val="none"/>
          <w:lang w:val="en-US" w:eastAsia="zh-CN"/>
        </w:rPr>
        <w:t>，进一步贯彻落实国家环境保护、节能减排等宏观调控政策，重</w:t>
      </w:r>
      <w:r>
        <w:rPr>
          <w:rFonts w:hint="eastAsia" w:ascii="仿宋_GB2312" w:hAnsi="仿宋_GB2312" w:eastAsia="仿宋_GB2312" w:cs="仿宋_GB2312"/>
          <w:sz w:val="32"/>
          <w:szCs w:val="32"/>
          <w:highlight w:val="none"/>
          <w:lang w:val="en-US" w:eastAsia="zh-CN"/>
        </w:rPr>
        <w:t>点围绕绿色生态农业、绿色林下种养殖、园林绿化、环境基础设施、绿色消费、绿色制造业等绿色领域，加大信贷投放力度，实现普惠金融更加绿色，绿色金融更加普惠。</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截至</w:t>
      </w:r>
      <w:r>
        <w:rPr>
          <w:rFonts w:hint="eastAsia" w:ascii="仿宋_GB2312" w:hAnsi="仿宋_GB2312" w:eastAsia="仿宋_GB2312" w:cs="仿宋_GB2312"/>
          <w:color w:val="auto"/>
          <w:sz w:val="32"/>
          <w:szCs w:val="32"/>
          <w:highlight w:val="none"/>
          <w:lang w:val="en-US" w:eastAsia="zh-CN"/>
        </w:rPr>
        <w:t>2023年12月31日，</w:t>
      </w:r>
      <w:r>
        <w:rPr>
          <w:rFonts w:hint="eastAsia" w:ascii="仿宋_GB2312" w:hAnsi="仿宋_GB2312" w:eastAsia="仿宋_GB2312" w:cs="仿宋_GB2312"/>
          <w:color w:val="auto"/>
          <w:sz w:val="32"/>
          <w:szCs w:val="32"/>
          <w:highlight w:val="none"/>
        </w:rPr>
        <w:t>各项存款余额250.96亿元，较年初增加19.29亿元，增速8.33%；各项贷款余额192.38亿元，较年初增加12.37亿元，增速6.87%</w:t>
      </w:r>
      <w:r>
        <w:rPr>
          <w:rFonts w:hint="eastAsia" w:ascii="仿宋_GB2312" w:hAnsi="仿宋_GB2312" w:eastAsia="仿宋_GB2312" w:cs="仿宋_GB2312"/>
          <w:color w:val="auto"/>
          <w:sz w:val="32"/>
          <w:szCs w:val="32"/>
          <w:highlight w:val="none"/>
          <w:lang w:eastAsia="zh-CN"/>
        </w:rPr>
        <w:t>，其中绿色贷款余额</w:t>
      </w:r>
      <w:r>
        <w:rPr>
          <w:rFonts w:hint="eastAsia" w:ascii="仿宋_GB2312" w:hAnsi="仿宋_GB2312" w:eastAsia="仿宋_GB2312" w:cs="仿宋_GB2312"/>
          <w:color w:val="auto"/>
          <w:sz w:val="32"/>
          <w:szCs w:val="32"/>
          <w:highlight w:val="none"/>
          <w:lang w:val="en-US" w:eastAsia="zh-CN"/>
        </w:rPr>
        <w:t>12229.65亿元，主要分布在清洁生产产业领域6906.83万元、基础设施绿色升级领域3401万元、生态环境产业领域1821.73万元。</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highlight w:val="none"/>
          <w:lang w:val="en-US" w:eastAsia="zh-CN"/>
        </w:rPr>
      </w:pPr>
      <w:r>
        <w:rPr>
          <w:rFonts w:hint="eastAsia" w:ascii="楷体" w:hAnsi="楷体" w:eastAsia="楷体" w:cs="楷体"/>
          <w:sz w:val="32"/>
          <w:szCs w:val="32"/>
          <w:highlight w:val="none"/>
          <w:lang w:val="en-US" w:eastAsia="zh-CN"/>
        </w:rPr>
        <w:t>（二）绿色金融发展战略</w:t>
      </w:r>
    </w:p>
    <w:p>
      <w:pPr>
        <w:pStyle w:val="1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董事会牵头制定“十四五战略规划”，明确“十四五”期间，坚持以高质量发展为统揽，围绕“打造贴身服务、体验一流、贡献共享的绿色普惠银行”发展愿景，推进兴义农商银行绿色金融战略规划落地见效。</w:t>
      </w:r>
    </w:p>
    <w:p>
      <w:pPr>
        <w:keepNext w:val="0"/>
        <w:keepLines w:val="0"/>
        <w:pageBreakBefore w:val="0"/>
        <w:kinsoku/>
        <w:wordWrap/>
        <w:overflowPunct/>
        <w:topLinePunct w:val="0"/>
        <w:autoSpaceDE/>
        <w:autoSpaceDN/>
        <w:bidi w:val="0"/>
        <w:adjustRightInd/>
        <w:snapToGrid/>
        <w:spacing w:line="560" w:lineRule="exact"/>
        <w:ind w:right="63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三、</w:t>
      </w:r>
      <w:r>
        <w:rPr>
          <w:rFonts w:hint="eastAsia" w:ascii="黑体" w:hAnsi="黑体" w:eastAsia="黑体" w:cs="黑体"/>
          <w:sz w:val="32"/>
          <w:szCs w:val="32"/>
          <w:highlight w:val="none"/>
        </w:rPr>
        <w:t>环境及绿色金融相关治理结构</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eastAsia="zh-CN"/>
        </w:rPr>
        <w:t>（一）</w:t>
      </w:r>
      <w:r>
        <w:rPr>
          <w:rFonts w:hint="eastAsia" w:ascii="楷体" w:hAnsi="楷体" w:eastAsia="楷体" w:cs="楷体"/>
          <w:color w:val="auto"/>
          <w:sz w:val="32"/>
          <w:szCs w:val="32"/>
          <w:highlight w:val="none"/>
        </w:rPr>
        <w:t>董事会（理事会）</w:t>
      </w:r>
      <w:r>
        <w:rPr>
          <w:rFonts w:hint="eastAsia" w:ascii="楷体" w:hAnsi="楷体" w:eastAsia="楷体" w:cs="楷体"/>
          <w:color w:val="auto"/>
          <w:sz w:val="32"/>
          <w:szCs w:val="32"/>
          <w:highlight w:val="none"/>
          <w:lang w:val="en-US" w:eastAsia="zh-CN"/>
        </w:rPr>
        <w:t>层面</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经营层每年向董事会报告绿色金融服务情况，董事会结合规划目标和完成情况对经营层提出工作建议；监事会负责监督高级管理层绿色信贷执行情况，定期审阅绿色信贷情况报告。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val="en-US" w:eastAsia="zh-CN"/>
        </w:rPr>
        <w:t>（二）</w:t>
      </w:r>
      <w:r>
        <w:rPr>
          <w:rFonts w:hint="eastAsia" w:ascii="楷体" w:hAnsi="楷体" w:eastAsia="楷体" w:cs="楷体"/>
          <w:color w:val="auto"/>
          <w:sz w:val="32"/>
          <w:szCs w:val="32"/>
          <w:highlight w:val="none"/>
        </w:rPr>
        <w:t>高管层层面</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highlight w:val="none"/>
        </w:rPr>
      </w:pPr>
      <w:r>
        <w:rPr>
          <w:rFonts w:hint="eastAsia" w:ascii="仿宋_GB2312" w:hAnsi="仿宋_GB2312" w:eastAsia="仿宋_GB2312" w:cs="仿宋_GB2312"/>
          <w:color w:val="auto"/>
          <w:sz w:val="32"/>
          <w:szCs w:val="32"/>
          <w:highlight w:val="none"/>
          <w:lang w:val="en-US" w:eastAsia="zh-CN"/>
        </w:rPr>
        <w:t>为确保本行绿色金融制度切实有效执行，各级机构明确了相关职责。高级管理层根据董事会要求开展绿色信贷工作，负责制定绿色信贷目标，建立机制、流程及职责分工。设立明确总行业务发展部为绿色信贷业务管理部门，营业部为绿色信贷专营机构，通过优化绿色金融服务流程管理、健全制度产品体系等措施，促进绿色金融服务宣传，加强绿色经济、低碳经济、循环经济的支持力度。</w:t>
      </w:r>
    </w:p>
    <w:p>
      <w:pPr>
        <w:keepNext w:val="0"/>
        <w:keepLines w:val="0"/>
        <w:pageBreakBefore w:val="0"/>
        <w:numPr>
          <w:ilvl w:val="0"/>
          <w:numId w:val="0"/>
        </w:numPr>
        <w:kinsoku/>
        <w:wordWrap/>
        <w:overflowPunct/>
        <w:topLinePunct w:val="0"/>
        <w:autoSpaceDE/>
        <w:autoSpaceDN/>
        <w:bidi w:val="0"/>
        <w:adjustRightInd/>
        <w:snapToGrid/>
        <w:spacing w:line="560" w:lineRule="exact"/>
        <w:ind w:left="630" w:leftChars="0"/>
        <w:textAlignment w:val="auto"/>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lang w:val="en-US" w:eastAsia="zh-CN"/>
        </w:rPr>
        <w:t>（三）专业部门层面</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ascii="Times New Roman" w:hAnsi="Times New Roman" w:eastAsia="仿宋_GB2312"/>
          <w:sz w:val="32"/>
          <w:szCs w:val="32"/>
          <w:highlight w:val="none"/>
        </w:rPr>
        <w:t>业务发展部</w:t>
      </w:r>
      <w:r>
        <w:rPr>
          <w:rFonts w:hint="eastAsia" w:ascii="Times New Roman" w:hAnsi="Times New Roman" w:eastAsia="仿宋_GB2312"/>
          <w:sz w:val="32"/>
          <w:szCs w:val="32"/>
          <w:highlight w:val="none"/>
          <w:lang w:val="en-US" w:eastAsia="zh-CN"/>
        </w:rPr>
        <w:t>主要负责绿色普惠金融制度的创新及推广，</w:t>
      </w:r>
      <w:r>
        <w:rPr>
          <w:rFonts w:ascii="Times New Roman" w:hAnsi="Times New Roman" w:eastAsia="仿宋_GB2312"/>
          <w:sz w:val="32"/>
          <w:szCs w:val="32"/>
          <w:highlight w:val="none"/>
        </w:rPr>
        <w:t>以国家生态文明建设及</w:t>
      </w:r>
      <w:r>
        <w:rPr>
          <w:rFonts w:ascii="Times New Roman" w:hAnsi="Times New Roman" w:eastAsia="仿宋_GB2312"/>
          <w:color w:val="auto"/>
          <w:sz w:val="32"/>
          <w:szCs w:val="32"/>
          <w:highlight w:val="none"/>
        </w:rPr>
        <w:t>监管部门的绿色金融政策为导向</w:t>
      </w:r>
      <w:r>
        <w:rPr>
          <w:rFonts w:ascii="Times New Roman" w:hAnsi="Times New Roman" w:eastAsia="仿宋_GB2312"/>
          <w:color w:val="auto"/>
          <w:sz w:val="32"/>
          <w:szCs w:val="32"/>
          <w:highlight w:val="none"/>
        </w:rPr>
        <w:t>，充分</w:t>
      </w:r>
      <w:r>
        <w:rPr>
          <w:rFonts w:hint="eastAsia" w:ascii="Times New Roman" w:hAnsi="Times New Roman" w:eastAsia="仿宋_GB2312"/>
          <w:color w:val="auto"/>
          <w:sz w:val="32"/>
          <w:szCs w:val="32"/>
          <w:highlight w:val="none"/>
          <w:lang w:eastAsia="zh-CN"/>
        </w:rPr>
        <w:t>发挥</w:t>
      </w:r>
      <w:r>
        <w:rPr>
          <w:rFonts w:hint="eastAsia" w:ascii="Times New Roman" w:hAnsi="Times New Roman" w:eastAsia="仿宋_GB2312"/>
          <w:color w:val="auto"/>
          <w:sz w:val="32"/>
          <w:szCs w:val="32"/>
          <w:highlight w:val="none"/>
          <w:lang w:val="en-US" w:eastAsia="zh-CN"/>
        </w:rPr>
        <w:t>兴义农商银行</w:t>
      </w:r>
      <w:r>
        <w:rPr>
          <w:rFonts w:ascii="Times New Roman" w:hAnsi="Times New Roman" w:eastAsia="仿宋_GB2312"/>
          <w:color w:val="auto"/>
          <w:sz w:val="32"/>
          <w:szCs w:val="32"/>
          <w:highlight w:val="none"/>
        </w:rPr>
        <w:t>支农支小市场定位和普惠金融主力军地位</w:t>
      </w:r>
      <w:r>
        <w:rPr>
          <w:rFonts w:hint="eastAsia" w:ascii="Times New Roman" w:hAnsi="Times New Roman" w:eastAsia="仿宋_GB2312"/>
          <w:color w:val="auto"/>
          <w:sz w:val="32"/>
          <w:szCs w:val="32"/>
          <w:highlight w:val="none"/>
          <w:lang w:eastAsia="zh-CN"/>
        </w:rPr>
        <w:t>优势</w:t>
      </w:r>
      <w:r>
        <w:rPr>
          <w:rFonts w:ascii="Times New Roman" w:hAnsi="Times New Roman" w:eastAsia="仿宋_GB2312"/>
          <w:color w:val="auto"/>
          <w:sz w:val="32"/>
          <w:szCs w:val="32"/>
          <w:highlight w:val="none"/>
        </w:rPr>
        <w:t>，探索</w:t>
      </w:r>
      <w:r>
        <w:rPr>
          <w:rFonts w:hint="eastAsia" w:ascii="Times New Roman" w:hAnsi="Times New Roman" w:eastAsia="仿宋_GB2312"/>
          <w:color w:val="auto"/>
          <w:sz w:val="32"/>
          <w:szCs w:val="32"/>
          <w:highlight w:val="none"/>
          <w:lang w:val="en-US" w:eastAsia="zh-CN"/>
        </w:rPr>
        <w:t>本行</w:t>
      </w:r>
      <w:r>
        <w:rPr>
          <w:rFonts w:ascii="Times New Roman" w:hAnsi="Times New Roman" w:eastAsia="仿宋_GB2312"/>
          <w:color w:val="auto"/>
          <w:sz w:val="32"/>
          <w:szCs w:val="32"/>
          <w:highlight w:val="none"/>
        </w:rPr>
        <w:t>绿色普惠金融发展路径，制定</w:t>
      </w:r>
      <w:r>
        <w:rPr>
          <w:rFonts w:hint="eastAsia" w:ascii="Times New Roman" w:hAnsi="Times New Roman" w:eastAsia="仿宋_GB2312"/>
          <w:color w:val="auto"/>
          <w:sz w:val="32"/>
          <w:szCs w:val="32"/>
          <w:highlight w:val="none"/>
          <w:lang w:eastAsia="zh-CN"/>
        </w:rPr>
        <w:t>完善</w:t>
      </w:r>
      <w:r>
        <w:rPr>
          <w:rFonts w:ascii="Times New Roman" w:hAnsi="Times New Roman" w:eastAsia="仿宋_GB2312"/>
          <w:color w:val="auto"/>
          <w:sz w:val="32"/>
          <w:szCs w:val="32"/>
          <w:highlight w:val="none"/>
        </w:rPr>
        <w:t>相关制度文件，</w:t>
      </w:r>
      <w:r>
        <w:rPr>
          <w:rFonts w:hint="eastAsia" w:ascii="Times New Roman" w:hAnsi="Times New Roman" w:eastAsia="仿宋_GB2312"/>
          <w:color w:val="auto"/>
          <w:sz w:val="32"/>
          <w:szCs w:val="32"/>
          <w:highlight w:val="none"/>
          <w:lang w:val="en-US" w:eastAsia="zh-CN"/>
        </w:rPr>
        <w:t>创新</w:t>
      </w:r>
      <w:r>
        <w:rPr>
          <w:rFonts w:ascii="Times New Roman" w:hAnsi="Times New Roman" w:eastAsia="仿宋_GB2312"/>
          <w:color w:val="auto"/>
          <w:sz w:val="32"/>
          <w:szCs w:val="32"/>
          <w:highlight w:val="none"/>
        </w:rPr>
        <w:t>产品和服务模式</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优化服务流程管理、丰富产品体系，加强绿色信贷宣传，</w:t>
      </w:r>
      <w:r>
        <w:rPr>
          <w:rFonts w:ascii="Times New Roman" w:hAnsi="Times New Roman" w:eastAsia="仿宋_GB2312"/>
          <w:color w:val="auto"/>
          <w:sz w:val="32"/>
          <w:szCs w:val="32"/>
          <w:highlight w:val="none"/>
        </w:rPr>
        <w:t>积</w:t>
      </w:r>
      <w:r>
        <w:rPr>
          <w:rFonts w:hint="eastAsia" w:ascii="Times New Roman" w:hAnsi="Times New Roman" w:eastAsia="仿宋_GB2312"/>
          <w:color w:val="auto"/>
          <w:sz w:val="32"/>
          <w:szCs w:val="32"/>
          <w:highlight w:val="none"/>
          <w:lang w:val="en-US" w:eastAsia="zh-CN"/>
        </w:rPr>
        <w:t xml:space="preserve"> </w:t>
      </w:r>
      <w:r>
        <w:rPr>
          <w:rFonts w:ascii="Times New Roman" w:hAnsi="Times New Roman" w:eastAsia="仿宋_GB2312"/>
          <w:color w:val="auto"/>
          <w:sz w:val="32"/>
          <w:szCs w:val="32"/>
          <w:highlight w:val="none"/>
        </w:rPr>
        <w:t>极开展环境信息披露等绿色金融相关工作</w:t>
      </w:r>
      <w:r>
        <w:rPr>
          <w:rFonts w:hint="eastAsia" w:ascii="Times New Roman" w:hAnsi="Times New Roman" w:eastAsia="仿宋_GB2312"/>
          <w:color w:val="auto"/>
          <w:sz w:val="32"/>
          <w:szCs w:val="32"/>
          <w:highlight w:val="none"/>
          <w:lang w:eastAsia="zh-CN"/>
        </w:rPr>
        <w:t>。业务发展部</w:t>
      </w:r>
      <w:r>
        <w:rPr>
          <w:rFonts w:hint="eastAsia" w:ascii="Times New Roman" w:hAnsi="Times New Roman" w:eastAsia="仿宋_GB2312"/>
          <w:color w:val="auto"/>
          <w:sz w:val="32"/>
          <w:szCs w:val="32"/>
          <w:highlight w:val="none"/>
          <w:lang w:val="en-US" w:eastAsia="zh-CN"/>
        </w:rPr>
        <w:t>及支行</w:t>
      </w:r>
      <w:r>
        <w:rPr>
          <w:rFonts w:hint="eastAsia" w:ascii="Times New Roman" w:hAnsi="Times New Roman" w:eastAsia="仿宋_GB2312"/>
          <w:color w:val="auto"/>
          <w:sz w:val="32"/>
          <w:szCs w:val="32"/>
          <w:highlight w:val="none"/>
          <w:lang w:eastAsia="zh-CN"/>
        </w:rPr>
        <w:t>下设绿色普惠</w:t>
      </w:r>
      <w:r>
        <w:rPr>
          <w:rFonts w:hint="eastAsia" w:ascii="Times New Roman" w:hAnsi="Times New Roman" w:eastAsia="仿宋_GB2312"/>
          <w:color w:val="auto"/>
          <w:sz w:val="32"/>
          <w:szCs w:val="32"/>
          <w:highlight w:val="none"/>
          <w:lang w:val="en-US" w:eastAsia="zh-CN"/>
        </w:rPr>
        <w:t>金融专岗</w:t>
      </w:r>
      <w:r>
        <w:rPr>
          <w:rFonts w:hint="eastAsia" w:ascii="Times New Roman" w:hAnsi="Times New Roman" w:eastAsia="仿宋_GB2312"/>
          <w:color w:val="auto"/>
          <w:sz w:val="32"/>
          <w:szCs w:val="32"/>
          <w:highlight w:val="none"/>
          <w:lang w:eastAsia="zh-CN"/>
        </w:rPr>
        <w:t>，以国家绿色金融政策为导向，逐步探索分工明确、协同推进</w:t>
      </w:r>
      <w:r>
        <w:rPr>
          <w:rFonts w:hint="eastAsia" w:ascii="Times New Roman" w:hAnsi="Times New Roman" w:eastAsia="仿宋_GB2312" w:cs="仿宋_GB2312"/>
          <w:sz w:val="32"/>
          <w:szCs w:val="32"/>
          <w:highlight w:val="none"/>
          <w:lang w:eastAsia="zh-CN"/>
        </w:rPr>
        <w:t>的工作机制。</w:t>
      </w:r>
    </w:p>
    <w:p>
      <w:pPr>
        <w:keepNext w:val="0"/>
        <w:keepLines w:val="0"/>
        <w:pageBreakBefore w:val="0"/>
        <w:kinsoku/>
        <w:wordWrap/>
        <w:overflowPunct/>
        <w:topLinePunct w:val="0"/>
        <w:autoSpaceDE/>
        <w:autoSpaceDN/>
        <w:bidi w:val="0"/>
        <w:adjustRightInd/>
        <w:snapToGrid/>
        <w:spacing w:line="560" w:lineRule="exact"/>
        <w:ind w:right="63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四、</w:t>
      </w:r>
      <w:r>
        <w:rPr>
          <w:rFonts w:hint="eastAsia" w:ascii="黑体" w:hAnsi="黑体" w:eastAsia="黑体" w:cs="黑体"/>
          <w:sz w:val="32"/>
          <w:szCs w:val="32"/>
          <w:highlight w:val="none"/>
        </w:rPr>
        <w:t>环境及绿色金融相关政策制度</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现行制度如下：</w:t>
      </w:r>
    </w:p>
    <w:p>
      <w:pPr>
        <w:keepNext w:val="0"/>
        <w:keepLines w:val="0"/>
        <w:pageBreakBefore w:val="0"/>
        <w:kinsoku/>
        <w:wordWrap/>
        <w:overflowPunct/>
        <w:topLinePunct w:val="0"/>
        <w:autoSpaceDE/>
        <w:autoSpaceDN/>
        <w:bidi w:val="0"/>
        <w:adjustRightInd/>
        <w:snapToGrid/>
        <w:spacing w:line="560" w:lineRule="exact"/>
        <w:ind w:firstLine="642" w:firstLineChars="200"/>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val="en-US" w:eastAsia="zh-CN"/>
        </w:rPr>
        <w:t>兴义农商银行</w:t>
      </w:r>
      <w:r>
        <w:rPr>
          <w:rFonts w:hint="eastAsia" w:ascii="仿宋_GB2312" w:hAnsi="仿宋_GB2312" w:eastAsia="仿宋_GB2312" w:cs="仿宋_GB2312"/>
          <w:b/>
          <w:bCs/>
          <w:sz w:val="32"/>
          <w:szCs w:val="32"/>
          <w:highlight w:val="none"/>
        </w:rPr>
        <w:t>印发的绿色金融重要政策清单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7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序号</w:t>
            </w:r>
          </w:p>
        </w:tc>
        <w:tc>
          <w:tcPr>
            <w:tcW w:w="7527" w:type="dxa"/>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p>
        </w:tc>
        <w:tc>
          <w:tcPr>
            <w:tcW w:w="7527" w:type="dxa"/>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兴义农商银行关于印发贵州兴义农村商业银行绿色信贷管理办法的通知</w:t>
            </w:r>
            <w:r>
              <w:rPr>
                <w:rFonts w:hint="eastAsia" w:ascii="仿宋_GB2312" w:hAnsi="仿宋_GB2312" w:eastAsia="仿宋_GB2312" w:cs="仿宋_GB2312"/>
                <w:sz w:val="32"/>
                <w:szCs w:val="32"/>
                <w:highlight w:val="none"/>
              </w:rPr>
              <w:t>》（兴农商银发〔2020〕176号）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p>
        </w:tc>
        <w:tc>
          <w:tcPr>
            <w:tcW w:w="7527" w:type="dxa"/>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《兴义农商银行关于印发贵州兴义农村商业银行绿色信贷管理办法的通知》（兴农商银发〔202</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303</w:t>
            </w:r>
            <w:r>
              <w:rPr>
                <w:rFonts w:hint="eastAsia" w:ascii="仿宋_GB2312" w:hAnsi="仿宋_GB2312" w:eastAsia="仿宋_GB2312" w:cs="仿宋_GB2312"/>
                <w:sz w:val="32"/>
                <w:szCs w:val="32"/>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5" w:type="dxa"/>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w:t>
            </w:r>
          </w:p>
        </w:tc>
        <w:tc>
          <w:tcPr>
            <w:tcW w:w="7527" w:type="dxa"/>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《兴义农商银行关于印发贵州兴义农村商业银行2022年绿色信贷投放政策指引的通知》（兴农商银发〔2021〕371号）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vAlign w:val="center"/>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p>
        </w:tc>
        <w:tc>
          <w:tcPr>
            <w:tcW w:w="7527" w:type="dxa"/>
          </w:tcPr>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《兴义农商银行关于印发厉行节约打造绿色银行工作措施的通知》（兴农商银发〔2023〕69号）</w:t>
            </w:r>
          </w:p>
        </w:tc>
      </w:tr>
    </w:tbl>
    <w:p>
      <w:pPr>
        <w:pStyle w:val="5"/>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紧紧围绕乡村振兴、普惠金融高质量发展，</w:t>
      </w:r>
      <w:r>
        <w:rPr>
          <w:rFonts w:hint="eastAsia" w:ascii="仿宋_GB2312" w:hAnsi="仿宋_GB2312" w:eastAsia="仿宋_GB2312" w:cs="仿宋_GB2312"/>
          <w:sz w:val="32"/>
          <w:szCs w:val="32"/>
          <w:highlight w:val="none"/>
        </w:rPr>
        <w:t>结合绿色信贷金融服务理念，推动绿色发展与支农惠农之间的融合，创新绿色信贷产品，</w:t>
      </w:r>
      <w:r>
        <w:rPr>
          <w:rFonts w:hint="eastAsia" w:ascii="仿宋_GB2312" w:hAnsi="仿宋_GB2312" w:eastAsia="仿宋_GB2312" w:cs="仿宋_GB2312"/>
          <w:sz w:val="32"/>
          <w:szCs w:val="32"/>
          <w:highlight w:val="none"/>
        </w:rPr>
        <w:t>推出“创业小额担保贷款”“</w:t>
      </w:r>
      <w:r>
        <w:rPr>
          <w:rFonts w:hint="eastAsia" w:ascii="仿宋_GB2312" w:hAnsi="仿宋_GB2312" w:eastAsia="仿宋_GB2312" w:cs="仿宋_GB2312"/>
          <w:sz w:val="32"/>
          <w:szCs w:val="32"/>
          <w:highlight w:val="none"/>
          <w:lang w:eastAsia="zh-CN"/>
        </w:rPr>
        <w:t>黔农十二贷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兴农</w:t>
      </w:r>
      <w:r>
        <w:rPr>
          <w:rFonts w:hint="eastAsia" w:ascii="仿宋_GB2312" w:hAnsi="仿宋_GB2312" w:eastAsia="仿宋_GB2312" w:cs="仿宋_GB2312"/>
          <w:sz w:val="32"/>
          <w:szCs w:val="32"/>
          <w:highlight w:val="none"/>
        </w:rPr>
        <w:t>贷”“</w:t>
      </w:r>
      <w:r>
        <w:rPr>
          <w:rFonts w:hint="eastAsia" w:ascii="仿宋_GB2312" w:hAnsi="仿宋_GB2312" w:eastAsia="仿宋_GB2312" w:cs="仿宋_GB2312"/>
          <w:sz w:val="32"/>
          <w:szCs w:val="32"/>
          <w:highlight w:val="none"/>
          <w:lang w:eastAsia="zh-CN"/>
        </w:rPr>
        <w:t>家园</w:t>
      </w:r>
      <w:r>
        <w:rPr>
          <w:rFonts w:hint="eastAsia" w:ascii="仿宋_GB2312" w:hAnsi="仿宋_GB2312" w:eastAsia="仿宋_GB2312" w:cs="仿宋_GB2312"/>
          <w:sz w:val="32"/>
          <w:szCs w:val="32"/>
          <w:highlight w:val="none"/>
        </w:rPr>
        <w:t>贷”</w:t>
      </w:r>
      <w:r>
        <w:rPr>
          <w:rFonts w:hint="eastAsia" w:ascii="仿宋_GB2312" w:hAnsi="仿宋_GB2312" w:eastAsia="仿宋_GB2312" w:cs="仿宋_GB2312"/>
          <w:sz w:val="32"/>
          <w:szCs w:val="32"/>
          <w:highlight w:val="none"/>
          <w:lang w:eastAsia="zh-CN"/>
        </w:rPr>
        <w:t>“金牛贷”“农户小额信用贷款”“绿车贷”</w:t>
      </w:r>
      <w:r>
        <w:rPr>
          <w:rFonts w:hint="eastAsia" w:ascii="仿宋_GB2312" w:hAnsi="仿宋_GB2312" w:eastAsia="仿宋_GB2312" w:cs="仿宋_GB2312"/>
          <w:sz w:val="32"/>
          <w:szCs w:val="32"/>
          <w:highlight w:val="none"/>
        </w:rPr>
        <w:t>等特色信贷产品</w:t>
      </w:r>
      <w:r>
        <w:rPr>
          <w:rFonts w:hint="eastAsia" w:ascii="仿宋_GB2312" w:hAnsi="仿宋_GB2312" w:eastAsia="仿宋_GB2312" w:cs="仿宋_GB2312"/>
          <w:sz w:val="32"/>
          <w:szCs w:val="32"/>
          <w:highlight w:val="none"/>
        </w:rPr>
        <w:t>，引导信贷资金向绿色信贷行业投放，推动地方绿色农业产业发展。</w:t>
      </w:r>
    </w:p>
    <w:p>
      <w:pPr>
        <w:keepNext w:val="0"/>
        <w:keepLines w:val="0"/>
        <w:pageBreakBefore w:val="0"/>
        <w:kinsoku/>
        <w:wordWrap/>
        <w:overflowPunct/>
        <w:topLinePunct w:val="0"/>
        <w:autoSpaceDE/>
        <w:autoSpaceDN/>
        <w:bidi w:val="0"/>
        <w:adjustRightInd/>
        <w:snapToGrid/>
        <w:spacing w:line="560" w:lineRule="exact"/>
        <w:ind w:right="630" w:firstLine="640" w:firstLineChars="200"/>
        <w:textAlignment w:val="auto"/>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lang w:eastAsia="zh-CN"/>
        </w:rPr>
        <w:t>五、</w:t>
      </w:r>
      <w:r>
        <w:rPr>
          <w:rFonts w:hint="eastAsia" w:ascii="黑体" w:hAnsi="黑体" w:eastAsia="黑体" w:cs="黑体"/>
          <w:sz w:val="32"/>
          <w:szCs w:val="32"/>
          <w:highlight w:val="none"/>
        </w:rPr>
        <w:t>环境风险管理及机遇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楷体" w:hAnsi="楷体" w:eastAsia="楷体" w:cs="楷体"/>
          <w:color w:val="auto"/>
          <w:kern w:val="0"/>
          <w:sz w:val="32"/>
          <w:szCs w:val="32"/>
          <w:highlight w:val="none"/>
          <w:lang w:eastAsia="zh-CN"/>
        </w:rPr>
        <w:t>（一）环境风险管理措施。</w:t>
      </w:r>
      <w:r>
        <w:rPr>
          <w:rFonts w:hint="eastAsia" w:ascii="仿宋_GB2312" w:hAnsi="微软雅黑" w:eastAsia="仿宋_GB2312" w:cs="宋体"/>
          <w:color w:val="auto"/>
          <w:kern w:val="0"/>
          <w:sz w:val="32"/>
          <w:szCs w:val="32"/>
          <w:highlight w:val="none"/>
        </w:rPr>
        <w:t>引导信贷</w:t>
      </w:r>
      <w:r>
        <w:rPr>
          <w:rFonts w:hint="eastAsia" w:ascii="仿宋_GB2312" w:hAnsi="微软雅黑" w:eastAsia="仿宋_GB2312" w:cs="宋体"/>
          <w:color w:val="auto"/>
          <w:kern w:val="0"/>
          <w:sz w:val="32"/>
          <w:szCs w:val="32"/>
          <w:highlight w:val="none"/>
          <w:lang w:val="en-US" w:eastAsia="zh-CN"/>
        </w:rPr>
        <w:t>投放</w:t>
      </w:r>
      <w:r>
        <w:rPr>
          <w:rFonts w:hint="eastAsia" w:ascii="仿宋_GB2312" w:hAnsi="微软雅黑" w:eastAsia="仿宋_GB2312" w:cs="宋体"/>
          <w:color w:val="auto"/>
          <w:kern w:val="0"/>
          <w:sz w:val="32"/>
          <w:szCs w:val="32"/>
          <w:highlight w:val="none"/>
        </w:rPr>
        <w:t>向绿色发展领域倾斜，解决最大排放环节投融资排放管控力度。</w:t>
      </w:r>
      <w:r>
        <w:rPr>
          <w:rFonts w:hint="eastAsia" w:ascii="仿宋_GB2312" w:hAnsi="仿宋_GB2312" w:eastAsia="仿宋_GB2312" w:cs="仿宋_GB2312"/>
          <w:color w:val="auto"/>
          <w:kern w:val="2"/>
          <w:sz w:val="32"/>
          <w:szCs w:val="32"/>
          <w:highlight w:val="none"/>
          <w:lang w:val="en-US" w:eastAsia="zh-CN" w:bidi="ar-SA"/>
        </w:rPr>
        <w:t>在环境风险管理方面，本行根据业务管理实际，有序推进各项风险管理制度制（修）订，强化在调查、审查、审批、合同签订、放款审核、贷款支付、贷后管理等各个环节的环境风险识别、评估、预警和管理。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b w:val="0"/>
          <w:bCs w:val="0"/>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一是</w:t>
      </w:r>
      <w:r>
        <w:rPr>
          <w:rFonts w:hint="eastAsia" w:ascii="楷体" w:hAnsi="楷体" w:eastAsia="楷体" w:cs="楷体"/>
          <w:color w:val="auto"/>
          <w:kern w:val="0"/>
          <w:sz w:val="32"/>
          <w:szCs w:val="32"/>
          <w:highlight w:val="none"/>
          <w:lang w:val="en-US" w:eastAsia="zh-CN"/>
        </w:rPr>
        <w:t>加强管理，严格准入。</w:t>
      </w:r>
      <w:r>
        <w:rPr>
          <w:rFonts w:ascii="仿宋_GB2312" w:hAnsi="仿宋_GB2312" w:eastAsia="仿宋_GB2312" w:cs="仿宋_GB2312"/>
          <w:color w:val="auto"/>
          <w:kern w:val="0"/>
          <w:sz w:val="32"/>
          <w:szCs w:val="32"/>
          <w:highlight w:val="none"/>
        </w:rPr>
        <w:t>对违反国家产业政策、环境政策、安全政策及信贷政策的企业和项目，实行“一票否决制”，一律不予授信；对存量高耗能、重污染企业和出现重大环境和社会风险的客户，实行名单制管理并逐步进行压缩退出。将企业或项目环保手续的合规性</w:t>
      </w:r>
      <w:r>
        <w:rPr>
          <w:rFonts w:hint="eastAsia" w:ascii="仿宋_GB2312" w:hAnsi="仿宋_GB2312" w:eastAsia="仿宋_GB2312" w:cs="仿宋_GB2312"/>
          <w:color w:val="auto"/>
          <w:kern w:val="0"/>
          <w:sz w:val="32"/>
          <w:szCs w:val="32"/>
          <w:highlight w:val="none"/>
          <w:lang w:eastAsia="zh-CN"/>
        </w:rPr>
        <w:t>、</w:t>
      </w:r>
      <w:r>
        <w:rPr>
          <w:rFonts w:ascii="仿宋_GB2312" w:hAnsi="仿宋_GB2312" w:eastAsia="仿宋_GB2312" w:cs="仿宋_GB2312"/>
          <w:color w:val="auto"/>
          <w:kern w:val="0"/>
          <w:sz w:val="32"/>
          <w:szCs w:val="32"/>
          <w:highlight w:val="none"/>
        </w:rPr>
        <w:t>完整性，符合环保、安全生产等政策法规要求作为信贷审批必要条件，充分考虑环境和社会风险性质对客户偿债能力</w:t>
      </w:r>
      <w:r>
        <w:rPr>
          <w:rFonts w:hint="eastAsia" w:ascii="仿宋_GB2312" w:hAnsi="仿宋_GB2312" w:eastAsia="仿宋_GB2312" w:cs="仿宋_GB2312"/>
          <w:color w:val="auto"/>
          <w:kern w:val="0"/>
          <w:sz w:val="32"/>
          <w:szCs w:val="32"/>
          <w:highlight w:val="none"/>
          <w:lang w:val="en-US" w:eastAsia="zh-CN"/>
        </w:rPr>
        <w:t>的</w:t>
      </w:r>
      <w:r>
        <w:rPr>
          <w:rFonts w:ascii="仿宋_GB2312" w:hAnsi="仿宋_GB2312" w:eastAsia="仿宋_GB2312" w:cs="仿宋_GB2312"/>
          <w:color w:val="auto"/>
          <w:kern w:val="0"/>
          <w:sz w:val="32"/>
          <w:szCs w:val="32"/>
          <w:highlight w:val="none"/>
        </w:rPr>
        <w:t>影响，制定科学的信贷决策</w:t>
      </w:r>
      <w:r>
        <w:rPr>
          <w:rFonts w:hint="eastAsia" w:ascii="仿宋_GB2312" w:hAnsi="仿宋_GB2312" w:eastAsia="仿宋_GB2312" w:cs="仿宋_GB2312"/>
          <w:color w:val="auto"/>
          <w:kern w:val="0"/>
          <w:sz w:val="32"/>
          <w:szCs w:val="32"/>
          <w:highlight w:val="none"/>
          <w:lang w:val="en-US" w:eastAsia="zh-CN"/>
        </w:rPr>
        <w:t>依据</w:t>
      </w:r>
      <w:r>
        <w:rPr>
          <w:rFonts w:ascii="仿宋_GB2312" w:hAnsi="仿宋_GB2312" w:eastAsia="仿宋_GB2312" w:cs="仿宋_GB2312"/>
          <w:color w:val="auto"/>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楷体" w:hAnsi="楷体" w:eastAsia="楷体" w:cs="楷体"/>
          <w:b w:val="0"/>
          <w:bCs w:val="0"/>
          <w:color w:val="auto"/>
          <w:kern w:val="2"/>
          <w:sz w:val="32"/>
          <w:szCs w:val="32"/>
          <w:highlight w:val="none"/>
          <w:lang w:val="en-US" w:eastAsia="zh-CN" w:bidi="ar-SA"/>
        </w:rPr>
        <w:t>二是全面尽调、及时预警。</w:t>
      </w:r>
      <w:r>
        <w:rPr>
          <w:rFonts w:hint="eastAsia" w:ascii="仿宋_GB2312" w:hAnsi="仿宋_GB2312" w:eastAsia="仿宋_GB2312" w:cs="仿宋_GB2312"/>
          <w:color w:val="auto"/>
          <w:kern w:val="2"/>
          <w:sz w:val="32"/>
          <w:szCs w:val="32"/>
          <w:highlight w:val="none"/>
          <w:lang w:val="en-US" w:eastAsia="zh-CN" w:bidi="ar-SA"/>
        </w:rPr>
        <w:t xml:space="preserve">对各类信贷业务展开尽职调查时，引入环境和社会风险尽职调查工作。通过对客户申请及资格初审、贷前资料收集及风险要点分析，全面评估项目环境和社会风险。在同等条件下，优先审批用于支持绿色、低碳、循环经济的授信申请。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b/>
          <w:bCs/>
          <w:color w:val="auto"/>
          <w:sz w:val="32"/>
          <w:szCs w:val="32"/>
          <w:highlight w:val="none"/>
          <w:lang w:val="en-US" w:eastAsia="zh-CN"/>
        </w:rPr>
      </w:pPr>
      <w:r>
        <w:rPr>
          <w:rFonts w:hint="eastAsia" w:ascii="楷体" w:hAnsi="楷体" w:eastAsia="楷体" w:cs="楷体"/>
          <w:b w:val="0"/>
          <w:bCs w:val="0"/>
          <w:color w:val="auto"/>
          <w:kern w:val="2"/>
          <w:sz w:val="32"/>
          <w:szCs w:val="32"/>
          <w:highlight w:val="none"/>
          <w:lang w:val="en-US" w:eastAsia="zh-CN" w:bidi="ar-SA"/>
        </w:rPr>
        <w:t>三是分类识别、差异管理。</w:t>
      </w:r>
      <w:r>
        <w:rPr>
          <w:rFonts w:hint="eastAsia" w:ascii="仿宋_GB2312" w:hAnsi="微软雅黑" w:eastAsia="仿宋_GB2312" w:cs="宋体"/>
          <w:color w:val="auto"/>
          <w:kern w:val="0"/>
          <w:sz w:val="32"/>
          <w:szCs w:val="32"/>
          <w:highlight w:val="none"/>
        </w:rPr>
        <w:t>在行业调整上，随着碳中和进程的不断深入，</w:t>
      </w:r>
      <w:r>
        <w:rPr>
          <w:rFonts w:hint="eastAsia" w:ascii="仿宋_GB2312" w:hAnsi="微软雅黑" w:eastAsia="仿宋_GB2312" w:cs="宋体"/>
          <w:color w:val="auto"/>
          <w:kern w:val="0"/>
          <w:sz w:val="32"/>
          <w:szCs w:val="32"/>
          <w:highlight w:val="none"/>
          <w:lang w:eastAsia="zh-CN"/>
        </w:rPr>
        <w:t>本</w:t>
      </w:r>
      <w:r>
        <w:rPr>
          <w:rFonts w:hint="eastAsia" w:ascii="仿宋_GB2312" w:hAnsi="微软雅黑" w:eastAsia="仿宋_GB2312" w:cs="宋体"/>
          <w:color w:val="auto"/>
          <w:kern w:val="0"/>
          <w:sz w:val="32"/>
          <w:szCs w:val="32"/>
          <w:highlight w:val="none"/>
        </w:rPr>
        <w:t>行</w:t>
      </w:r>
      <w:r>
        <w:rPr>
          <w:rFonts w:hint="eastAsia" w:ascii="仿宋_GB2312" w:hAnsi="微软雅黑" w:eastAsia="仿宋_GB2312" w:cs="宋体"/>
          <w:color w:val="auto"/>
          <w:kern w:val="0"/>
          <w:sz w:val="32"/>
          <w:szCs w:val="32"/>
          <w:highlight w:val="none"/>
          <w:lang w:val="en-US" w:eastAsia="zh-CN"/>
        </w:rPr>
        <w:t>通过</w:t>
      </w:r>
      <w:r>
        <w:rPr>
          <w:rFonts w:hint="eastAsia" w:ascii="仿宋_GB2312" w:hAnsi="微软雅黑" w:eastAsia="仿宋_GB2312" w:cs="宋体"/>
          <w:color w:val="auto"/>
          <w:kern w:val="0"/>
          <w:sz w:val="32"/>
          <w:szCs w:val="32"/>
          <w:highlight w:val="none"/>
        </w:rPr>
        <w:t>信贷业务逐步降低高碳资产</w:t>
      </w:r>
      <w:r>
        <w:rPr>
          <w:rFonts w:hint="eastAsia" w:ascii="仿宋_GB2312" w:hAnsi="微软雅黑" w:eastAsia="仿宋_GB2312" w:cs="宋体"/>
          <w:color w:val="auto"/>
          <w:kern w:val="0"/>
          <w:sz w:val="32"/>
          <w:szCs w:val="32"/>
          <w:highlight w:val="none"/>
          <w:lang w:val="en-US" w:eastAsia="zh-CN"/>
        </w:rPr>
        <w:t>等</w:t>
      </w:r>
      <w:r>
        <w:rPr>
          <w:rFonts w:hint="eastAsia" w:ascii="仿宋_GB2312" w:hAnsi="微软雅黑" w:eastAsia="仿宋_GB2312" w:cs="宋体"/>
          <w:color w:val="auto"/>
          <w:kern w:val="0"/>
          <w:sz w:val="32"/>
          <w:szCs w:val="32"/>
          <w:highlight w:val="none"/>
        </w:rPr>
        <w:t>方式进行风险转移，将目前</w:t>
      </w:r>
      <w:r>
        <w:rPr>
          <w:rFonts w:hint="eastAsia" w:ascii="仿宋_GB2312" w:hAnsi="微软雅黑" w:eastAsia="仿宋_GB2312" w:cs="宋体"/>
          <w:color w:val="auto"/>
          <w:kern w:val="0"/>
          <w:sz w:val="32"/>
          <w:szCs w:val="32"/>
          <w:highlight w:val="none"/>
          <w:lang w:val="en-US" w:eastAsia="zh-CN"/>
        </w:rPr>
        <w:t>仅</w:t>
      </w:r>
      <w:r>
        <w:rPr>
          <w:rFonts w:hint="eastAsia" w:ascii="仿宋_GB2312" w:hAnsi="微软雅黑" w:eastAsia="仿宋_GB2312" w:cs="宋体"/>
          <w:color w:val="auto"/>
          <w:kern w:val="0"/>
          <w:sz w:val="32"/>
          <w:szCs w:val="32"/>
          <w:highlight w:val="none"/>
        </w:rPr>
        <w:t>针对“两高一资”的信贷</w:t>
      </w:r>
      <w:r>
        <w:rPr>
          <w:rFonts w:hint="eastAsia" w:ascii="仿宋_GB2312" w:hAnsi="微软雅黑" w:eastAsia="仿宋_GB2312" w:cs="宋体"/>
          <w:color w:val="auto"/>
          <w:kern w:val="0"/>
          <w:sz w:val="32"/>
          <w:szCs w:val="32"/>
          <w:highlight w:val="none"/>
          <w:lang w:val="en-US" w:eastAsia="zh-CN"/>
        </w:rPr>
        <w:t>管控机制</w:t>
      </w:r>
      <w:r>
        <w:rPr>
          <w:rFonts w:hint="eastAsia" w:ascii="仿宋_GB2312" w:hAnsi="微软雅黑" w:eastAsia="仿宋_GB2312" w:cs="宋体"/>
          <w:color w:val="auto"/>
          <w:kern w:val="0"/>
          <w:sz w:val="32"/>
          <w:szCs w:val="32"/>
          <w:highlight w:val="none"/>
        </w:rPr>
        <w:t>进行恰当有效</w:t>
      </w:r>
      <w:r>
        <w:rPr>
          <w:rFonts w:hint="eastAsia" w:ascii="仿宋_GB2312" w:hAnsi="微软雅黑" w:eastAsia="仿宋_GB2312" w:cs="宋体"/>
          <w:color w:val="auto"/>
          <w:kern w:val="0"/>
          <w:sz w:val="32"/>
          <w:szCs w:val="32"/>
          <w:highlight w:val="none"/>
          <w:lang w:val="en-US" w:eastAsia="zh-CN"/>
        </w:rPr>
        <w:t>优化</w:t>
      </w:r>
      <w:r>
        <w:rPr>
          <w:rFonts w:hint="eastAsia" w:ascii="仿宋_GB2312" w:hAnsi="微软雅黑" w:eastAsia="仿宋_GB2312" w:cs="宋体"/>
          <w:color w:val="auto"/>
          <w:kern w:val="0"/>
          <w:sz w:val="32"/>
          <w:szCs w:val="32"/>
          <w:highlight w:val="none"/>
        </w:rPr>
        <w:t>；在</w:t>
      </w:r>
      <w:r>
        <w:rPr>
          <w:rFonts w:hint="eastAsia" w:ascii="仿宋_GB2312" w:hAnsi="微软雅黑" w:eastAsia="仿宋_GB2312" w:cs="宋体"/>
          <w:color w:val="auto"/>
          <w:kern w:val="0"/>
          <w:sz w:val="32"/>
          <w:szCs w:val="32"/>
          <w:highlight w:val="none"/>
          <w:lang w:val="en-US" w:eastAsia="zh-CN"/>
        </w:rPr>
        <w:t>坚守定位</w:t>
      </w:r>
      <w:r>
        <w:rPr>
          <w:rFonts w:hint="eastAsia" w:ascii="仿宋_GB2312" w:hAnsi="微软雅黑" w:eastAsia="仿宋_GB2312" w:cs="宋体"/>
          <w:color w:val="auto"/>
          <w:kern w:val="0"/>
          <w:sz w:val="32"/>
          <w:szCs w:val="32"/>
          <w:highlight w:val="none"/>
        </w:rPr>
        <w:t>上，</w:t>
      </w:r>
      <w:r>
        <w:rPr>
          <w:rFonts w:hint="eastAsia" w:ascii="仿宋_GB2312" w:hAnsi="微软雅黑" w:eastAsia="仿宋_GB2312" w:cs="宋体"/>
          <w:color w:val="auto"/>
          <w:kern w:val="0"/>
          <w:sz w:val="32"/>
          <w:szCs w:val="32"/>
          <w:highlight w:val="none"/>
          <w:lang w:val="en-US" w:eastAsia="zh-CN"/>
        </w:rPr>
        <w:t>持续做好</w:t>
      </w:r>
      <w:r>
        <w:rPr>
          <w:rFonts w:hint="eastAsia" w:ascii="仿宋_GB2312" w:hAnsi="微软雅黑" w:eastAsia="仿宋_GB2312" w:cs="宋体"/>
          <w:color w:val="auto"/>
          <w:kern w:val="0"/>
          <w:sz w:val="32"/>
          <w:szCs w:val="32"/>
          <w:highlight w:val="none"/>
        </w:rPr>
        <w:t>支农支小</w:t>
      </w:r>
      <w:r>
        <w:rPr>
          <w:rFonts w:hint="eastAsia" w:ascii="仿宋_GB2312" w:hAnsi="微软雅黑" w:eastAsia="仿宋_GB2312" w:cs="宋体"/>
          <w:color w:val="auto"/>
          <w:kern w:val="0"/>
          <w:sz w:val="32"/>
          <w:szCs w:val="32"/>
          <w:highlight w:val="none"/>
          <w:lang w:val="en-US" w:eastAsia="zh-CN"/>
        </w:rPr>
        <w:t>支微不动摇</w:t>
      </w:r>
      <w:r>
        <w:rPr>
          <w:rFonts w:hint="eastAsia" w:ascii="仿宋_GB2312" w:hAnsi="微软雅黑" w:eastAsia="仿宋_GB2312" w:cs="宋体"/>
          <w:color w:val="auto"/>
          <w:kern w:val="0"/>
          <w:sz w:val="32"/>
          <w:szCs w:val="32"/>
          <w:highlight w:val="none"/>
        </w:rPr>
        <w:t>，大力拓展500万元以下非碳排放核算主体融资业务；在农业用途上，针对非绿色规模化种植业和养殖业进行有效风险规避和转移；在消费金融中通过提供差异化金融产品，对绿色环保消费提供利率优惠，有效引导客户</w:t>
      </w:r>
      <w:r>
        <w:rPr>
          <w:rFonts w:hint="eastAsia" w:ascii="仿宋_GB2312" w:hAnsi="微软雅黑" w:eastAsia="仿宋_GB2312" w:cs="宋体"/>
          <w:color w:val="auto"/>
          <w:kern w:val="0"/>
          <w:sz w:val="32"/>
          <w:szCs w:val="32"/>
          <w:highlight w:val="none"/>
          <w:lang w:val="en-US" w:eastAsia="zh-CN"/>
        </w:rPr>
        <w:t>建立</w:t>
      </w:r>
      <w:r>
        <w:rPr>
          <w:rFonts w:hint="eastAsia" w:ascii="仿宋_GB2312" w:hAnsi="微软雅黑" w:eastAsia="仿宋_GB2312" w:cs="宋体"/>
          <w:color w:val="auto"/>
          <w:kern w:val="0"/>
          <w:sz w:val="32"/>
          <w:szCs w:val="32"/>
          <w:highlight w:val="none"/>
        </w:rPr>
        <w:t>绿色消费转型</w:t>
      </w:r>
      <w:r>
        <w:rPr>
          <w:rFonts w:hint="eastAsia" w:ascii="仿宋_GB2312" w:hAnsi="微软雅黑" w:eastAsia="仿宋_GB2312" w:cs="宋体"/>
          <w:color w:val="auto"/>
          <w:kern w:val="0"/>
          <w:sz w:val="32"/>
          <w:szCs w:val="32"/>
          <w:highlight w:val="none"/>
          <w:lang w:val="en-US" w:eastAsia="zh-CN"/>
        </w:rPr>
        <w:t>观念</w:t>
      </w:r>
      <w:r>
        <w:rPr>
          <w:rFonts w:hint="eastAsia" w:ascii="仿宋_GB2312" w:hAnsi="微软雅黑" w:eastAsia="仿宋_GB2312" w:cs="宋体"/>
          <w:color w:val="auto"/>
          <w:kern w:val="0"/>
          <w:sz w:val="32"/>
          <w:szCs w:val="32"/>
          <w:highlight w:val="none"/>
        </w:rPr>
        <w:t>。</w:t>
      </w:r>
      <w:r>
        <w:rPr>
          <w:rFonts w:hint="eastAsia"/>
          <w:b/>
          <w:bCs/>
          <w:color w:val="auto"/>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highlight w:val="none"/>
        </w:rPr>
      </w:pPr>
      <w:r>
        <w:rPr>
          <w:rFonts w:hint="eastAsia" w:ascii="楷体" w:hAnsi="楷体" w:eastAsia="楷体" w:cs="楷体"/>
          <w:color w:val="auto"/>
          <w:sz w:val="32"/>
          <w:szCs w:val="32"/>
          <w:highlight w:val="none"/>
          <w:lang w:val="en-US" w:eastAsia="zh-CN"/>
        </w:rPr>
        <w:t>（二）</w:t>
      </w:r>
      <w:r>
        <w:rPr>
          <w:rFonts w:hint="eastAsia" w:ascii="楷体" w:hAnsi="楷体" w:eastAsia="楷体" w:cs="楷体"/>
          <w:color w:val="auto"/>
          <w:sz w:val="32"/>
          <w:szCs w:val="32"/>
          <w:highlight w:val="none"/>
        </w:rPr>
        <w:t>绿色发展方面的机遇</w:t>
      </w:r>
      <w:r>
        <w:rPr>
          <w:rFonts w:hint="eastAsia" w:ascii="楷体" w:hAnsi="楷体" w:eastAsia="楷体" w:cs="楷体"/>
          <w:color w:val="auto"/>
          <w:sz w:val="32"/>
          <w:szCs w:val="32"/>
          <w:highlight w:val="none"/>
          <w:lang w:eastAsia="zh-CN"/>
        </w:rPr>
        <w:t>。</w:t>
      </w:r>
      <w:r>
        <w:rPr>
          <w:rFonts w:ascii="仿宋_GB2312" w:hAnsi="仿宋_GB2312" w:eastAsia="仿宋_GB2312" w:cs="仿宋_GB2312"/>
          <w:color w:val="auto"/>
          <w:kern w:val="0"/>
          <w:sz w:val="32"/>
          <w:szCs w:val="32"/>
          <w:highlight w:val="none"/>
          <w:lang w:val="en-US" w:eastAsia="zh-CN" w:bidi="ar-SA"/>
        </w:rPr>
        <w:t>建设绿色金融业务基础设施，大力发展绿色金融业务，有助于</w:t>
      </w:r>
      <w:r>
        <w:rPr>
          <w:rFonts w:hint="eastAsia" w:ascii="仿宋_GB2312" w:hAnsi="仿宋_GB2312" w:eastAsia="仿宋_GB2312" w:cs="仿宋_GB2312"/>
          <w:color w:val="auto"/>
          <w:kern w:val="0"/>
          <w:sz w:val="32"/>
          <w:szCs w:val="32"/>
          <w:highlight w:val="none"/>
          <w:lang w:val="en-US" w:eastAsia="zh-CN" w:bidi="ar-SA"/>
        </w:rPr>
        <w:t>本行</w:t>
      </w:r>
      <w:r>
        <w:rPr>
          <w:rFonts w:ascii="仿宋_GB2312" w:hAnsi="仿宋_GB2312" w:eastAsia="仿宋_GB2312" w:cs="仿宋_GB2312"/>
          <w:color w:val="auto"/>
          <w:kern w:val="0"/>
          <w:sz w:val="32"/>
          <w:szCs w:val="32"/>
          <w:highlight w:val="none"/>
          <w:lang w:val="en-US" w:eastAsia="zh-CN" w:bidi="ar-SA"/>
        </w:rPr>
        <w:t>降低业务风险</w:t>
      </w:r>
      <w:r>
        <w:rPr>
          <w:rFonts w:hint="eastAsia" w:ascii="仿宋_GB2312" w:hAnsi="仿宋_GB2312" w:eastAsia="仿宋_GB2312" w:cs="仿宋_GB2312"/>
          <w:color w:val="auto"/>
          <w:kern w:val="0"/>
          <w:sz w:val="32"/>
          <w:szCs w:val="32"/>
          <w:highlight w:val="none"/>
          <w:lang w:val="en-US" w:eastAsia="zh-CN" w:bidi="ar-SA"/>
        </w:rPr>
        <w:t>，通过</w:t>
      </w:r>
      <w:r>
        <w:rPr>
          <w:rFonts w:ascii="仿宋_GB2312" w:hAnsi="仿宋_GB2312" w:eastAsia="仿宋_GB2312" w:cs="仿宋_GB2312"/>
          <w:color w:val="auto"/>
          <w:kern w:val="0"/>
          <w:sz w:val="32"/>
          <w:szCs w:val="32"/>
          <w:highlight w:val="none"/>
          <w:lang w:val="en-US" w:eastAsia="zh-CN" w:bidi="ar-SA"/>
        </w:rPr>
        <w:t>逐渐转变贷款客户</w:t>
      </w:r>
      <w:r>
        <w:rPr>
          <w:rFonts w:hint="eastAsia" w:ascii="仿宋_GB2312" w:hAnsi="仿宋_GB2312" w:eastAsia="仿宋_GB2312" w:cs="仿宋_GB2312"/>
          <w:color w:val="auto"/>
          <w:kern w:val="0"/>
          <w:sz w:val="32"/>
          <w:szCs w:val="32"/>
          <w:highlight w:val="none"/>
          <w:lang w:val="en-US" w:eastAsia="zh-CN" w:bidi="ar-SA"/>
        </w:rPr>
        <w:t>投向</w:t>
      </w:r>
      <w:r>
        <w:rPr>
          <w:rFonts w:ascii="仿宋_GB2312" w:hAnsi="仿宋_GB2312" w:eastAsia="仿宋_GB2312" w:cs="仿宋_GB2312"/>
          <w:color w:val="auto"/>
          <w:kern w:val="0"/>
          <w:sz w:val="32"/>
          <w:szCs w:val="32"/>
          <w:highlight w:val="none"/>
          <w:lang w:val="en-US" w:eastAsia="zh-CN" w:bidi="ar-SA"/>
        </w:rPr>
        <w:t>，把如房地产、钢铁等行业客户逐渐转向绿色行业</w:t>
      </w:r>
      <w:r>
        <w:rPr>
          <w:rFonts w:hint="eastAsia" w:ascii="仿宋_GB2312" w:hAnsi="仿宋_GB2312" w:eastAsia="仿宋_GB2312" w:cs="仿宋_GB2312"/>
          <w:color w:val="auto"/>
          <w:kern w:val="0"/>
          <w:sz w:val="32"/>
          <w:szCs w:val="32"/>
          <w:highlight w:val="none"/>
          <w:lang w:val="en-US" w:eastAsia="zh-CN" w:bidi="ar-SA"/>
        </w:rPr>
        <w:t>，</w:t>
      </w:r>
      <w:r>
        <w:rPr>
          <w:rFonts w:ascii="仿宋_GB2312" w:hAnsi="仿宋_GB2312" w:eastAsia="仿宋_GB2312" w:cs="仿宋_GB2312"/>
          <w:color w:val="auto"/>
          <w:kern w:val="0"/>
          <w:sz w:val="32"/>
          <w:szCs w:val="32"/>
          <w:highlight w:val="none"/>
          <w:lang w:val="en-US" w:eastAsia="zh-CN" w:bidi="ar-SA"/>
        </w:rPr>
        <w:t>围绕绿色金融产品不断实施创新，开发绿色生态保护金融衍生工具，不断引导市场投资者对绿色金融产品投资，进一步引导企业走低污染、低能耗的绿色可持续发展之路。</w:t>
      </w:r>
      <w:r>
        <w:rPr>
          <w:rFonts w:hint="eastAsia" w:ascii="仿宋_GB2312" w:eastAsia="仿宋_GB2312"/>
          <w:color w:val="auto"/>
          <w:sz w:val="32"/>
          <w:szCs w:val="32"/>
          <w:highlight w:val="none"/>
          <w:lang w:eastAsia="zh-CN"/>
        </w:rPr>
        <w:t>绿色金融不仅能够赋能企业绿色技术创新、优化能源结构，提高资源利用效率和生产率，还能够降低本行风险承担水平，提升本行服务“三农、小微企业”市场价值和盈利能力，</w:t>
      </w:r>
      <w:r>
        <w:rPr>
          <w:rFonts w:hint="eastAsia" w:ascii="仿宋_GB2312" w:eastAsia="仿宋_GB2312"/>
          <w:color w:val="auto"/>
          <w:sz w:val="32"/>
          <w:szCs w:val="32"/>
          <w:highlight w:val="none"/>
          <w:lang w:val="en-US" w:eastAsia="zh-CN"/>
        </w:rPr>
        <w:t>是实现金融市场高质量发展的必由之路</w:t>
      </w:r>
      <w:r>
        <w:rPr>
          <w:rFonts w:hint="eastAsia" w:ascii="仿宋_GB2312" w:eastAsia="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right="630" w:firstLine="640" w:firstLineChars="200"/>
        <w:textAlignment w:val="auto"/>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lang w:eastAsia="zh-CN"/>
        </w:rPr>
        <w:t>六、</w:t>
      </w:r>
      <w:r>
        <w:rPr>
          <w:rFonts w:hint="eastAsia" w:ascii="黑体" w:hAnsi="黑体" w:eastAsia="黑体" w:cs="黑体"/>
          <w:sz w:val="32"/>
          <w:szCs w:val="32"/>
          <w:highlight w:val="none"/>
        </w:rPr>
        <w:t>经营活动的环境影响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经营活动温室气体排放情况</w:t>
      </w:r>
    </w:p>
    <w:tbl>
      <w:tblPr>
        <w:tblStyle w:val="13"/>
        <w:tblW w:w="798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28"/>
        <w:gridCol w:w="1817"/>
        <w:gridCol w:w="1341"/>
        <w:gridCol w:w="2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52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sz w:val="32"/>
                <w:szCs w:val="32"/>
                <w:highlight w:val="none"/>
                <w:u w:val="none"/>
              </w:rPr>
            </w:pPr>
            <w:r>
              <w:rPr>
                <w:rFonts w:hint="eastAsia" w:ascii="仿宋_GB2312" w:hAnsi="仿宋_GB2312" w:eastAsia="仿宋_GB2312" w:cs="仿宋_GB2312"/>
                <w:b/>
                <w:bCs/>
                <w:i w:val="0"/>
                <w:iCs w:val="0"/>
                <w:color w:val="000000"/>
                <w:kern w:val="0"/>
                <w:sz w:val="32"/>
                <w:szCs w:val="32"/>
                <w:highlight w:val="none"/>
                <w:u w:val="none"/>
                <w:lang w:val="en-US" w:eastAsia="zh-CN" w:bidi="ar"/>
              </w:rPr>
              <w:t>指标</w:t>
            </w:r>
          </w:p>
        </w:tc>
        <w:tc>
          <w:tcPr>
            <w:tcW w:w="181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sz w:val="32"/>
                <w:szCs w:val="32"/>
                <w:highlight w:val="none"/>
                <w:u w:val="none"/>
              </w:rPr>
            </w:pPr>
            <w:r>
              <w:rPr>
                <w:rFonts w:hint="eastAsia" w:ascii="仿宋_GB2312" w:hAnsi="仿宋_GB2312" w:eastAsia="仿宋_GB2312" w:cs="仿宋_GB2312"/>
                <w:b/>
                <w:bCs/>
                <w:i w:val="0"/>
                <w:iCs w:val="0"/>
                <w:color w:val="000000"/>
                <w:kern w:val="0"/>
                <w:sz w:val="32"/>
                <w:szCs w:val="32"/>
                <w:highlight w:val="none"/>
                <w:u w:val="none"/>
                <w:lang w:val="en-US" w:eastAsia="zh-CN" w:bidi="ar"/>
              </w:rPr>
              <w:t>单位</w:t>
            </w:r>
          </w:p>
        </w:tc>
        <w:tc>
          <w:tcPr>
            <w:tcW w:w="1341"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sz w:val="32"/>
                <w:szCs w:val="32"/>
                <w:highlight w:val="none"/>
                <w:u w:val="none"/>
              </w:rPr>
            </w:pPr>
            <w:r>
              <w:rPr>
                <w:rFonts w:hint="eastAsia" w:ascii="仿宋_GB2312" w:hAnsi="仿宋_GB2312" w:eastAsia="仿宋_GB2312" w:cs="仿宋_GB2312"/>
                <w:b/>
                <w:bCs/>
                <w:i w:val="0"/>
                <w:iCs w:val="0"/>
                <w:color w:val="000000"/>
                <w:kern w:val="0"/>
                <w:sz w:val="32"/>
                <w:szCs w:val="32"/>
                <w:highlight w:val="none"/>
                <w:u w:val="none"/>
                <w:lang w:val="en-US" w:eastAsia="zh-CN" w:bidi="ar"/>
              </w:rPr>
              <w:t>2023年消耗量</w:t>
            </w:r>
          </w:p>
        </w:tc>
        <w:tc>
          <w:tcPr>
            <w:tcW w:w="230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b/>
                <w:bCs/>
                <w:i w:val="0"/>
                <w:iCs w:val="0"/>
                <w:color w:val="000000"/>
                <w:sz w:val="32"/>
                <w:szCs w:val="32"/>
                <w:highlight w:val="none"/>
                <w:u w:val="none"/>
              </w:rPr>
            </w:pPr>
            <w:r>
              <w:rPr>
                <w:rFonts w:hint="eastAsia" w:ascii="仿宋_GB2312" w:hAnsi="仿宋_GB2312" w:eastAsia="仿宋_GB2312" w:cs="仿宋_GB2312"/>
                <w:b/>
                <w:bCs/>
                <w:i w:val="0"/>
                <w:iCs w:val="0"/>
                <w:color w:val="000000"/>
                <w:kern w:val="0"/>
                <w:sz w:val="32"/>
                <w:szCs w:val="32"/>
                <w:highlight w:val="none"/>
                <w:u w:val="none"/>
                <w:lang w:val="en-US" w:eastAsia="zh-CN" w:bidi="ar"/>
              </w:rPr>
              <w:t>2023年二氧化碳排放量（吨）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28"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Style w:val="25"/>
                <w:rFonts w:hint="eastAsia" w:ascii="仿宋_GB2312" w:hAnsi="仿宋_GB2312" w:eastAsia="仿宋_GB2312" w:cs="仿宋_GB2312"/>
                <w:sz w:val="32"/>
                <w:szCs w:val="32"/>
                <w:highlight w:val="none"/>
                <w:lang w:val="en-US" w:eastAsia="zh-CN" w:bidi="ar"/>
              </w:rPr>
              <w:t>天然气</w:t>
            </w:r>
          </w:p>
        </w:tc>
        <w:tc>
          <w:tcPr>
            <w:tcW w:w="1817"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Style w:val="25"/>
                <w:rFonts w:hint="eastAsia" w:ascii="仿宋_GB2312" w:hAnsi="仿宋_GB2312" w:eastAsia="仿宋_GB2312" w:cs="仿宋_GB2312"/>
                <w:sz w:val="32"/>
                <w:szCs w:val="32"/>
                <w:highlight w:val="none"/>
                <w:lang w:val="en-US" w:eastAsia="zh-CN" w:bidi="ar"/>
              </w:rPr>
              <w:t>立方米</w:t>
            </w:r>
          </w:p>
        </w:tc>
        <w:tc>
          <w:tcPr>
            <w:tcW w:w="1341"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0</w:t>
            </w:r>
          </w:p>
        </w:tc>
        <w:tc>
          <w:tcPr>
            <w:tcW w:w="2303"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2528"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Style w:val="25"/>
                <w:rFonts w:hint="eastAsia" w:ascii="仿宋_GB2312" w:hAnsi="仿宋_GB2312" w:eastAsia="仿宋_GB2312" w:cs="仿宋_GB2312"/>
                <w:sz w:val="32"/>
                <w:szCs w:val="32"/>
                <w:highlight w:val="none"/>
                <w:lang w:val="en-US" w:eastAsia="zh-CN" w:bidi="ar"/>
              </w:rPr>
              <w:t>液化石油气</w:t>
            </w:r>
          </w:p>
        </w:tc>
        <w:tc>
          <w:tcPr>
            <w:tcW w:w="1817"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Style w:val="25"/>
                <w:rFonts w:hint="eastAsia" w:ascii="仿宋_GB2312" w:hAnsi="仿宋_GB2312" w:eastAsia="仿宋_GB2312" w:cs="仿宋_GB2312"/>
                <w:sz w:val="32"/>
                <w:szCs w:val="32"/>
                <w:highlight w:val="none"/>
                <w:lang w:val="en-US" w:eastAsia="zh-CN" w:bidi="ar"/>
              </w:rPr>
              <w:t>千克</w:t>
            </w:r>
          </w:p>
        </w:tc>
        <w:tc>
          <w:tcPr>
            <w:tcW w:w="1341"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0</w:t>
            </w:r>
          </w:p>
        </w:tc>
        <w:tc>
          <w:tcPr>
            <w:tcW w:w="2303"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28"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Style w:val="25"/>
                <w:rFonts w:hint="eastAsia" w:ascii="仿宋_GB2312" w:hAnsi="仿宋_GB2312" w:eastAsia="仿宋_GB2312" w:cs="仿宋_GB2312"/>
                <w:sz w:val="32"/>
                <w:szCs w:val="32"/>
                <w:highlight w:val="none"/>
                <w:lang w:val="en-US" w:eastAsia="zh-CN" w:bidi="ar"/>
              </w:rPr>
              <w:t>煤</w:t>
            </w:r>
          </w:p>
        </w:tc>
        <w:tc>
          <w:tcPr>
            <w:tcW w:w="1817"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Style w:val="25"/>
                <w:rFonts w:hint="eastAsia" w:ascii="仿宋_GB2312" w:hAnsi="仿宋_GB2312" w:eastAsia="仿宋_GB2312" w:cs="仿宋_GB2312"/>
                <w:sz w:val="32"/>
                <w:szCs w:val="32"/>
                <w:highlight w:val="none"/>
                <w:lang w:val="en-US" w:eastAsia="zh-CN" w:bidi="ar"/>
              </w:rPr>
              <w:t>吨</w:t>
            </w:r>
          </w:p>
        </w:tc>
        <w:tc>
          <w:tcPr>
            <w:tcW w:w="1341"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0</w:t>
            </w:r>
          </w:p>
        </w:tc>
        <w:tc>
          <w:tcPr>
            <w:tcW w:w="2303"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28"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Style w:val="25"/>
                <w:rFonts w:hint="eastAsia" w:ascii="仿宋_GB2312" w:hAnsi="仿宋_GB2312" w:eastAsia="仿宋_GB2312" w:cs="仿宋_GB2312"/>
                <w:sz w:val="32"/>
                <w:szCs w:val="32"/>
                <w:highlight w:val="none"/>
                <w:lang w:val="en-US" w:eastAsia="zh-CN" w:bidi="ar"/>
              </w:rPr>
              <w:t>公车用汽油</w:t>
            </w:r>
          </w:p>
        </w:tc>
        <w:tc>
          <w:tcPr>
            <w:tcW w:w="1817"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Style w:val="25"/>
                <w:rFonts w:hint="eastAsia" w:ascii="仿宋_GB2312" w:hAnsi="仿宋_GB2312" w:eastAsia="仿宋_GB2312" w:cs="仿宋_GB2312"/>
                <w:sz w:val="32"/>
                <w:szCs w:val="32"/>
                <w:highlight w:val="none"/>
                <w:lang w:val="en-US" w:eastAsia="zh-CN" w:bidi="ar"/>
              </w:rPr>
              <w:t>升</w:t>
            </w:r>
          </w:p>
        </w:tc>
        <w:tc>
          <w:tcPr>
            <w:tcW w:w="1341"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7525</w:t>
            </w:r>
          </w:p>
        </w:tc>
        <w:tc>
          <w:tcPr>
            <w:tcW w:w="2303"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 xml:space="preserve">16.37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28"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Style w:val="25"/>
                <w:rFonts w:hint="eastAsia" w:ascii="仿宋_GB2312" w:hAnsi="仿宋_GB2312" w:eastAsia="仿宋_GB2312" w:cs="仿宋_GB2312"/>
                <w:sz w:val="32"/>
                <w:szCs w:val="32"/>
                <w:highlight w:val="none"/>
                <w:lang w:val="en-US" w:eastAsia="zh-CN" w:bidi="ar"/>
              </w:rPr>
              <w:t>公车用柴油</w:t>
            </w:r>
          </w:p>
        </w:tc>
        <w:tc>
          <w:tcPr>
            <w:tcW w:w="1817"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Style w:val="25"/>
                <w:rFonts w:hint="eastAsia" w:ascii="仿宋_GB2312" w:hAnsi="仿宋_GB2312" w:eastAsia="仿宋_GB2312" w:cs="仿宋_GB2312"/>
                <w:sz w:val="32"/>
                <w:szCs w:val="32"/>
                <w:highlight w:val="none"/>
                <w:lang w:val="en-US" w:eastAsia="zh-CN" w:bidi="ar"/>
              </w:rPr>
              <w:t>升</w:t>
            </w:r>
          </w:p>
        </w:tc>
        <w:tc>
          <w:tcPr>
            <w:tcW w:w="1341"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7950</w:t>
            </w:r>
          </w:p>
        </w:tc>
        <w:tc>
          <w:tcPr>
            <w:tcW w:w="2303"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 xml:space="preserve">21.10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28"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Style w:val="25"/>
                <w:rFonts w:hint="eastAsia" w:ascii="仿宋_GB2312" w:hAnsi="仿宋_GB2312" w:eastAsia="仿宋_GB2312" w:cs="仿宋_GB2312"/>
                <w:sz w:val="32"/>
                <w:szCs w:val="32"/>
                <w:highlight w:val="none"/>
                <w:lang w:val="en-US" w:eastAsia="zh-CN" w:bidi="ar"/>
              </w:rPr>
              <w:t>外购电力</w:t>
            </w:r>
          </w:p>
        </w:tc>
        <w:tc>
          <w:tcPr>
            <w:tcW w:w="1817"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Style w:val="25"/>
                <w:rFonts w:hint="eastAsia" w:ascii="仿宋_GB2312" w:hAnsi="仿宋_GB2312" w:eastAsia="仿宋_GB2312" w:cs="仿宋_GB2312"/>
                <w:sz w:val="32"/>
                <w:szCs w:val="32"/>
                <w:highlight w:val="none"/>
                <w:lang w:val="en-US" w:eastAsia="zh-CN" w:bidi="ar"/>
              </w:rPr>
              <w:t>千瓦时</w:t>
            </w:r>
          </w:p>
        </w:tc>
        <w:tc>
          <w:tcPr>
            <w:tcW w:w="1341"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3076923</w:t>
            </w:r>
          </w:p>
        </w:tc>
        <w:tc>
          <w:tcPr>
            <w:tcW w:w="2303"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 xml:space="preserve">1522.77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28"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Style w:val="25"/>
                <w:rFonts w:hint="eastAsia" w:ascii="仿宋_GB2312" w:hAnsi="仿宋_GB2312" w:eastAsia="仿宋_GB2312" w:cs="仿宋_GB2312"/>
                <w:sz w:val="32"/>
                <w:szCs w:val="32"/>
                <w:highlight w:val="none"/>
                <w:lang w:val="en-US" w:eastAsia="zh-CN" w:bidi="ar"/>
              </w:rPr>
              <w:t>办公用水消耗</w:t>
            </w:r>
          </w:p>
        </w:tc>
        <w:tc>
          <w:tcPr>
            <w:tcW w:w="1817"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Style w:val="25"/>
                <w:rFonts w:hint="eastAsia" w:ascii="仿宋_GB2312" w:hAnsi="仿宋_GB2312" w:eastAsia="仿宋_GB2312" w:cs="仿宋_GB2312"/>
                <w:sz w:val="32"/>
                <w:szCs w:val="32"/>
                <w:highlight w:val="none"/>
                <w:lang w:val="en-US" w:eastAsia="zh-CN" w:bidi="ar"/>
              </w:rPr>
              <w:t>吨</w:t>
            </w:r>
          </w:p>
        </w:tc>
        <w:tc>
          <w:tcPr>
            <w:tcW w:w="1341"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7000</w:t>
            </w:r>
          </w:p>
        </w:tc>
        <w:tc>
          <w:tcPr>
            <w:tcW w:w="2303"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 xml:space="preserve">12.95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528"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Style w:val="25"/>
                <w:rFonts w:hint="eastAsia" w:ascii="仿宋_GB2312" w:hAnsi="仿宋_GB2312" w:eastAsia="仿宋_GB2312" w:cs="仿宋_GB2312"/>
                <w:sz w:val="32"/>
                <w:szCs w:val="32"/>
                <w:highlight w:val="none"/>
                <w:lang w:val="en-US" w:eastAsia="zh-CN" w:bidi="ar"/>
              </w:rPr>
              <w:t>办公用纸消耗量</w:t>
            </w:r>
          </w:p>
        </w:tc>
        <w:tc>
          <w:tcPr>
            <w:tcW w:w="1817"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Style w:val="25"/>
                <w:rFonts w:hint="eastAsia" w:ascii="仿宋_GB2312" w:hAnsi="仿宋_GB2312" w:eastAsia="仿宋_GB2312" w:cs="仿宋_GB2312"/>
                <w:sz w:val="32"/>
                <w:szCs w:val="32"/>
                <w:highlight w:val="none"/>
                <w:lang w:val="en-US" w:eastAsia="zh-CN" w:bidi="ar"/>
              </w:rPr>
              <w:t>张</w:t>
            </w:r>
          </w:p>
        </w:tc>
        <w:tc>
          <w:tcPr>
            <w:tcW w:w="1341"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top"/>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420000</w:t>
            </w:r>
          </w:p>
        </w:tc>
        <w:tc>
          <w:tcPr>
            <w:tcW w:w="2303" w:type="dxa"/>
            <w:tcBorders>
              <w:top w:val="nil"/>
              <w:left w:val="single" w:color="000000" w:sz="8" w:space="0"/>
              <w:bottom w:val="single" w:color="000000" w:sz="8" w:space="0"/>
              <w:right w:val="single" w:color="000000" w:sz="8"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仿宋_GB2312" w:hAnsi="仿宋_GB2312" w:eastAsia="仿宋_GB2312" w:cs="仿宋_GB2312"/>
                <w:i w:val="0"/>
                <w:iCs w:val="0"/>
                <w:color w:val="000000"/>
                <w:sz w:val="32"/>
                <w:szCs w:val="32"/>
                <w:highlight w:val="none"/>
                <w:u w:val="none"/>
              </w:rPr>
            </w:pPr>
            <w:r>
              <w:rPr>
                <w:rFonts w:hint="eastAsia" w:ascii="仿宋_GB2312" w:hAnsi="仿宋_GB2312" w:eastAsia="仿宋_GB2312" w:cs="仿宋_GB2312"/>
                <w:i w:val="0"/>
                <w:iCs w:val="0"/>
                <w:color w:val="000000"/>
                <w:kern w:val="0"/>
                <w:sz w:val="32"/>
                <w:szCs w:val="32"/>
                <w:highlight w:val="none"/>
                <w:u w:val="none"/>
                <w:lang w:val="en-US" w:eastAsia="zh-CN" w:bidi="ar"/>
              </w:rPr>
              <w:t xml:space="preserve">3.23 </w:t>
            </w:r>
          </w:p>
        </w:tc>
      </w:tr>
    </w:tbl>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eastAsia="仿宋_GB2312"/>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eastAsia="zh-CN"/>
        </w:rPr>
      </w:pPr>
      <w:r>
        <w:rPr>
          <w:rFonts w:hint="eastAsia" w:ascii="仿宋_GB2312" w:eastAsia="仿宋_GB2312"/>
          <w:color w:val="auto"/>
          <w:sz w:val="32"/>
          <w:szCs w:val="32"/>
          <w:highlight w:val="none"/>
          <w:lang w:val="en-US" w:eastAsia="zh-CN"/>
        </w:rPr>
        <w:t>为</w:t>
      </w:r>
      <w:r>
        <w:rPr>
          <w:rFonts w:hint="eastAsia" w:ascii="仿宋_GB2312" w:eastAsia="仿宋_GB2312"/>
          <w:color w:val="auto"/>
          <w:sz w:val="32"/>
          <w:szCs w:val="32"/>
          <w:highlight w:val="none"/>
        </w:rPr>
        <w:t>推动</w:t>
      </w:r>
      <w:r>
        <w:rPr>
          <w:rFonts w:hint="eastAsia" w:ascii="仿宋_GB2312" w:eastAsia="仿宋_GB2312"/>
          <w:color w:val="auto"/>
          <w:sz w:val="32"/>
          <w:szCs w:val="32"/>
          <w:highlight w:val="none"/>
          <w:lang w:val="en-US" w:eastAsia="zh-CN"/>
        </w:rPr>
        <w:t>全行</w:t>
      </w:r>
      <w:r>
        <w:rPr>
          <w:rFonts w:hint="default" w:ascii="仿宋_GB2312" w:eastAsia="仿宋_GB2312" w:cs="仿宋_GB2312"/>
          <w:color w:val="auto"/>
          <w:sz w:val="31"/>
          <w:szCs w:val="31"/>
          <w:highlight w:val="none"/>
        </w:rPr>
        <w:t>勤俭办行、厉行节约，反对铺张浪费、提高能源资源利</w:t>
      </w:r>
      <w:r>
        <w:rPr>
          <w:rFonts w:hint="eastAsia" w:ascii="仿宋_GB2312" w:eastAsia="仿宋_GB2312" w:cs="仿宋_GB2312"/>
          <w:color w:val="auto"/>
          <w:sz w:val="31"/>
          <w:szCs w:val="31"/>
          <w:highlight w:val="none"/>
          <w:lang w:val="en-US" w:eastAsia="zh-CN"/>
        </w:rPr>
        <w:t>用效率</w:t>
      </w:r>
      <w:r>
        <w:rPr>
          <w:rFonts w:hint="default" w:ascii="仿宋_GB2312" w:eastAsia="仿宋_GB2312" w:cs="仿宋_GB2312"/>
          <w:color w:val="auto"/>
          <w:sz w:val="31"/>
          <w:szCs w:val="31"/>
          <w:highlight w:val="none"/>
        </w:rPr>
        <w:t>，</w:t>
      </w:r>
      <w:r>
        <w:rPr>
          <w:rFonts w:hint="eastAsia" w:ascii="仿宋_GB2312" w:eastAsia="仿宋_GB2312" w:cs="仿宋_GB2312"/>
          <w:color w:val="auto"/>
          <w:sz w:val="31"/>
          <w:szCs w:val="31"/>
          <w:highlight w:val="none"/>
          <w:lang w:val="en-US" w:eastAsia="zh-CN"/>
        </w:rPr>
        <w:t>确保各项支出精打细算，降低运营成本，推行绿色办公，</w:t>
      </w:r>
      <w:r>
        <w:rPr>
          <w:rFonts w:hint="default" w:ascii="仿宋_GB2312" w:eastAsia="仿宋_GB2312" w:cs="仿宋_GB2312"/>
          <w:color w:val="auto"/>
          <w:sz w:val="31"/>
          <w:szCs w:val="31"/>
          <w:highlight w:val="none"/>
        </w:rPr>
        <w:t>营造节约为荣、浪费为耻的良好风尚和崇尚绿色生活的良好氛围</w:t>
      </w:r>
      <w:r>
        <w:rPr>
          <w:rFonts w:hint="eastAsia" w:ascii="仿宋_GB2312" w:eastAsia="仿宋_GB2312" w:cs="仿宋_GB2312"/>
          <w:color w:val="auto"/>
          <w:sz w:val="31"/>
          <w:szCs w:val="31"/>
          <w:highlight w:val="none"/>
          <w:lang w:eastAsia="zh-CN"/>
        </w:rPr>
        <w:t>，</w:t>
      </w:r>
      <w:r>
        <w:rPr>
          <w:rFonts w:hint="eastAsia" w:ascii="仿宋_GB2312" w:eastAsia="仿宋_GB2312" w:cs="仿宋_GB2312"/>
          <w:color w:val="auto"/>
          <w:sz w:val="31"/>
          <w:szCs w:val="31"/>
          <w:highlight w:val="none"/>
          <w:lang w:val="en-US" w:eastAsia="zh-CN"/>
        </w:rPr>
        <w:t>从</w:t>
      </w:r>
      <w:r>
        <w:rPr>
          <w:rFonts w:hint="eastAsia" w:ascii="仿宋_GB2312" w:eastAsia="仿宋_GB2312"/>
          <w:color w:val="auto"/>
          <w:sz w:val="32"/>
          <w:szCs w:val="32"/>
          <w:highlight w:val="none"/>
          <w:lang w:val="en-US" w:eastAsia="zh-CN"/>
        </w:rPr>
        <w:t>能耗管理、办公节约</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val="en-US" w:eastAsia="zh-CN"/>
        </w:rPr>
        <w:t>用电节约、用水节约、用车节约、办公用房节约、食堂管理等多方面积极推行了环保措施。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highlight w:val="none"/>
          <w:lang w:val="en-US" w:eastAsia="zh-CN"/>
        </w:rPr>
      </w:pPr>
      <w:r>
        <w:rPr>
          <w:rFonts w:hint="eastAsia" w:ascii="黑体" w:hAnsi="黑体" w:eastAsia="黑体" w:cs="黑体"/>
          <w:b w:val="0"/>
          <w:bCs w:val="0"/>
          <w:i w:val="0"/>
          <w:iCs w:val="0"/>
          <w:caps w:val="0"/>
          <w:color w:val="000000"/>
          <w:spacing w:val="0"/>
          <w:kern w:val="0"/>
          <w:sz w:val="32"/>
          <w:szCs w:val="32"/>
          <w:highlight w:val="none"/>
          <w:shd w:val="clear" w:color="auto" w:fill="FFFFFF"/>
          <w:lang w:val="en-US" w:eastAsia="zh-CN" w:bidi="ar"/>
        </w:rPr>
        <w:t>一是打造节约型机关。</w:t>
      </w:r>
      <w:r>
        <w:rPr>
          <w:rFonts w:hint="eastAsia" w:ascii="仿宋_GB2312" w:eastAsia="仿宋_GB2312"/>
          <w:color w:val="auto"/>
          <w:sz w:val="32"/>
          <w:szCs w:val="32"/>
          <w:highlight w:val="none"/>
          <w:lang w:val="en-US" w:eastAsia="zh-CN"/>
        </w:rPr>
        <w:t>制定员工人均用电、用水、用纸减少的量化目标，机构人均用电量减少量为60（千瓦时/季度），机构人均用水量减少量1.5（立方米/季度），机构人均用纸量减少量0.5（千克/季度），机构从年初至今，因节约用电、用水、用纸，相比上年同期支出费用减少7.6（万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000000"/>
          <w:sz w:val="31"/>
          <w:szCs w:val="31"/>
          <w:highlight w:val="none"/>
        </w:rPr>
      </w:pPr>
      <w:r>
        <w:rPr>
          <w:rFonts w:hint="eastAsia" w:ascii="黑体" w:hAnsi="黑体" w:eastAsia="黑体" w:cs="黑体"/>
          <w:b w:val="0"/>
          <w:bCs w:val="0"/>
          <w:i w:val="0"/>
          <w:iCs w:val="0"/>
          <w:caps w:val="0"/>
          <w:color w:val="000000"/>
          <w:spacing w:val="0"/>
          <w:kern w:val="0"/>
          <w:sz w:val="32"/>
          <w:szCs w:val="32"/>
          <w:highlight w:val="none"/>
          <w:shd w:val="clear" w:color="auto" w:fill="FFFFFF"/>
          <w:lang w:val="en-US" w:eastAsia="zh-CN" w:bidi="ar"/>
        </w:rPr>
        <w:t>二是节约用电方面：</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bidi="ar"/>
        </w:rPr>
        <w:t>后勤库房、停车场等场所停开用电功率大的设备，尽量减少电力负荷，减少非生产用电，保证生产用电。下发倡议书倡议各办公室电脑、复印机、打印机、饮水机等耗电设备在下班不用时，断开电源，减少待机能耗。调整使用办公室走廊过道光照，</w:t>
      </w:r>
      <w:r>
        <w:rPr>
          <w:rFonts w:hint="eastAsia" w:ascii="仿宋_GB2312" w:hAnsi="宋体" w:eastAsia="仿宋_GB2312" w:cs="仿宋_GB2312"/>
          <w:color w:val="000000"/>
          <w:kern w:val="0"/>
          <w:sz w:val="31"/>
          <w:szCs w:val="31"/>
          <w:highlight w:val="none"/>
          <w:lang w:val="en-US" w:eastAsia="zh-CN" w:bidi="ar"/>
        </w:rPr>
        <w:t>在</w:t>
      </w:r>
      <w:r>
        <w:rPr>
          <w:rFonts w:ascii="仿宋_GB2312" w:hAnsi="宋体" w:eastAsia="仿宋_GB2312" w:cs="仿宋_GB2312"/>
          <w:color w:val="000000"/>
          <w:kern w:val="0"/>
          <w:sz w:val="31"/>
          <w:szCs w:val="31"/>
          <w:highlight w:val="none"/>
          <w:lang w:val="en-US" w:eastAsia="zh-CN" w:bidi="ar"/>
        </w:rPr>
        <w:t>自然光亮度足够</w:t>
      </w:r>
      <w:r>
        <w:rPr>
          <w:rFonts w:hint="eastAsia" w:ascii="仿宋_GB2312" w:eastAsia="仿宋_GB2312" w:cs="仿宋_GB2312"/>
          <w:color w:val="000000"/>
          <w:sz w:val="31"/>
          <w:szCs w:val="31"/>
          <w:highlight w:val="none"/>
        </w:rPr>
        <w:t>时不开灯，杜绝长明灯、白昼灯，做到人走灯灭</w:t>
      </w:r>
      <w:r>
        <w:rPr>
          <w:rFonts w:hint="eastAsia" w:ascii="仿宋_GB2312" w:eastAsia="仿宋_GB2312" w:cs="仿宋_GB2312"/>
          <w:color w:val="000000"/>
          <w:sz w:val="31"/>
          <w:szCs w:val="31"/>
          <w:highlight w:val="none"/>
          <w:lang w:eastAsia="zh-CN"/>
        </w:rPr>
        <w:t>。</w:t>
      </w:r>
      <w:r>
        <w:rPr>
          <w:rFonts w:hint="eastAsia" w:ascii="仿宋_GB2312" w:eastAsia="仿宋_GB2312" w:cs="仿宋_GB2312"/>
          <w:color w:val="000000"/>
          <w:sz w:val="31"/>
          <w:szCs w:val="31"/>
          <w:highlight w:val="none"/>
          <w:lang w:val="en-US" w:eastAsia="zh-CN"/>
        </w:rPr>
        <w:t>调整电梯使用时间，总行办公大楼公用电梯共有三部</w:t>
      </w:r>
      <w:r>
        <w:rPr>
          <w:rFonts w:hint="eastAsia" w:ascii="仿宋_GB2312" w:eastAsia="仿宋_GB2312" w:cs="仿宋_GB2312"/>
          <w:color w:val="auto"/>
          <w:sz w:val="31"/>
          <w:szCs w:val="31"/>
          <w:highlight w:val="none"/>
          <w:lang w:val="en-US" w:eastAsia="zh-CN"/>
        </w:rPr>
        <w:t>，周一至周五下班后及周末、法定节假日，只启用一部电梯。</w:t>
      </w:r>
      <w:r>
        <w:rPr>
          <w:rFonts w:ascii="仿宋_GB2312" w:hAnsi="宋体" w:eastAsia="仿宋_GB2312" w:cs="仿宋_GB2312"/>
          <w:color w:val="000000"/>
          <w:kern w:val="0"/>
          <w:sz w:val="31"/>
          <w:szCs w:val="31"/>
          <w:highlight w:val="none"/>
          <w:lang w:val="en-US" w:eastAsia="zh-CN" w:bidi="ar"/>
        </w:rPr>
        <w:t>空调使用严格执行夏季室内空调</w:t>
      </w:r>
      <w:r>
        <w:rPr>
          <w:rFonts w:hint="eastAsia" w:ascii="仿宋_GB2312" w:eastAsia="仿宋_GB2312" w:cs="仿宋_GB2312"/>
          <w:color w:val="000000"/>
          <w:sz w:val="31"/>
          <w:szCs w:val="31"/>
          <w:highlight w:val="none"/>
        </w:rPr>
        <w:t>温度设置不得低于20℃、冬季室内空调温度设置不得高于26℃的空调温度控制标准，不得在开窗的情况下使用空调。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highlight w:val="none"/>
        </w:rPr>
      </w:pPr>
      <w:r>
        <w:rPr>
          <w:rFonts w:hint="eastAsia" w:ascii="黑体" w:hAnsi="黑体" w:eastAsia="黑体" w:cs="黑体"/>
          <w:color w:val="000000"/>
          <w:sz w:val="31"/>
          <w:szCs w:val="31"/>
          <w:highlight w:val="none"/>
          <w:lang w:val="en-US" w:eastAsia="zh-CN"/>
        </w:rPr>
        <w:t>三是节约用水方面：</w:t>
      </w:r>
      <w:r>
        <w:rPr>
          <w:rFonts w:ascii="仿宋_GB2312" w:hAnsi="宋体" w:eastAsia="仿宋_GB2312" w:cs="仿宋_GB2312"/>
          <w:color w:val="000000"/>
          <w:kern w:val="0"/>
          <w:sz w:val="31"/>
          <w:szCs w:val="31"/>
          <w:highlight w:val="none"/>
          <w:lang w:val="en-US" w:eastAsia="zh-CN" w:bidi="ar"/>
        </w:rPr>
        <w:t>严格落实用水节约制度，加强供</w:t>
      </w:r>
      <w:r>
        <w:rPr>
          <w:rFonts w:hint="eastAsia" w:ascii="仿宋_GB2312" w:eastAsia="仿宋_GB2312" w:cs="仿宋_GB2312"/>
          <w:color w:val="000000"/>
          <w:sz w:val="31"/>
          <w:szCs w:val="31"/>
          <w:highlight w:val="none"/>
        </w:rPr>
        <w:t>水系统的检查维护管理，及时检查更换老化的供水管路及零件，防止出现“跑冒滴漏”现象。在用水区域设置节约用水标识，水</w:t>
      </w:r>
    </w:p>
    <w:p>
      <w:pPr>
        <w:pStyle w:val="9"/>
        <w:keepNext w:val="0"/>
        <w:keepLines w:val="0"/>
        <w:pageBreakBefore w:val="0"/>
        <w:widowControl/>
        <w:suppressLineNumbers w:val="0"/>
        <w:kinsoku/>
        <w:wordWrap/>
        <w:overflowPunct/>
        <w:topLinePunct w:val="0"/>
        <w:autoSpaceDE/>
        <w:autoSpaceDN/>
        <w:bidi w:val="0"/>
        <w:adjustRightInd/>
        <w:snapToGrid/>
        <w:spacing w:line="560" w:lineRule="exact"/>
        <w:textAlignment w:val="auto"/>
        <w:rPr>
          <w:highlight w:val="none"/>
        </w:rPr>
      </w:pPr>
      <w:r>
        <w:rPr>
          <w:rFonts w:hint="eastAsia" w:ascii="仿宋_GB2312" w:eastAsia="仿宋_GB2312" w:cs="仿宋_GB2312"/>
          <w:color w:val="000000"/>
          <w:sz w:val="31"/>
          <w:szCs w:val="31"/>
          <w:highlight w:val="none"/>
        </w:rPr>
        <w:t>龙头做到随手关闭，避免“长流水”现象，务求有效减少水资源浪费。</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hint="default" w:eastAsia="仿宋_GB2312"/>
          <w:highlight w:val="none"/>
          <w:lang w:val="en-US" w:eastAsia="zh-CN"/>
        </w:rPr>
      </w:pPr>
      <w:r>
        <w:rPr>
          <w:rFonts w:hint="eastAsia" w:ascii="黑体" w:hAnsi="黑体" w:eastAsia="黑体" w:cs="黑体"/>
          <w:color w:val="000000"/>
          <w:sz w:val="31"/>
          <w:szCs w:val="31"/>
          <w:highlight w:val="none"/>
          <w:lang w:val="en-US" w:eastAsia="zh-CN"/>
        </w:rPr>
        <w:t>四是节约用餐方面：</w:t>
      </w:r>
      <w:r>
        <w:rPr>
          <w:rFonts w:ascii="仿宋_GB2312" w:hAnsi="宋体" w:eastAsia="仿宋_GB2312" w:cs="仿宋_GB2312"/>
          <w:color w:val="000000"/>
          <w:kern w:val="0"/>
          <w:sz w:val="31"/>
          <w:szCs w:val="31"/>
          <w:highlight w:val="none"/>
          <w:lang w:val="en-US" w:eastAsia="zh-CN" w:bidi="ar"/>
        </w:rPr>
        <w:t>严格执行公务接待和商务招待有</w:t>
      </w:r>
      <w:r>
        <w:rPr>
          <w:rFonts w:hint="eastAsia" w:ascii="仿宋_GB2312" w:eastAsia="仿宋_GB2312" w:cs="仿宋_GB2312"/>
          <w:color w:val="000000"/>
          <w:sz w:val="31"/>
          <w:szCs w:val="31"/>
          <w:highlight w:val="none"/>
        </w:rPr>
        <w:t>关管理制度，进一步加强接待、会议、培训等用餐管理，到我行开展检查指导、考察调研、执行任务、学习交流等原则上一律安排在食堂，不得进行特殊安排，严格用餐标准，合理安排饭菜数量，提倡自助餐。</w:t>
      </w:r>
      <w:r>
        <w:rPr>
          <w:rFonts w:hint="eastAsia" w:ascii="仿宋_GB2312" w:eastAsia="仿宋_GB2312" w:cs="仿宋_GB2312"/>
          <w:color w:val="000000"/>
          <w:sz w:val="31"/>
          <w:szCs w:val="31"/>
          <w:highlight w:val="none"/>
          <w:lang w:val="en-US" w:eastAsia="zh-CN"/>
        </w:rPr>
        <w:t>强化会议管理，由综合管理部统筹管理，各部室牵头举办的各类会议、培训，按照报送就餐人员数量</w:t>
      </w:r>
      <w:r>
        <w:rPr>
          <w:rFonts w:ascii="仿宋_GB2312" w:hAnsi="宋体" w:eastAsia="仿宋_GB2312" w:cs="仿宋_GB2312"/>
          <w:color w:val="000000"/>
          <w:kern w:val="0"/>
          <w:sz w:val="31"/>
          <w:szCs w:val="31"/>
          <w:highlight w:val="none"/>
          <w:lang w:val="en-US" w:eastAsia="zh-CN" w:bidi="ar"/>
        </w:rPr>
        <w:t>严格控制菜</w:t>
      </w:r>
      <w:r>
        <w:rPr>
          <w:rFonts w:hint="eastAsia" w:ascii="仿宋_GB2312" w:eastAsia="仿宋_GB2312" w:cs="仿宋_GB2312"/>
          <w:color w:val="000000"/>
          <w:sz w:val="31"/>
          <w:szCs w:val="31"/>
          <w:highlight w:val="none"/>
        </w:rPr>
        <w:t>品种类、数量和份量，降低会议成本。</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color w:val="000000"/>
          <w:sz w:val="31"/>
          <w:szCs w:val="31"/>
          <w:highlight w:val="none"/>
          <w:lang w:val="en-US" w:eastAsia="zh-CN"/>
        </w:rPr>
      </w:pPr>
      <w:r>
        <w:rPr>
          <w:rFonts w:hint="eastAsia" w:ascii="黑体" w:hAnsi="黑体" w:eastAsia="黑体" w:cs="黑体"/>
          <w:sz w:val="32"/>
          <w:szCs w:val="32"/>
          <w:highlight w:val="none"/>
          <w:lang w:val="en-US" w:eastAsia="zh-CN"/>
        </w:rPr>
        <w:t>五是节约办公用品。</w:t>
      </w:r>
      <w:r>
        <w:rPr>
          <w:rFonts w:ascii="仿宋_GB2312" w:hAnsi="宋体" w:eastAsia="仿宋_GB2312" w:cs="仿宋_GB2312"/>
          <w:color w:val="000000"/>
          <w:kern w:val="0"/>
          <w:sz w:val="31"/>
          <w:szCs w:val="31"/>
          <w:highlight w:val="none"/>
          <w:lang w:val="en-US" w:eastAsia="zh-CN" w:bidi="ar"/>
        </w:rPr>
        <w:t>充分运用网络、视频、</w:t>
      </w:r>
      <w:r>
        <w:rPr>
          <w:rFonts w:hint="eastAsia" w:ascii="仿宋_GB2312" w:hAnsi="宋体" w:eastAsia="仿宋_GB2312" w:cs="仿宋_GB2312"/>
          <w:color w:val="000000"/>
          <w:kern w:val="0"/>
          <w:sz w:val="31"/>
          <w:szCs w:val="31"/>
          <w:highlight w:val="none"/>
          <w:lang w:val="en-US" w:eastAsia="zh-CN" w:bidi="ar"/>
        </w:rPr>
        <w:t>黔农办公</w:t>
      </w:r>
      <w:r>
        <w:rPr>
          <w:rFonts w:ascii="仿宋_GB2312" w:hAnsi="宋体" w:eastAsia="仿宋_GB2312" w:cs="仿宋_GB2312"/>
          <w:color w:val="000000"/>
          <w:kern w:val="0"/>
          <w:sz w:val="31"/>
          <w:szCs w:val="31"/>
          <w:highlight w:val="none"/>
          <w:lang w:val="en-US" w:eastAsia="zh-CN" w:bidi="ar"/>
        </w:rPr>
        <w:t>等</w:t>
      </w:r>
      <w:r>
        <w:rPr>
          <w:rFonts w:hint="eastAsia" w:ascii="仿宋_GB2312" w:eastAsia="仿宋_GB2312" w:cs="仿宋_GB2312"/>
          <w:color w:val="000000"/>
          <w:sz w:val="31"/>
          <w:szCs w:val="31"/>
          <w:highlight w:val="none"/>
        </w:rPr>
        <w:t>信息化手段开展</w:t>
      </w:r>
      <w:r>
        <w:rPr>
          <w:rFonts w:hint="eastAsia" w:ascii="仿宋_GB2312" w:eastAsia="仿宋_GB2312" w:cs="仿宋_GB2312"/>
          <w:color w:val="000000"/>
          <w:sz w:val="31"/>
          <w:szCs w:val="31"/>
          <w:highlight w:val="none"/>
          <w:lang w:val="en-US" w:eastAsia="zh-CN"/>
        </w:rPr>
        <w:t>线上</w:t>
      </w:r>
      <w:r>
        <w:rPr>
          <w:rFonts w:hint="eastAsia" w:ascii="仿宋_GB2312" w:eastAsia="仿宋_GB2312" w:cs="仿宋_GB2312"/>
          <w:color w:val="000000"/>
          <w:sz w:val="31"/>
          <w:szCs w:val="31"/>
          <w:highlight w:val="none"/>
        </w:rPr>
        <w:t>培训，提高培训效率</w:t>
      </w:r>
      <w:r>
        <w:rPr>
          <w:rFonts w:hint="eastAsia" w:ascii="仿宋_GB2312" w:eastAsia="仿宋_GB2312" w:cs="仿宋_GB2312"/>
          <w:color w:val="000000"/>
          <w:sz w:val="31"/>
          <w:szCs w:val="31"/>
          <w:highlight w:val="none"/>
          <w:lang w:eastAsia="zh-CN"/>
        </w:rPr>
        <w:t>，</w:t>
      </w:r>
      <w:r>
        <w:rPr>
          <w:rFonts w:hint="eastAsia" w:ascii="仿宋_GB2312" w:eastAsia="仿宋_GB2312" w:cs="仿宋_GB2312"/>
          <w:color w:val="000000"/>
          <w:sz w:val="31"/>
          <w:szCs w:val="31"/>
          <w:highlight w:val="none"/>
          <w:lang w:val="en-US" w:eastAsia="zh-CN"/>
        </w:rPr>
        <w:t>减少会议支出成本</w:t>
      </w:r>
      <w:r>
        <w:rPr>
          <w:rFonts w:hint="eastAsia" w:ascii="仿宋_GB2312" w:eastAsia="仿宋_GB2312" w:cs="仿宋_GB2312"/>
          <w:color w:val="000000"/>
          <w:sz w:val="31"/>
          <w:szCs w:val="31"/>
          <w:highlight w:val="none"/>
        </w:rPr>
        <w:t>。除必要的现场教学外，培训原则上不组织调研、考察、参观。</w:t>
      </w:r>
      <w:r>
        <w:rPr>
          <w:rFonts w:hint="eastAsia" w:ascii="仿宋_GB2312" w:eastAsia="仿宋_GB2312" w:cs="仿宋_GB2312"/>
          <w:color w:val="000000"/>
          <w:sz w:val="31"/>
          <w:szCs w:val="31"/>
          <w:highlight w:val="none"/>
          <w:lang w:val="en-US" w:eastAsia="zh-CN"/>
        </w:rPr>
        <w:t>采用无纸化会议，</w:t>
      </w:r>
      <w:r>
        <w:rPr>
          <w:rFonts w:hint="eastAsia" w:ascii="仿宋_GB2312" w:eastAsia="仿宋_GB2312" w:cs="仿宋_GB2312"/>
          <w:color w:val="000000"/>
          <w:sz w:val="31"/>
          <w:szCs w:val="31"/>
          <w:highlight w:val="none"/>
        </w:rPr>
        <w:t>不发放文件袋、笔记本、笔等各类办公用品</w:t>
      </w:r>
      <w:r>
        <w:rPr>
          <w:rFonts w:hint="eastAsia" w:ascii="仿宋_GB2312" w:eastAsia="仿宋_GB2312" w:cs="仿宋_GB2312"/>
          <w:color w:val="000000"/>
          <w:sz w:val="31"/>
          <w:szCs w:val="31"/>
          <w:highlight w:val="none"/>
          <w:lang w:eastAsia="zh-CN"/>
        </w:rPr>
        <w:t>，</w:t>
      </w:r>
      <w:r>
        <w:rPr>
          <w:rFonts w:hint="eastAsia" w:ascii="仿宋_GB2312" w:eastAsia="仿宋_GB2312" w:cs="仿宋_GB2312"/>
          <w:color w:val="000000"/>
          <w:sz w:val="31"/>
          <w:szCs w:val="31"/>
          <w:highlight w:val="none"/>
          <w:lang w:val="en-US" w:eastAsia="zh-CN"/>
        </w:rPr>
        <w:t>会议资料从线上“黔农办公”发送参会人员。</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仿宋_GB2312" w:hAnsi="宋体" w:eastAsia="仿宋_GB2312" w:cs="仿宋_GB2312"/>
          <w:color w:val="000000"/>
          <w:kern w:val="0"/>
          <w:sz w:val="31"/>
          <w:szCs w:val="31"/>
          <w:highlight w:val="none"/>
          <w:lang w:val="en-US" w:eastAsia="zh-CN" w:bidi="ar"/>
        </w:rPr>
      </w:pPr>
      <w:r>
        <w:rPr>
          <w:rFonts w:hint="eastAsia" w:ascii="黑体" w:hAnsi="黑体" w:eastAsia="黑体" w:cs="黑体"/>
          <w:color w:val="000000"/>
          <w:sz w:val="31"/>
          <w:szCs w:val="31"/>
          <w:highlight w:val="none"/>
          <w:lang w:val="en-US" w:eastAsia="zh-CN"/>
        </w:rPr>
        <w:t>六是节约公务用车管理成本。</w:t>
      </w:r>
      <w:r>
        <w:rPr>
          <w:rFonts w:ascii="仿宋_GB2312" w:hAnsi="宋体" w:eastAsia="仿宋_GB2312" w:cs="仿宋_GB2312"/>
          <w:color w:val="000000"/>
          <w:kern w:val="0"/>
          <w:sz w:val="31"/>
          <w:szCs w:val="31"/>
          <w:highlight w:val="none"/>
          <w:lang w:val="en-US" w:eastAsia="zh-CN" w:bidi="ar"/>
        </w:rPr>
        <w:t>严格执行公务用车使用</w:t>
      </w:r>
      <w:r>
        <w:rPr>
          <w:rFonts w:hint="eastAsia" w:ascii="仿宋_GB2312" w:hAnsi="宋体" w:eastAsia="仿宋_GB2312" w:cs="仿宋_GB2312"/>
          <w:color w:val="000000"/>
          <w:kern w:val="0"/>
          <w:sz w:val="31"/>
          <w:szCs w:val="31"/>
          <w:highlight w:val="none"/>
          <w:lang w:val="en-US" w:eastAsia="zh-CN" w:bidi="ar"/>
        </w:rPr>
        <w:t>管理</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color w:val="auto"/>
          <w:sz w:val="32"/>
          <w:szCs w:val="32"/>
          <w:highlight w:val="none"/>
          <w:lang w:eastAsia="zh-CN"/>
        </w:rPr>
      </w:pPr>
      <w:r>
        <w:rPr>
          <w:rFonts w:ascii="仿宋_GB2312" w:hAnsi="宋体" w:eastAsia="仿宋_GB2312" w:cs="仿宋_GB2312"/>
          <w:color w:val="000000"/>
          <w:kern w:val="0"/>
          <w:sz w:val="31"/>
          <w:szCs w:val="31"/>
          <w:highlight w:val="none"/>
          <w:lang w:val="en-US" w:eastAsia="zh-CN" w:bidi="ar"/>
        </w:rPr>
        <w:t>制度，</w:t>
      </w:r>
      <w:r>
        <w:rPr>
          <w:rFonts w:hint="eastAsia" w:ascii="仿宋_GB2312" w:eastAsia="仿宋_GB2312" w:cs="仿宋_GB2312"/>
          <w:color w:val="000000"/>
          <w:sz w:val="31"/>
          <w:szCs w:val="31"/>
          <w:highlight w:val="none"/>
        </w:rPr>
        <w:t>严禁公车私用、私车公养。切实加强公务车辆管理，严格执行公务车回单位停放制度，节假日、双休日除工作需要外一律封存停驶。严格实行单车核算，车辆“一车一卡”定点加油、定点维修、定期保养和定点保险，压缩车辆修理费、保险费、燃油费等支出，提升管理质效，降低车辆运行成本。</w:t>
      </w:r>
    </w:p>
    <w:p>
      <w:pPr>
        <w:keepNext w:val="0"/>
        <w:keepLines w:val="0"/>
        <w:pageBreakBefore w:val="0"/>
        <w:kinsoku/>
        <w:wordWrap/>
        <w:overflowPunct/>
        <w:topLinePunct w:val="0"/>
        <w:autoSpaceDE/>
        <w:autoSpaceDN/>
        <w:bidi w:val="0"/>
        <w:adjustRightInd/>
        <w:snapToGrid/>
        <w:spacing w:line="560" w:lineRule="exact"/>
        <w:ind w:right="630"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七、</w:t>
      </w:r>
      <w:r>
        <w:rPr>
          <w:rFonts w:hint="eastAsia" w:ascii="黑体" w:hAnsi="黑体" w:eastAsia="黑体" w:cs="黑体"/>
          <w:sz w:val="32"/>
          <w:szCs w:val="32"/>
          <w:highlight w:val="none"/>
        </w:rPr>
        <w:t>投融资活动的环境影响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随着社会和公民对环境风险的关注以及环保政策对金融机构环境责任分担要求的日趋严格，环境风险－企业－金融机构（商业银行）之间利益和风险传导的联系更加紧密。</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"https://baike.so.com/doc/5390296-5626935.html" \t "https://baike.so.com/doc/_blank" </w:instrText>
      </w:r>
      <w:r>
        <w:rPr>
          <w:rFonts w:hint="eastAsia" w:ascii="仿宋_GB2312" w:hAnsi="仿宋_GB2312" w:eastAsia="仿宋_GB2312" w:cs="仿宋_GB2312"/>
          <w:sz w:val="32"/>
          <w:szCs w:val="32"/>
          <w:highlight w:val="none"/>
          <w:lang w:val="en-US" w:eastAsia="zh-CN"/>
        </w:rPr>
        <w:fldChar w:fldCharType="separate"/>
      </w:r>
      <w:r>
        <w:rPr>
          <w:rFonts w:hint="default" w:ascii="仿宋_GB2312" w:hAnsi="仿宋_GB2312" w:eastAsia="仿宋_GB2312" w:cs="仿宋_GB2312"/>
          <w:sz w:val="32"/>
          <w:szCs w:val="32"/>
          <w:highlight w:val="none"/>
          <w:lang w:val="en-US" w:eastAsia="zh-CN"/>
        </w:rPr>
        <w:t>中国银行业监督管理委员会</w:t>
      </w:r>
      <w:r>
        <w:rPr>
          <w:rFonts w:hint="default"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印发的《绿色信贷指引》（银监发〔2012〕4号）中明确银行业金融机构面临的环境风险是指客户及其重要关联方在建设、生产、经营活动中可能给环境带来的危害及相关风险，包括耗能、污染、土地、生态保护、气候变化等有关的环境问题。由于我行目前没有满足投融资活动的环境影响贷款，该项暂无具体披露信息。</w:t>
      </w:r>
    </w:p>
    <w:p>
      <w:pPr>
        <w:keepNext w:val="0"/>
        <w:keepLines w:val="0"/>
        <w:pageBreakBefore w:val="0"/>
        <w:kinsoku/>
        <w:wordWrap/>
        <w:overflowPunct/>
        <w:topLinePunct w:val="0"/>
        <w:autoSpaceDE/>
        <w:autoSpaceDN/>
        <w:bidi w:val="0"/>
        <w:adjustRightInd/>
        <w:snapToGrid/>
        <w:spacing w:line="560" w:lineRule="exact"/>
        <w:ind w:right="630" w:firstLine="640" w:firstLineChars="200"/>
        <w:textAlignment w:val="auto"/>
        <w:rPr>
          <w:rFonts w:ascii="Times New Roman" w:hAnsi="Times New Roman" w:eastAsia="仿宋_GB2312" w:cs="Times New Roman"/>
          <w:sz w:val="32"/>
          <w:szCs w:val="32"/>
          <w:highlight w:val="none"/>
        </w:rPr>
      </w:pPr>
      <w:r>
        <w:rPr>
          <w:rFonts w:hint="eastAsia" w:ascii="黑体" w:hAnsi="黑体" w:eastAsia="黑体" w:cs="黑体"/>
          <w:sz w:val="32"/>
          <w:szCs w:val="32"/>
          <w:highlight w:val="none"/>
          <w:lang w:eastAsia="zh-CN"/>
        </w:rPr>
        <w:t>八、</w:t>
      </w:r>
      <w:r>
        <w:rPr>
          <w:rFonts w:hint="eastAsia" w:ascii="黑体" w:hAnsi="黑体" w:eastAsia="黑体" w:cs="黑体"/>
          <w:sz w:val="32"/>
          <w:szCs w:val="32"/>
          <w:highlight w:val="none"/>
        </w:rPr>
        <w:t>绿色金融创新做法及成果奖项</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宋体"/>
          <w:color w:val="000000"/>
          <w:sz w:val="32"/>
          <w:szCs w:val="32"/>
          <w:highlight w:val="none"/>
          <w:lang w:val="en-US" w:eastAsia="zh-CN" w:bidi="ar-SA"/>
        </w:rPr>
      </w:pPr>
      <w:r>
        <w:rPr>
          <w:rFonts w:hint="eastAsia" w:ascii="楷体" w:hAnsi="楷体" w:eastAsia="楷体" w:cs="楷体"/>
          <w:color w:val="000000"/>
          <w:sz w:val="32"/>
          <w:szCs w:val="32"/>
          <w:highlight w:val="none"/>
          <w:lang w:val="en-US" w:eastAsia="zh-CN" w:bidi="ar-SA"/>
        </w:rPr>
        <w:t>（一）开展绿色与普惠金融融合发展。</w:t>
      </w:r>
      <w:r>
        <w:rPr>
          <w:rFonts w:hint="eastAsia" w:ascii="Times New Roman" w:hAnsi="Times New Roman" w:eastAsia="仿宋_GB2312" w:cs="宋体"/>
          <w:color w:val="000000"/>
          <w:sz w:val="32"/>
          <w:szCs w:val="32"/>
          <w:highlight w:val="none"/>
          <w:lang w:val="en-US" w:eastAsia="zh-CN" w:bidi="ar-SA"/>
        </w:rPr>
        <w:t>为深入践行习近平生态文明思想，完整、准确、全面贯彻新发展理念，全力助推乡村全面振兴与县域经济绿色发展。我行始终以服务“三农”、助推小微企业和地方经济加速发展为己任，从战略高度推进绿色+普惠信贷，加大对小微企业、农民、城镇低收入人群、贫困人群等特殊群体的绿色农业、绿色消费、绿色建筑及绿色出行等普惠金融服务，努力推动地方能源生产和消费方式变革，深入贯彻落实“绿水青山就是金山银山”理念，为进一步贯彻落实国家环境保护、节能减排等宏观调控政策，重点围绕绿色生态农业、绿色林下种养殖、园林绿化、环境基础设施、绿色消费、绿色制造业等绿色领域，加大信贷投放力度，并根据相关文件要求，积极运用绿色低碳领域融资再贷款专项支持计划。我行绿色普惠贷款余额55.5亿元，占各项贷款的29.23%。</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宋体"/>
          <w:color w:val="000000"/>
          <w:sz w:val="32"/>
          <w:szCs w:val="32"/>
          <w:highlight w:val="none"/>
          <w:lang w:val="en-US" w:eastAsia="zh-CN" w:bidi="ar-SA"/>
        </w:rPr>
      </w:pPr>
      <w:r>
        <w:rPr>
          <w:rFonts w:hint="eastAsia" w:ascii="楷体" w:hAnsi="楷体" w:eastAsia="楷体" w:cs="楷体"/>
          <w:color w:val="000000"/>
          <w:sz w:val="32"/>
          <w:szCs w:val="32"/>
          <w:highlight w:val="none"/>
          <w:lang w:val="en-US" w:eastAsia="zh-CN" w:bidi="ar-SA"/>
        </w:rPr>
        <w:t>（二）探索货币政策资金支持绿色金融。</w:t>
      </w:r>
      <w:r>
        <w:rPr>
          <w:rFonts w:hint="eastAsia" w:ascii="Times New Roman" w:hAnsi="Times New Roman" w:eastAsia="仿宋_GB2312" w:cs="宋体"/>
          <w:color w:val="000000"/>
          <w:sz w:val="32"/>
          <w:szCs w:val="32"/>
          <w:highlight w:val="none"/>
          <w:lang w:val="en-US" w:eastAsia="zh-CN" w:bidi="ar-SA"/>
        </w:rPr>
        <w:t>我行切实发挥再贷款、再贴现等货币政策工具引导作用，积极将信贷资源向乡村振兴、小微民营、绿色低碳等重点领域倾斜，合理确定贷款发放利率，让利市场主体。积极对接申请支农（扶贫）、支小再贷款资金，并尽快投放到涉农、小微实体领域，撬动农村经济活力，激活农村经济元素。</w:t>
      </w:r>
      <w:r>
        <w:rPr>
          <w:rFonts w:hint="eastAsia" w:ascii="仿宋_GB2312" w:hAnsi="仿宋_GB2312" w:eastAsia="仿宋_GB2312" w:cs="仿宋_GB2312"/>
          <w:sz w:val="32"/>
          <w:szCs w:val="32"/>
          <w:highlight w:val="none"/>
          <w:lang w:val="en-US" w:eastAsia="zh-CN"/>
        </w:rPr>
        <w:t>我行使用再贷款余额15.97亿元，其中支农再贷款5笔余额4.07亿元，扶贫（展期）再贷款2笔余额4.5亿元；支小再贷款7笔7.4亿元。其中2023年申请展期7笔11.39亿元，新增支农贷款4笔3亿元，新增支小再贷款2笔1.58亿元。新增2笔19000万元绿色普惠再贷款资金，大力支持“十二大”特色优势产业发展，使用再贷款余额达5.15亿元，撬动32.54亿元支持产业发展，再贷款政策货币资金与产业融合发展取得一定实效。</w:t>
      </w:r>
    </w:p>
    <w:p>
      <w:pPr>
        <w:keepNext w:val="0"/>
        <w:keepLines w:val="0"/>
        <w:pageBreakBefore w:val="0"/>
        <w:kinsoku/>
        <w:wordWrap/>
        <w:overflowPunct/>
        <w:topLinePunct w:val="0"/>
        <w:autoSpaceDE/>
        <w:autoSpaceDN/>
        <w:bidi w:val="0"/>
        <w:adjustRightInd/>
        <w:snapToGrid/>
        <w:spacing w:line="560" w:lineRule="exact"/>
        <w:ind w:firstLine="566" w:firstLineChars="177"/>
        <w:textAlignment w:val="auto"/>
        <w:rPr>
          <w:rFonts w:hint="default" w:ascii="仿宋_GB2312" w:eastAsia="仿宋_GB2312" w:hAnsiTheme="minorHAnsi" w:cstheme="minorBidi"/>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案例一：</w:t>
      </w:r>
      <w:r>
        <w:rPr>
          <w:rFonts w:hint="eastAsia" w:ascii="仿宋_GB2312" w:eastAsia="仿宋_GB2312" w:hAnsiTheme="minorHAnsi" w:cstheme="minorBidi"/>
          <w:kern w:val="2"/>
          <w:sz w:val="32"/>
          <w:szCs w:val="32"/>
          <w:highlight w:val="none"/>
          <w:lang w:val="en-US" w:eastAsia="zh-CN" w:bidi="ar-SA"/>
        </w:rPr>
        <w:t>贵州</w:t>
      </w:r>
      <w:r>
        <w:rPr>
          <w:rFonts w:hint="eastAsia" w:ascii="仿宋_GB2312" w:eastAsia="仿宋_GB2312" w:cstheme="minorBidi"/>
          <w:kern w:val="2"/>
          <w:sz w:val="32"/>
          <w:szCs w:val="32"/>
          <w:highlight w:val="none"/>
          <w:lang w:val="en-US" w:eastAsia="zh-CN" w:bidi="ar-SA"/>
        </w:rPr>
        <w:t>某</w:t>
      </w:r>
      <w:r>
        <w:rPr>
          <w:rFonts w:hint="eastAsia" w:ascii="仿宋_GB2312" w:eastAsia="仿宋_GB2312" w:hAnsiTheme="minorHAnsi" w:cstheme="minorBidi"/>
          <w:kern w:val="2"/>
          <w:sz w:val="32"/>
          <w:szCs w:val="32"/>
          <w:highlight w:val="none"/>
          <w:lang w:val="en-US" w:eastAsia="zh-CN" w:bidi="ar-SA"/>
        </w:rPr>
        <w:t>公司因经营需要向我支行申请流动资金，通过调查了解得知，该公司</w:t>
      </w:r>
      <w:r>
        <w:rPr>
          <w:rFonts w:hint="eastAsia" w:ascii="仿宋_GB2312" w:eastAsia="仿宋_GB2312" w:cstheme="minorBidi"/>
          <w:kern w:val="2"/>
          <w:sz w:val="32"/>
          <w:szCs w:val="32"/>
          <w:highlight w:val="none"/>
          <w:lang w:val="en-US" w:eastAsia="zh-CN" w:bidi="ar-SA"/>
        </w:rPr>
        <w:t>主要</w:t>
      </w:r>
      <w:r>
        <w:rPr>
          <w:rFonts w:hint="eastAsia" w:ascii="仿宋_GB2312" w:eastAsia="仿宋_GB2312" w:hAnsiTheme="minorHAnsi" w:cstheme="minorBidi"/>
          <w:kern w:val="2"/>
          <w:sz w:val="32"/>
          <w:szCs w:val="32"/>
          <w:highlight w:val="none"/>
          <w:lang w:val="en-US" w:eastAsia="zh-CN" w:bidi="ar-SA"/>
        </w:rPr>
        <w:t>从事固体废弃物的研发、再生加工、技术成果转化推广、销售为一体的科技型企业，同时也是首家将粉煤灰分选分级商品化大量用于混凝土建筑工程、并将脱硫石膏完全代替天然石膏用于生产水泥的开拓者，符合绿色贷款条件。我行将该企业评定为AAA级小微型企业，授信1300万元，使用支小再贷款支持，年利率4.5%，有效解决公司融资问题。</w:t>
      </w:r>
    </w:p>
    <w:p>
      <w:pPr>
        <w:pStyle w:val="17"/>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宋体"/>
          <w:color w:val="000000"/>
          <w:sz w:val="32"/>
          <w:szCs w:val="32"/>
          <w:highlight w:val="none"/>
          <w:lang w:val="en-US" w:eastAsia="zh-CN" w:bidi="ar-SA"/>
        </w:rPr>
      </w:pPr>
      <w:r>
        <w:rPr>
          <w:rFonts w:hint="eastAsia" w:ascii="黑体" w:hAnsi="黑体" w:eastAsia="黑体" w:cs="黑体"/>
          <w:kern w:val="2"/>
          <w:sz w:val="32"/>
          <w:szCs w:val="32"/>
          <w:highlight w:val="none"/>
          <w:lang w:val="en-US" w:eastAsia="zh-CN" w:bidi="ar-SA"/>
        </w:rPr>
        <w:t>案例二：</w:t>
      </w:r>
      <w:r>
        <w:rPr>
          <w:rFonts w:hint="eastAsia" w:ascii="仿宋_GB2312" w:eastAsia="仿宋_GB2312" w:hAnsiTheme="minorHAnsi" w:cstheme="minorBidi"/>
          <w:kern w:val="2"/>
          <w:sz w:val="32"/>
          <w:szCs w:val="32"/>
          <w:highlight w:val="none"/>
          <w:lang w:val="en-US" w:eastAsia="zh-CN" w:bidi="ar-SA"/>
        </w:rPr>
        <w:t>某公司因流动资金不足向我行申请借款，通过调查了解到，该公司从事苗木销售，同时还有中草药、食用菌、木耳、香菇等种植销售。林下食用菌是一种结合、共生、互补的生态农业模式，有效节约水土资源，提高资源利用率，合理改善食用菌的生长发育条件，促进食用菌的生长，实现林产食用菌双丰收的目标，具有投资少，收益大，见效快等优点，相关证件齐全，符合绿色贷款条件，我行立即支持670万元贷款解决企业流动资金困难。</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color w:val="000000"/>
          <w:sz w:val="32"/>
          <w:szCs w:val="32"/>
          <w:highlight w:val="none"/>
          <w:lang w:val="en-US" w:eastAsia="zh-CN" w:bidi="ar-SA"/>
        </w:rPr>
      </w:pPr>
      <w:r>
        <w:rPr>
          <w:rFonts w:hint="eastAsia" w:ascii="黑体" w:hAnsi="黑体" w:eastAsia="黑体" w:cs="黑体"/>
          <w:color w:val="000000"/>
          <w:sz w:val="32"/>
          <w:szCs w:val="32"/>
          <w:highlight w:val="none"/>
          <w:lang w:val="en-US" w:eastAsia="zh-CN" w:bidi="ar-SA"/>
        </w:rPr>
        <w:t>九、支持普惠主体及中小企业绿色发展情况</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Times New Roman" w:hAnsi="Times New Roman" w:eastAsia="仿宋_GB2312" w:cs="宋体"/>
          <w:color w:val="000000"/>
          <w:sz w:val="32"/>
          <w:szCs w:val="32"/>
          <w:highlight w:val="none"/>
          <w:lang w:val="en-US" w:eastAsia="zh-CN" w:bidi="ar-SA"/>
        </w:rPr>
      </w:pPr>
      <w:r>
        <w:rPr>
          <w:rFonts w:hint="eastAsia" w:ascii="Times New Roman" w:hAnsi="Times New Roman" w:eastAsia="仿宋_GB2312" w:cs="宋体"/>
          <w:color w:val="000000"/>
          <w:sz w:val="32"/>
          <w:szCs w:val="32"/>
          <w:highlight w:val="none"/>
          <w:lang w:val="en-US" w:eastAsia="zh-CN" w:bidi="ar-SA"/>
        </w:rPr>
        <w:t>开设绿色贷款通道，优先安排信贷资金，设置绿色普惠金融服务专柜，</w:t>
      </w:r>
      <w:r>
        <w:rPr>
          <w:rFonts w:ascii="Times New Roman" w:hAnsi="Times New Roman" w:eastAsia="仿宋_GB2312" w:cs="宋体"/>
          <w:color w:val="000000"/>
          <w:sz w:val="32"/>
          <w:szCs w:val="32"/>
          <w:highlight w:val="none"/>
          <w:lang w:val="en-US" w:eastAsia="zh-CN" w:bidi="ar-SA"/>
        </w:rPr>
        <w:t>以“方便、灵活、快捷” 为基础，对符合绿色信贷条件的，</w:t>
      </w:r>
      <w:r>
        <w:rPr>
          <w:rFonts w:hint="eastAsia" w:ascii="Times New Roman" w:hAnsi="Times New Roman" w:eastAsia="仿宋_GB2312" w:cs="宋体"/>
          <w:color w:val="000000"/>
          <w:sz w:val="32"/>
          <w:szCs w:val="32"/>
          <w:highlight w:val="none"/>
          <w:lang w:val="en-US" w:eastAsia="zh-CN" w:bidi="ar-SA"/>
        </w:rPr>
        <w:t>通过简化信贷手续、优先调查、优先审批、优先安排信贷资金，全力支持绿色、低碳、循环经济的优质项目发展。我行切实发挥再贷款、再贴现等货币政策工具引</w:t>
      </w:r>
      <w:bookmarkStart w:id="0" w:name="_GoBack"/>
      <w:bookmarkEnd w:id="0"/>
      <w:r>
        <w:rPr>
          <w:rFonts w:hint="eastAsia" w:ascii="Times New Roman" w:hAnsi="Times New Roman" w:eastAsia="仿宋_GB2312" w:cs="宋体"/>
          <w:color w:val="000000"/>
          <w:sz w:val="32"/>
          <w:szCs w:val="32"/>
          <w:highlight w:val="none"/>
          <w:lang w:val="en-US" w:eastAsia="zh-CN" w:bidi="ar-SA"/>
        </w:rPr>
        <w:t>导作用，积极将信贷资源向乡村振兴、小微民营、绿色低碳等重点领域倾斜，合理确定贷款发放利率，让利市场主体。积极对接申请支农（扶贫）、支小再贷款资金，并尽快投放到涉农、小微实体领域，撬动农村经济活力，激活农村经济元素。</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黑体" w:hAnsi="黑体" w:eastAsia="黑体" w:cs="黑体"/>
          <w:color w:val="000000"/>
          <w:sz w:val="32"/>
          <w:szCs w:val="32"/>
          <w:highlight w:val="none"/>
          <w:lang w:val="en-US" w:eastAsia="zh-CN" w:bidi="ar-SA"/>
        </w:rPr>
      </w:pPr>
      <w:r>
        <w:rPr>
          <w:rFonts w:hint="eastAsia" w:ascii="黑体" w:hAnsi="黑体" w:eastAsia="黑体" w:cs="黑体"/>
          <w:color w:val="000000"/>
          <w:sz w:val="32"/>
          <w:szCs w:val="32"/>
          <w:highlight w:val="none"/>
          <w:lang w:val="en-US" w:eastAsia="zh-CN" w:bidi="ar-SA"/>
        </w:rPr>
        <w:t>十、数据梳理、校验及保护</w:t>
      </w:r>
    </w:p>
    <w:p>
      <w:pPr>
        <w:pStyle w:val="12"/>
        <w:keepNext w:val="0"/>
        <w:keepLines w:val="0"/>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为确保全行范围内数据质量管理工作有效开展，保障行内信息安全，本行依据相关法律法规制定了《贵州兴义农商银行数据治理管理暂行办法》，对行内数据质量、信息安全、数据治理方面建立管理规范。同时，成立数据治理工作小组，规范履行职责职能，提高管理水平，保障数据治理工作持续有序开展。</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强化重要信息系统应急预案管理，提高信息系统突发事件处置能力本行制定的《贵州兴义农村商业银行信息科技风险管理总体应急预案》，规范了行内重要信息系统突发事件应急预案的应对措施，有效预防、及时控制和最大限度地消除信息系统安全运行各类突发事件的危害和影响，提高了重要信息系统突发事件的处置能力。</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     </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                 贵州兴义农村商业银行</w:t>
      </w:r>
    </w:p>
    <w:p>
      <w:pPr>
        <w:pStyle w:val="12"/>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 xml:space="preserve">                    2024年4月25日</w:t>
      </w:r>
    </w:p>
    <w:p>
      <w:pPr>
        <w:pStyle w:val="20"/>
        <w:keepNext w:val="0"/>
        <w:keepLines w:val="0"/>
        <w:pageBreakBefore w:val="0"/>
        <w:kinsoku/>
        <w:wordWrap/>
        <w:overflowPunct/>
        <w:topLinePunct w:val="0"/>
        <w:bidi w:val="0"/>
        <w:snapToGrid/>
        <w:spacing w:line="540" w:lineRule="exact"/>
        <w:jc w:val="center"/>
        <w:textAlignment w:val="auto"/>
        <w:rPr>
          <w:rFonts w:hint="default" w:ascii="仿宋_GB2312" w:eastAsia="仿宋_GB2312"/>
          <w:color w:val="auto"/>
          <w:sz w:val="32"/>
          <w:szCs w:val="32"/>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彩虹小标宋">
    <w:altName w:val="方正小标宋简体"/>
    <w:panose1 w:val="03000509000000000000"/>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楷体_GB2312">
    <w:altName w:val="方正楷体_GBK"/>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YWE0ZDM5MjllYWNlMGQwOTYwZDZmNjQ0NTNlMjQifQ=="/>
  </w:docVars>
  <w:rsids>
    <w:rsidRoot w:val="002A6EA9"/>
    <w:rsid w:val="00063C66"/>
    <w:rsid w:val="0010607C"/>
    <w:rsid w:val="0011363F"/>
    <w:rsid w:val="00160144"/>
    <w:rsid w:val="00176D29"/>
    <w:rsid w:val="0018546C"/>
    <w:rsid w:val="001D2181"/>
    <w:rsid w:val="0023308B"/>
    <w:rsid w:val="00261D5A"/>
    <w:rsid w:val="002A6EA9"/>
    <w:rsid w:val="00321568"/>
    <w:rsid w:val="00342E1F"/>
    <w:rsid w:val="003769BD"/>
    <w:rsid w:val="003C141A"/>
    <w:rsid w:val="004139A7"/>
    <w:rsid w:val="00490C78"/>
    <w:rsid w:val="00503CC9"/>
    <w:rsid w:val="005268BD"/>
    <w:rsid w:val="00543446"/>
    <w:rsid w:val="00595D9E"/>
    <w:rsid w:val="005C51C3"/>
    <w:rsid w:val="00682BE8"/>
    <w:rsid w:val="006C4640"/>
    <w:rsid w:val="006D34DB"/>
    <w:rsid w:val="006E316A"/>
    <w:rsid w:val="00716023"/>
    <w:rsid w:val="0073681F"/>
    <w:rsid w:val="007368C6"/>
    <w:rsid w:val="00747B11"/>
    <w:rsid w:val="00814692"/>
    <w:rsid w:val="008623D0"/>
    <w:rsid w:val="00870B8B"/>
    <w:rsid w:val="00896129"/>
    <w:rsid w:val="008B6015"/>
    <w:rsid w:val="00933523"/>
    <w:rsid w:val="00941B8D"/>
    <w:rsid w:val="00981670"/>
    <w:rsid w:val="00A57F88"/>
    <w:rsid w:val="00A6246E"/>
    <w:rsid w:val="00B308EA"/>
    <w:rsid w:val="00B31053"/>
    <w:rsid w:val="00B57A3C"/>
    <w:rsid w:val="00B73C16"/>
    <w:rsid w:val="00BC14A5"/>
    <w:rsid w:val="00BF412D"/>
    <w:rsid w:val="00C2076B"/>
    <w:rsid w:val="00C419AF"/>
    <w:rsid w:val="00C93B77"/>
    <w:rsid w:val="00C94241"/>
    <w:rsid w:val="00CB1CC1"/>
    <w:rsid w:val="00E81A51"/>
    <w:rsid w:val="00E84A67"/>
    <w:rsid w:val="00EE1014"/>
    <w:rsid w:val="00F22161"/>
    <w:rsid w:val="00F53880"/>
    <w:rsid w:val="00FB1328"/>
    <w:rsid w:val="010B7AAA"/>
    <w:rsid w:val="01964D55"/>
    <w:rsid w:val="023B2175"/>
    <w:rsid w:val="02665AE8"/>
    <w:rsid w:val="026A38ED"/>
    <w:rsid w:val="03195A2C"/>
    <w:rsid w:val="038041DD"/>
    <w:rsid w:val="039823FB"/>
    <w:rsid w:val="03FF06E4"/>
    <w:rsid w:val="04316FD1"/>
    <w:rsid w:val="04665AB2"/>
    <w:rsid w:val="04A15B98"/>
    <w:rsid w:val="04FA52D6"/>
    <w:rsid w:val="054223EB"/>
    <w:rsid w:val="060709A0"/>
    <w:rsid w:val="063E5FBB"/>
    <w:rsid w:val="06557219"/>
    <w:rsid w:val="06F5752A"/>
    <w:rsid w:val="079D62E1"/>
    <w:rsid w:val="08000B7D"/>
    <w:rsid w:val="088349B8"/>
    <w:rsid w:val="091F7BA1"/>
    <w:rsid w:val="0A524AD2"/>
    <w:rsid w:val="0AA53CE2"/>
    <w:rsid w:val="0AE5052E"/>
    <w:rsid w:val="0B434F12"/>
    <w:rsid w:val="0B723658"/>
    <w:rsid w:val="0BBA3A37"/>
    <w:rsid w:val="0BE52E8D"/>
    <w:rsid w:val="0E370F62"/>
    <w:rsid w:val="0E686B97"/>
    <w:rsid w:val="0E8477F0"/>
    <w:rsid w:val="0EA30A81"/>
    <w:rsid w:val="0EF53DCC"/>
    <w:rsid w:val="0F57423A"/>
    <w:rsid w:val="10B24D90"/>
    <w:rsid w:val="11404F4F"/>
    <w:rsid w:val="11AA77BA"/>
    <w:rsid w:val="11BA069C"/>
    <w:rsid w:val="11E70A84"/>
    <w:rsid w:val="13100F0B"/>
    <w:rsid w:val="139608F9"/>
    <w:rsid w:val="14092FC2"/>
    <w:rsid w:val="151E5F16"/>
    <w:rsid w:val="16666ED6"/>
    <w:rsid w:val="168F2C51"/>
    <w:rsid w:val="16932644"/>
    <w:rsid w:val="17B1395A"/>
    <w:rsid w:val="17B972E4"/>
    <w:rsid w:val="18E72FF6"/>
    <w:rsid w:val="192B5756"/>
    <w:rsid w:val="19DC0EEB"/>
    <w:rsid w:val="1A864115"/>
    <w:rsid w:val="1AB30821"/>
    <w:rsid w:val="1ABA66D7"/>
    <w:rsid w:val="1B03685E"/>
    <w:rsid w:val="1B724A03"/>
    <w:rsid w:val="1BAB226E"/>
    <w:rsid w:val="1C6E0A57"/>
    <w:rsid w:val="1CEF6897"/>
    <w:rsid w:val="1D2D06F1"/>
    <w:rsid w:val="1D5108D2"/>
    <w:rsid w:val="1D7976B6"/>
    <w:rsid w:val="1E1F2464"/>
    <w:rsid w:val="1EAF1487"/>
    <w:rsid w:val="1FA31E21"/>
    <w:rsid w:val="1FA76A11"/>
    <w:rsid w:val="200232BE"/>
    <w:rsid w:val="21201A11"/>
    <w:rsid w:val="21854EDC"/>
    <w:rsid w:val="21EC5056"/>
    <w:rsid w:val="22931457"/>
    <w:rsid w:val="22A4708C"/>
    <w:rsid w:val="23676AA8"/>
    <w:rsid w:val="23744051"/>
    <w:rsid w:val="238E6993"/>
    <w:rsid w:val="23930B9D"/>
    <w:rsid w:val="23F819C8"/>
    <w:rsid w:val="24055E69"/>
    <w:rsid w:val="24721AC8"/>
    <w:rsid w:val="24F1274B"/>
    <w:rsid w:val="26E65B3D"/>
    <w:rsid w:val="28FF42D9"/>
    <w:rsid w:val="290A0F7B"/>
    <w:rsid w:val="291D38AE"/>
    <w:rsid w:val="298B15E1"/>
    <w:rsid w:val="2B557B59"/>
    <w:rsid w:val="2B8F09AD"/>
    <w:rsid w:val="2BD26BB3"/>
    <w:rsid w:val="2F8A2E90"/>
    <w:rsid w:val="31275ECF"/>
    <w:rsid w:val="327159DB"/>
    <w:rsid w:val="33071083"/>
    <w:rsid w:val="336D26A6"/>
    <w:rsid w:val="336E45BE"/>
    <w:rsid w:val="33E805FD"/>
    <w:rsid w:val="34650AF0"/>
    <w:rsid w:val="352333B8"/>
    <w:rsid w:val="35254498"/>
    <w:rsid w:val="35CE15FC"/>
    <w:rsid w:val="35D25153"/>
    <w:rsid w:val="361B5A53"/>
    <w:rsid w:val="36785199"/>
    <w:rsid w:val="36B000D4"/>
    <w:rsid w:val="372B59F9"/>
    <w:rsid w:val="37715214"/>
    <w:rsid w:val="388A7983"/>
    <w:rsid w:val="391362D6"/>
    <w:rsid w:val="39414E9A"/>
    <w:rsid w:val="394B386E"/>
    <w:rsid w:val="3A10239E"/>
    <w:rsid w:val="3A266CC6"/>
    <w:rsid w:val="3A2B0DEA"/>
    <w:rsid w:val="3B2E6BB2"/>
    <w:rsid w:val="3B6E70E8"/>
    <w:rsid w:val="3DA30459"/>
    <w:rsid w:val="3E412F51"/>
    <w:rsid w:val="3E460EF2"/>
    <w:rsid w:val="3E946521"/>
    <w:rsid w:val="3FCC3656"/>
    <w:rsid w:val="401C4F48"/>
    <w:rsid w:val="40273721"/>
    <w:rsid w:val="403208D0"/>
    <w:rsid w:val="403F4AD7"/>
    <w:rsid w:val="40D6429E"/>
    <w:rsid w:val="41057B52"/>
    <w:rsid w:val="41C345A6"/>
    <w:rsid w:val="425A2CC3"/>
    <w:rsid w:val="43050828"/>
    <w:rsid w:val="438C76D1"/>
    <w:rsid w:val="43927F2D"/>
    <w:rsid w:val="439E4C80"/>
    <w:rsid w:val="44890C05"/>
    <w:rsid w:val="44A2548B"/>
    <w:rsid w:val="45E27D97"/>
    <w:rsid w:val="465E764C"/>
    <w:rsid w:val="467E457F"/>
    <w:rsid w:val="46817E76"/>
    <w:rsid w:val="47056E24"/>
    <w:rsid w:val="47657350"/>
    <w:rsid w:val="47910D0C"/>
    <w:rsid w:val="4861169C"/>
    <w:rsid w:val="488C6E00"/>
    <w:rsid w:val="48DE73A2"/>
    <w:rsid w:val="49685259"/>
    <w:rsid w:val="496B7B42"/>
    <w:rsid w:val="499A232B"/>
    <w:rsid w:val="49A032E6"/>
    <w:rsid w:val="4A8274B3"/>
    <w:rsid w:val="4B537F03"/>
    <w:rsid w:val="4B7B0259"/>
    <w:rsid w:val="4B86577B"/>
    <w:rsid w:val="4BAF2965"/>
    <w:rsid w:val="4BBF433C"/>
    <w:rsid w:val="4C642159"/>
    <w:rsid w:val="4D332C7A"/>
    <w:rsid w:val="4D6F4E59"/>
    <w:rsid w:val="4E0D4159"/>
    <w:rsid w:val="4E3816A9"/>
    <w:rsid w:val="4E7117AA"/>
    <w:rsid w:val="4E7B1E13"/>
    <w:rsid w:val="4F2B3545"/>
    <w:rsid w:val="4F4A0614"/>
    <w:rsid w:val="4F7C4759"/>
    <w:rsid w:val="50E45479"/>
    <w:rsid w:val="513970A5"/>
    <w:rsid w:val="51A8537F"/>
    <w:rsid w:val="51B8364A"/>
    <w:rsid w:val="527DE965"/>
    <w:rsid w:val="52ED6472"/>
    <w:rsid w:val="53596C53"/>
    <w:rsid w:val="54D45FBA"/>
    <w:rsid w:val="5531350E"/>
    <w:rsid w:val="55F9318B"/>
    <w:rsid w:val="56AB2280"/>
    <w:rsid w:val="57547965"/>
    <w:rsid w:val="582416BC"/>
    <w:rsid w:val="58EB0B8E"/>
    <w:rsid w:val="59837DAB"/>
    <w:rsid w:val="5AB86464"/>
    <w:rsid w:val="5B875181"/>
    <w:rsid w:val="5BCE7975"/>
    <w:rsid w:val="5C9B7317"/>
    <w:rsid w:val="5CFDE447"/>
    <w:rsid w:val="5D3C239E"/>
    <w:rsid w:val="5D42421B"/>
    <w:rsid w:val="5D513B25"/>
    <w:rsid w:val="5D76645E"/>
    <w:rsid w:val="5DBF248E"/>
    <w:rsid w:val="5DF10478"/>
    <w:rsid w:val="5E0375D1"/>
    <w:rsid w:val="5E0E1541"/>
    <w:rsid w:val="5E686103"/>
    <w:rsid w:val="5ED00120"/>
    <w:rsid w:val="5F277C6E"/>
    <w:rsid w:val="5F9F0BB8"/>
    <w:rsid w:val="5FCA4D84"/>
    <w:rsid w:val="615315C1"/>
    <w:rsid w:val="61B67300"/>
    <w:rsid w:val="626C14EF"/>
    <w:rsid w:val="62747960"/>
    <w:rsid w:val="634B7B8C"/>
    <w:rsid w:val="63901A42"/>
    <w:rsid w:val="65032827"/>
    <w:rsid w:val="65202F8D"/>
    <w:rsid w:val="65FA1BB1"/>
    <w:rsid w:val="667C658B"/>
    <w:rsid w:val="66E10B9E"/>
    <w:rsid w:val="67832F5B"/>
    <w:rsid w:val="6797349F"/>
    <w:rsid w:val="681A69AF"/>
    <w:rsid w:val="68B03861"/>
    <w:rsid w:val="6B981A00"/>
    <w:rsid w:val="6C6F75DB"/>
    <w:rsid w:val="6D533D68"/>
    <w:rsid w:val="6E2A59A9"/>
    <w:rsid w:val="71EC3D20"/>
    <w:rsid w:val="72082B24"/>
    <w:rsid w:val="720F447A"/>
    <w:rsid w:val="72677FC6"/>
    <w:rsid w:val="72BD53E7"/>
    <w:rsid w:val="73584C2C"/>
    <w:rsid w:val="73DF0BB1"/>
    <w:rsid w:val="73EF2D90"/>
    <w:rsid w:val="73F62579"/>
    <w:rsid w:val="742C5D9D"/>
    <w:rsid w:val="758E75B1"/>
    <w:rsid w:val="76A32FD9"/>
    <w:rsid w:val="76D80242"/>
    <w:rsid w:val="76E82107"/>
    <w:rsid w:val="76EAC87B"/>
    <w:rsid w:val="77AB1C4C"/>
    <w:rsid w:val="77B10510"/>
    <w:rsid w:val="78454752"/>
    <w:rsid w:val="78A133D8"/>
    <w:rsid w:val="794233A9"/>
    <w:rsid w:val="79B8358B"/>
    <w:rsid w:val="7A7A2183"/>
    <w:rsid w:val="7A914564"/>
    <w:rsid w:val="7B073F40"/>
    <w:rsid w:val="7BA74F5F"/>
    <w:rsid w:val="7BBD1C0E"/>
    <w:rsid w:val="7C0E77F2"/>
    <w:rsid w:val="7C151084"/>
    <w:rsid w:val="7D33405D"/>
    <w:rsid w:val="7E073350"/>
    <w:rsid w:val="7E800F17"/>
    <w:rsid w:val="7F8D3E12"/>
    <w:rsid w:val="7FD53D7C"/>
    <w:rsid w:val="7FE8390A"/>
    <w:rsid w:val="7FF5525F"/>
    <w:rsid w:val="7FFB0939"/>
    <w:rsid w:val="C6F6AD9A"/>
    <w:rsid w:val="D37F59CA"/>
    <w:rsid w:val="F6EFBB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annotation text"/>
    <w:basedOn w:val="1"/>
    <w:semiHidden/>
    <w:unhideWhenUsed/>
    <w:uiPriority w:val="99"/>
    <w:pPr>
      <w:jc w:val="left"/>
    </w:pPr>
  </w:style>
  <w:style w:type="paragraph" w:styleId="5">
    <w:name w:val="Body Text"/>
    <w:basedOn w:val="1"/>
    <w:unhideWhenUsed/>
    <w:qFormat/>
    <w:uiPriority w:val="0"/>
    <w:pPr>
      <w:spacing w:after="120"/>
    </w:pPr>
  </w:style>
  <w:style w:type="paragraph" w:styleId="6">
    <w:name w:val="Body Text Indent"/>
    <w:basedOn w:val="1"/>
    <w:unhideWhenUsed/>
    <w:qFormat/>
    <w:uiPriority w:val="99"/>
    <w:pPr>
      <w:spacing w:after="120"/>
      <w:ind w:left="420" w:leftChars="200"/>
    </w:pPr>
  </w:style>
  <w:style w:type="paragraph" w:styleId="7">
    <w:name w:val="footer"/>
    <w:basedOn w:val="1"/>
    <w:link w:val="22"/>
    <w:semiHidden/>
    <w:unhideWhenUsed/>
    <w:qFormat/>
    <w:uiPriority w:val="99"/>
    <w:pPr>
      <w:tabs>
        <w:tab w:val="center" w:pos="4153"/>
        <w:tab w:val="right" w:pos="8306"/>
      </w:tabs>
      <w:snapToGrid w:val="0"/>
      <w:jc w:val="left"/>
    </w:pPr>
    <w:rPr>
      <w:sz w:val="18"/>
      <w:szCs w:val="18"/>
    </w:rPr>
  </w:style>
  <w:style w:type="paragraph" w:styleId="8">
    <w:name w:val="header"/>
    <w:basedOn w:val="1"/>
    <w:link w:val="2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w:basedOn w:val="5"/>
    <w:unhideWhenUsed/>
    <w:qFormat/>
    <w:uiPriority w:val="99"/>
    <w:pPr>
      <w:ind w:firstLine="420" w:firstLineChars="100"/>
    </w:pPr>
  </w:style>
  <w:style w:type="paragraph" w:styleId="12">
    <w:name w:val="Body Text First Indent 2"/>
    <w:basedOn w:val="6"/>
    <w:unhideWhenUsed/>
    <w:qFormat/>
    <w:uiPriority w:val="99"/>
    <w:pPr>
      <w:ind w:firstLine="420" w:firstLineChars="200"/>
    </w:pPr>
  </w:style>
  <w:style w:type="table" w:styleId="14">
    <w:name w:val="Table Grid"/>
    <w:basedOn w:val="1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6">
    <w:name w:val="Hyperlink"/>
    <w:basedOn w:val="15"/>
    <w:semiHidden/>
    <w:unhideWhenUsed/>
    <w:uiPriority w:val="99"/>
    <w:rPr>
      <w:color w:val="0000FF"/>
      <w:u w:val="single"/>
    </w:rPr>
  </w:style>
  <w:style w:type="paragraph" w:customStyle="1" w:styleId="17">
    <w:name w:val="正文-公1"/>
    <w:basedOn w:val="18"/>
    <w:next w:val="19"/>
    <w:qFormat/>
    <w:uiPriority w:val="0"/>
    <w:pPr>
      <w:widowControl w:val="0"/>
      <w:adjustRightInd/>
      <w:snapToGrid/>
      <w:spacing w:after="0"/>
      <w:ind w:firstLine="200" w:firstLineChars="200"/>
      <w:jc w:val="both"/>
    </w:pPr>
    <w:rPr>
      <w:rFonts w:ascii="Calibri" w:hAnsi="Calibri" w:eastAsia="宋体"/>
      <w:kern w:val="2"/>
      <w:sz w:val="21"/>
      <w:szCs w:val="24"/>
    </w:rPr>
  </w:style>
  <w:style w:type="paragraph" w:customStyle="1" w:styleId="1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
    <w:name w:val="无间隔1"/>
    <w:basedOn w:val="1"/>
    <w:qFormat/>
    <w:uiPriority w:val="0"/>
    <w:rPr>
      <w:rFonts w:ascii="Calibri" w:hAnsi="Calibri" w:eastAsia="宋体" w:cs="Times New Roman"/>
      <w:szCs w:val="21"/>
    </w:r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1">
    <w:name w:val="页眉 Char"/>
    <w:basedOn w:val="15"/>
    <w:link w:val="8"/>
    <w:semiHidden/>
    <w:qFormat/>
    <w:uiPriority w:val="99"/>
    <w:rPr>
      <w:sz w:val="18"/>
      <w:szCs w:val="18"/>
    </w:rPr>
  </w:style>
  <w:style w:type="character" w:customStyle="1" w:styleId="22">
    <w:name w:val="页脚 Char"/>
    <w:basedOn w:val="15"/>
    <w:link w:val="7"/>
    <w:semiHidden/>
    <w:qFormat/>
    <w:uiPriority w:val="99"/>
    <w:rPr>
      <w:sz w:val="18"/>
      <w:szCs w:val="18"/>
    </w:rPr>
  </w:style>
  <w:style w:type="paragraph" w:customStyle="1" w:styleId="23">
    <w:name w:val="Body text|1"/>
    <w:basedOn w:val="1"/>
    <w:qFormat/>
    <w:uiPriority w:val="0"/>
    <w:pPr>
      <w:spacing w:line="408" w:lineRule="auto"/>
      <w:ind w:firstLine="400"/>
      <w:jc w:val="left"/>
    </w:pPr>
    <w:rPr>
      <w:rFonts w:ascii="宋体" w:hAnsi="宋体" w:eastAsia="宋体" w:cs="宋体"/>
      <w:kern w:val="0"/>
      <w:sz w:val="30"/>
      <w:szCs w:val="30"/>
      <w:lang w:val="zh-TW" w:eastAsia="zh-TW" w:bidi="zh-TW"/>
    </w:rPr>
  </w:style>
  <w:style w:type="paragraph" w:styleId="24">
    <w:name w:val="List Paragraph"/>
    <w:basedOn w:val="1"/>
    <w:qFormat/>
    <w:uiPriority w:val="34"/>
    <w:pPr>
      <w:ind w:firstLine="420" w:firstLineChars="200"/>
    </w:pPr>
    <w:rPr>
      <w:rFonts w:ascii="Calibri" w:hAnsi="Calibri" w:eastAsia="宋体" w:cs="Times New Roman"/>
      <w:szCs w:val="24"/>
    </w:rPr>
  </w:style>
  <w:style w:type="character" w:customStyle="1" w:styleId="25">
    <w:name w:val="font21"/>
    <w:basedOn w:val="1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170</Words>
  <Characters>970</Characters>
  <Lines>8</Lines>
  <Paragraphs>2</Paragraphs>
  <TotalTime>63</TotalTime>
  <ScaleCrop>false</ScaleCrop>
  <LinksUpToDate>false</LinksUpToDate>
  <CharactersWithSpaces>1138</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2023-06-06T14:59:00Z</dcterms:created>
  <dc:creator>Phoenix</dc:creator>
  <cp:lastModifiedBy>gzrc</cp:lastModifiedBy>
  <cp:lastPrinted>2024-04-15T11:39:00Z</cp:lastPrinted>
  <dcterms:modified xsi:type="dcterms:W3CDTF">2024-04-25T14:21:47Z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CA9B6F17C17DCB327BF629667F183133</vt:lpwstr>
  </property>
</Properties>
</file>