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630"/>
        <w:jc w:val="both"/>
        <w:rPr>
          <w:rFonts w:hint="eastAsia" w:ascii="宋体" w:hAnsi="宋体" w:eastAsia="宋体" w:cs="Times New Roman"/>
          <w:b/>
          <w:bCs/>
          <w:color w:val="auto"/>
          <w:sz w:val="44"/>
          <w:szCs w:val="44"/>
          <w:lang w:eastAsia="zh-CN"/>
        </w:rPr>
      </w:pPr>
    </w:p>
    <w:p>
      <w:pPr>
        <w:rPr>
          <w:rFonts w:hint="eastAsia" w:ascii="宋体" w:hAnsi="宋体" w:eastAsia="宋体" w:cs="Times New Roman"/>
          <w:b/>
          <w:bCs/>
          <w:color w:val="auto"/>
          <w:sz w:val="44"/>
          <w:szCs w:val="44"/>
          <w:lang w:eastAsia="zh-CN"/>
        </w:rPr>
      </w:pPr>
    </w:p>
    <w:p>
      <w:pPr>
        <w:spacing w:line="360" w:lineRule="auto"/>
        <w:ind w:right="23" w:rightChars="11"/>
        <w:jc w:val="both"/>
        <w:rPr>
          <w:rFonts w:hint="eastAsia" w:ascii="方正小标宋简体" w:hAnsi="方正小标宋简体" w:eastAsia="方正小标宋简体" w:cs="方正小标宋简体"/>
          <w:b w:val="0"/>
          <w:bCs w:val="0"/>
          <w:color w:val="auto"/>
          <w:sz w:val="44"/>
          <w:szCs w:val="44"/>
          <w:lang w:eastAsia="zh-CN"/>
        </w:rPr>
      </w:pPr>
    </w:p>
    <w:p>
      <w:pPr>
        <w:spacing w:line="360" w:lineRule="auto"/>
        <w:ind w:right="23" w:rightChars="11"/>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贵州关岭</w:t>
      </w:r>
      <w:r>
        <w:rPr>
          <w:rFonts w:hint="eastAsia" w:ascii="方正小标宋简体" w:hAnsi="方正小标宋简体" w:eastAsia="方正小标宋简体" w:cs="方正小标宋简体"/>
          <w:b w:val="0"/>
          <w:bCs w:val="0"/>
          <w:color w:val="auto"/>
          <w:sz w:val="44"/>
          <w:szCs w:val="44"/>
        </w:rPr>
        <w:t>农村商业银行</w:t>
      </w:r>
      <w:r>
        <w:rPr>
          <w:rFonts w:hint="eastAsia" w:ascii="方正小标宋简体" w:hAnsi="方正小标宋简体" w:eastAsia="方正小标宋简体" w:cs="方正小标宋简体"/>
          <w:b w:val="0"/>
          <w:bCs w:val="0"/>
          <w:color w:val="auto"/>
          <w:sz w:val="44"/>
          <w:szCs w:val="44"/>
          <w:lang w:eastAsia="zh-CN"/>
        </w:rPr>
        <w:t>股份有限</w:t>
      </w:r>
      <w:r>
        <w:rPr>
          <w:rFonts w:hint="eastAsia" w:ascii="方正小标宋简体" w:hAnsi="方正小标宋简体" w:eastAsia="方正小标宋简体" w:cs="方正小标宋简体"/>
          <w:b w:val="0"/>
          <w:bCs w:val="0"/>
          <w:color w:val="auto"/>
          <w:sz w:val="44"/>
          <w:szCs w:val="44"/>
          <w:lang w:val="en-US" w:eastAsia="zh-CN"/>
        </w:rPr>
        <w:t>公司</w:t>
      </w:r>
    </w:p>
    <w:p>
      <w:pPr>
        <w:spacing w:line="360" w:lineRule="auto"/>
        <w:ind w:right="23" w:rightChars="11"/>
        <w:jc w:val="center"/>
        <w:rPr>
          <w:rFonts w:hint="eastAsia" w:ascii="方正小标宋简体" w:hAnsi="方正小标宋简体" w:eastAsia="方正小标宋简体" w:cs="方正小标宋简体"/>
          <w:b w:val="0"/>
          <w:bCs w:val="0"/>
          <w:color w:val="auto"/>
          <w:sz w:val="44"/>
          <w:szCs w:val="44"/>
        </w:rPr>
      </w:pPr>
      <w:r>
        <w:rPr>
          <w:rFonts w:hint="default" w:ascii="Times New Roman" w:hAnsi="Times New Roman" w:eastAsia="方正小标宋简体" w:cs="Times New Roman"/>
          <w:b w:val="0"/>
          <w:bCs w:val="0"/>
          <w:color w:val="auto"/>
          <w:sz w:val="44"/>
          <w:szCs w:val="44"/>
        </w:rPr>
        <w:t>202</w:t>
      </w:r>
      <w:r>
        <w:rPr>
          <w:rFonts w:hint="default" w:ascii="Times New Roman" w:hAnsi="Times New Roman" w:eastAsia="方正小标宋简体" w:cs="Times New Roman"/>
          <w:b w:val="0"/>
          <w:bCs w:val="0"/>
          <w:color w:val="auto"/>
          <w:sz w:val="44"/>
          <w:szCs w:val="44"/>
          <w:lang w:val="en-US" w:eastAsia="zh-CN"/>
        </w:rPr>
        <w:t>3</w:t>
      </w:r>
      <w:r>
        <w:rPr>
          <w:rFonts w:hint="eastAsia" w:ascii="方正小标宋简体" w:hAnsi="方正小标宋简体" w:eastAsia="方正小标宋简体" w:cs="方正小标宋简体"/>
          <w:b w:val="0"/>
          <w:bCs w:val="0"/>
          <w:color w:val="auto"/>
          <w:sz w:val="44"/>
          <w:szCs w:val="44"/>
        </w:rPr>
        <w:t>年度环境信息披露报告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eastAsia" w:ascii="黑体" w:hAnsi="黑体" w:eastAsia="黑体" w:cs="黑体"/>
          <w:color w:val="auto"/>
          <w:sz w:val="28"/>
          <w:szCs w:val="28"/>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eastAsia" w:ascii="黑体" w:hAnsi="黑体" w:eastAsia="黑体" w:cs="黑体"/>
          <w:color w:val="auto"/>
          <w:sz w:val="28"/>
          <w:szCs w:val="28"/>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eastAsia" w:ascii="黑体" w:hAnsi="黑体" w:eastAsia="黑体" w:cs="黑体"/>
          <w:color w:val="auto"/>
          <w:sz w:val="28"/>
          <w:szCs w:val="28"/>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eastAsia" w:ascii="黑体" w:hAnsi="黑体" w:eastAsia="黑体" w:cs="黑体"/>
          <w:color w:val="auto"/>
          <w:sz w:val="28"/>
          <w:szCs w:val="28"/>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黑体" w:hAnsi="黑体" w:eastAsia="黑体" w:cs="黑体"/>
          <w:color w:val="auto"/>
          <w:sz w:val="28"/>
          <w:szCs w:val="28"/>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eastAsia" w:ascii="黑体" w:hAnsi="黑体" w:eastAsia="黑体" w:cs="黑体"/>
          <w:color w:val="auto"/>
          <w:sz w:val="28"/>
          <w:szCs w:val="28"/>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eastAsia" w:ascii="黑体" w:hAnsi="黑体" w:eastAsia="黑体" w:cs="黑体"/>
          <w:color w:val="auto"/>
          <w:sz w:val="28"/>
          <w:szCs w:val="28"/>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eastAsia" w:ascii="黑体" w:hAnsi="黑体" w:eastAsia="黑体" w:cs="黑体"/>
          <w:color w:val="auto"/>
          <w:sz w:val="28"/>
          <w:szCs w:val="28"/>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eastAsia" w:ascii="黑体" w:hAnsi="黑体" w:eastAsia="黑体" w:cs="黑体"/>
          <w:color w:val="auto"/>
          <w:sz w:val="28"/>
          <w:szCs w:val="28"/>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eastAsia" w:ascii="黑体" w:hAnsi="黑体" w:eastAsia="黑体" w:cs="黑体"/>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报告年度：</w:t>
      </w:r>
      <w:r>
        <w:rPr>
          <w:rFonts w:hint="default" w:ascii="Times New Roman" w:hAnsi="Times New Roman" w:eastAsia="仿宋_GB2312" w:cs="Times New Roman"/>
          <w:color w:val="auto"/>
          <w:sz w:val="32"/>
          <w:szCs w:val="32"/>
          <w:lang w:val="en-US" w:eastAsia="zh-CN"/>
        </w:rPr>
        <w:t>2023</w:t>
      </w:r>
      <w:r>
        <w:rPr>
          <w:rFonts w:hint="eastAsia" w:ascii="Times New Roman" w:hAnsi="Times New Roman" w:eastAsia="仿宋_GB2312" w:cs="Times New Roman"/>
          <w:color w:val="auto"/>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编写单位</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u w:val="single"/>
          <w:lang w:eastAsia="zh-CN"/>
        </w:rPr>
        <w:t>贵州关岭</w:t>
      </w:r>
      <w:r>
        <w:rPr>
          <w:rFonts w:hint="eastAsia" w:ascii="Times New Roman" w:hAnsi="Times New Roman" w:eastAsia="仿宋_GB2312" w:cs="Times New Roman"/>
          <w:color w:val="auto"/>
          <w:sz w:val="32"/>
          <w:szCs w:val="32"/>
          <w:u w:val="single"/>
        </w:rPr>
        <w:t>农村商业银行</w:t>
      </w:r>
      <w:r>
        <w:rPr>
          <w:rFonts w:hint="eastAsia" w:ascii="Times New Roman" w:hAnsi="Times New Roman" w:eastAsia="仿宋_GB2312" w:cs="Times New Roman"/>
          <w:color w:val="auto"/>
          <w:sz w:val="32"/>
          <w:szCs w:val="32"/>
          <w:u w:val="single"/>
          <w:lang w:eastAsia="zh-CN"/>
        </w:rPr>
        <w:t>股份有限</w:t>
      </w:r>
      <w:r>
        <w:rPr>
          <w:rFonts w:hint="eastAsia" w:ascii="Times New Roman" w:hAnsi="Times New Roman" w:eastAsia="仿宋_GB2312" w:cs="Times New Roman"/>
          <w:color w:val="auto"/>
          <w:sz w:val="32"/>
          <w:szCs w:val="32"/>
          <w:u w:val="single"/>
          <w:lang w:val="en-US" w:eastAsia="zh-CN"/>
        </w:rPr>
        <w:t>公司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default" w:ascii="仿宋_GB2312" w:hAnsi="仿宋_GB2312" w:eastAsia="仿宋_GB2312" w:cs="仿宋_GB2312"/>
          <w:color w:val="auto"/>
          <w:sz w:val="28"/>
          <w:szCs w:val="28"/>
          <w:lang w:val="en-US" w:eastAsia="zh-CN"/>
        </w:rPr>
      </w:pPr>
      <w:r>
        <w:rPr>
          <w:rFonts w:hint="eastAsia" w:ascii="Times New Roman" w:hAnsi="Times New Roman" w:eastAsia="仿宋_GB2312" w:cs="Times New Roman"/>
          <w:color w:val="auto"/>
          <w:sz w:val="32"/>
          <w:szCs w:val="32"/>
        </w:rPr>
        <w:t>编制日期：</w:t>
      </w:r>
      <w:r>
        <w:rPr>
          <w:rFonts w:hint="default" w:ascii="Times New Roman" w:hAnsi="Times New Roman" w:eastAsia="仿宋_GB2312" w:cs="Times New Roman"/>
          <w:color w:val="auto"/>
          <w:sz w:val="32"/>
          <w:szCs w:val="32"/>
          <w:lang w:val="en-US" w:eastAsia="zh-CN"/>
        </w:rPr>
        <w:t>2024</w:t>
      </w:r>
      <w:r>
        <w:rPr>
          <w:rFonts w:hint="eastAsia"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月</w:t>
      </w:r>
    </w:p>
    <w:p>
      <w:pPr>
        <w:pStyle w:val="2"/>
        <w:rPr>
          <w:rFonts w:hint="default"/>
          <w:color w:val="auto"/>
          <w:lang w:val="en-US" w:eastAsia="zh-CN"/>
        </w:rPr>
      </w:pPr>
    </w:p>
    <w:p>
      <w:pPr>
        <w:pStyle w:val="2"/>
        <w:rPr>
          <w:rFonts w:hint="default"/>
          <w:color w:val="auto"/>
          <w:lang w:val="en-US" w:eastAsia="zh-CN"/>
        </w:rPr>
      </w:pPr>
    </w:p>
    <w:p>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szCs w:val="24"/>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588" w:gutter="0"/>
          <w:pgNumType w:fmt="decimal" w:start="5"/>
          <w:cols w:space="425" w:num="1"/>
          <w:docGrid w:type="lines" w:linePitch="312" w:charSpace="0"/>
        </w:sectPr>
      </w:pPr>
    </w:p>
    <w:sdt>
      <w:sdtPr>
        <w:rPr>
          <w:rFonts w:ascii="宋体" w:hAnsi="宋体" w:eastAsia="宋体" w:cs="Times New Roman"/>
          <w:color w:val="auto"/>
          <w:kern w:val="2"/>
          <w:sz w:val="21"/>
          <w:szCs w:val="24"/>
          <w:lang w:val="en-US" w:eastAsia="zh-CN" w:bidi="ar-SA"/>
        </w:rPr>
        <w:id w:val="147477878"/>
        <w:docPartObj>
          <w:docPartGallery w:val="Table of Contents"/>
          <w:docPartUnique/>
        </w:docPartObj>
      </w:sdtPr>
      <w:sdtEndPr>
        <w:rPr>
          <w:rFonts w:ascii="宋体" w:hAnsi="宋体" w:eastAsia="宋体" w:cs="Times New Roman"/>
          <w:color w:val="auto"/>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szCs w:val="24"/>
              <w:lang w:val="en-US" w:eastAsia="zh-CN" w:bidi="ar-SA"/>
            </w:rPr>
          </w:pPr>
          <w:bookmarkStart w:id="0" w:name="_Toc17652_WPSOffice_Type3"/>
        </w:p>
        <w:p>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b/>
              <w:bCs/>
              <w:color w:val="auto"/>
              <w:sz w:val="24"/>
              <w:szCs w:val="24"/>
            </w:rPr>
          </w:pPr>
          <w:r>
            <w:rPr>
              <w:rFonts w:ascii="宋体" w:hAnsi="宋体" w:eastAsia="宋体"/>
              <w:b/>
              <w:bCs/>
              <w:color w:val="auto"/>
              <w:sz w:val="24"/>
              <w:szCs w:val="24"/>
            </w:rPr>
            <w:t>目录</w:t>
          </w:r>
        </w:p>
        <w:p>
          <w:pPr>
            <w:spacing w:before="0" w:beforeLines="0" w:after="0" w:afterLines="0" w:line="240" w:lineRule="auto"/>
            <w:ind w:left="0" w:leftChars="0" w:right="0" w:rightChars="0" w:firstLine="0" w:firstLineChars="0"/>
            <w:jc w:val="center"/>
            <w:rPr>
              <w:rFonts w:hint="eastAsia" w:ascii="Times New Roman" w:hAnsi="Times New Roman" w:eastAsia="黑体" w:cs="Times New Roman"/>
              <w:color w:val="auto"/>
              <w:sz w:val="24"/>
              <w:szCs w:val="24"/>
              <w:lang w:val="en-US" w:eastAsia="zh-CN"/>
            </w:rPr>
          </w:pPr>
          <w:r>
            <w:rPr>
              <w:color w:val="auto"/>
              <w:sz w:val="24"/>
              <w:szCs w:val="24"/>
            </w:rPr>
            <w:fldChar w:fldCharType="begin"/>
          </w:r>
          <w:r>
            <w:rPr>
              <w:color w:val="auto"/>
              <w:sz w:val="24"/>
              <w:szCs w:val="24"/>
            </w:rPr>
            <w:instrText xml:space="preserve"> HYPERLINK \l _Toc12481_WPSOffice_Level1 </w:instrText>
          </w:r>
          <w:r>
            <w:rPr>
              <w:color w:val="auto"/>
              <w:sz w:val="24"/>
              <w:szCs w:val="24"/>
            </w:rPr>
            <w:fldChar w:fldCharType="separate"/>
          </w:r>
        </w:p>
        <w:p>
          <w:pPr>
            <w:pStyle w:val="16"/>
            <w:tabs>
              <w:tab w:val="right" w:leader="dot" w:pos="8306"/>
            </w:tabs>
            <w:rPr>
              <w:rFonts w:hint="eastAsia" w:ascii="Times New Roman" w:hAnsi="Times New Roman" w:eastAsia="黑体" w:cs="Times New Roman"/>
              <w:color w:val="auto"/>
              <w:sz w:val="24"/>
              <w:szCs w:val="24"/>
              <w:lang w:val="en-US" w:eastAsia="zh-CN"/>
            </w:rPr>
          </w:pPr>
          <w:sdt>
            <w:sdtPr>
              <w:rPr>
                <w:rFonts w:hint="eastAsia" w:ascii="Times New Roman" w:hAnsi="Times New Roman" w:eastAsia="黑体" w:cs="Times New Roman"/>
                <w:color w:val="auto"/>
                <w:sz w:val="24"/>
                <w:szCs w:val="24"/>
                <w:lang w:val="en-US" w:eastAsia="zh-CN"/>
              </w:rPr>
              <w:id w:val="147477878"/>
              <w:placeholder>
                <w:docPart w:val="{5237b996-ade2-4377-90e6-84d268f38435}"/>
              </w:placeholder>
            </w:sdtPr>
            <w:sdtEndPr>
              <w:rPr>
                <w:rFonts w:hint="eastAsia" w:ascii="Times New Roman" w:hAnsi="Times New Roman" w:eastAsia="黑体" w:cs="Times New Roman"/>
                <w:color w:val="auto"/>
                <w:sz w:val="24"/>
                <w:szCs w:val="24"/>
                <w:lang w:val="en-US" w:eastAsia="zh-CN"/>
              </w:rPr>
            </w:sdtEndPr>
            <w:sdtContent>
              <w:r>
                <w:rPr>
                  <w:rFonts w:hint="eastAsia" w:ascii="Times New Roman" w:hAnsi="Times New Roman" w:eastAsia="黑体" w:cs="Times New Roman"/>
                  <w:color w:val="auto"/>
                  <w:sz w:val="24"/>
                  <w:szCs w:val="24"/>
                  <w:lang w:val="en-US" w:eastAsia="zh-CN"/>
                </w:rPr>
                <w:t>报告编制说明</w:t>
              </w:r>
            </w:sdtContent>
          </w:sdt>
          <w:r>
            <w:rPr>
              <w:color w:val="auto"/>
              <w:sz w:val="24"/>
              <w:szCs w:val="24"/>
            </w:rPr>
            <w:tab/>
          </w:r>
          <w:r>
            <w:rPr>
              <w:rFonts w:hint="default" w:ascii="Times New Roman" w:hAnsi="Times New Roman" w:cs="Times New Roman"/>
              <w:color w:val="auto"/>
              <w:sz w:val="24"/>
              <w:szCs w:val="24"/>
              <w:lang w:val="en-US" w:eastAsia="zh-CN"/>
            </w:rPr>
            <w:t>1</w:t>
          </w:r>
          <w:r>
            <w:rPr>
              <w:color w:val="auto"/>
              <w:sz w:val="24"/>
              <w:szCs w:val="24"/>
            </w:rPr>
            <w:fldChar w:fldCharType="end"/>
          </w:r>
          <w:r>
            <w:rPr>
              <w:color w:val="auto"/>
              <w:sz w:val="24"/>
              <w:szCs w:val="24"/>
            </w:rPr>
            <w:fldChar w:fldCharType="begin"/>
          </w:r>
          <w:r>
            <w:rPr>
              <w:color w:val="auto"/>
              <w:sz w:val="24"/>
              <w:szCs w:val="24"/>
            </w:rPr>
            <w:instrText xml:space="preserve"> HYPERLINK \l _Toc12481_WPSOffice_Level1 </w:instrText>
          </w:r>
          <w:r>
            <w:rPr>
              <w:color w:val="auto"/>
              <w:sz w:val="24"/>
              <w:szCs w:val="24"/>
            </w:rPr>
            <w:fldChar w:fldCharType="separate"/>
          </w:r>
        </w:p>
        <w:p>
          <w:pPr>
            <w:pStyle w:val="16"/>
            <w:tabs>
              <w:tab w:val="right" w:leader="dot" w:pos="8306"/>
            </w:tabs>
            <w:rPr>
              <w:color w:val="auto"/>
              <w:lang w:val="en-US"/>
            </w:rPr>
          </w:pPr>
          <w:sdt>
            <w:sdtPr>
              <w:rPr>
                <w:rFonts w:hint="eastAsia" w:ascii="Times New Roman" w:hAnsi="Times New Roman" w:eastAsia="黑体" w:cs="Times New Roman"/>
                <w:color w:val="auto"/>
                <w:sz w:val="24"/>
                <w:szCs w:val="24"/>
                <w:lang w:val="en-US" w:eastAsia="zh-CN"/>
              </w:rPr>
              <w:id w:val="147477878"/>
              <w:placeholder>
                <w:docPart w:val="{59f59206-3ebe-4db6-9581-281ce6d1e2eb}"/>
              </w:placeholder>
            </w:sdtPr>
            <w:sdtEndPr>
              <w:rPr>
                <w:rFonts w:hint="eastAsia" w:ascii="Times New Roman" w:hAnsi="Times New Roman" w:eastAsia="黑体" w:cs="Times New Roman"/>
                <w:color w:val="auto"/>
                <w:sz w:val="24"/>
                <w:szCs w:val="24"/>
                <w:lang w:val="en-US" w:eastAsia="zh-CN"/>
              </w:rPr>
            </w:sdtEndPr>
            <w:sdtContent>
              <w:r>
                <w:rPr>
                  <w:rFonts w:hint="eastAsia" w:eastAsia="黑体" w:cs="Times New Roman"/>
                  <w:color w:val="auto"/>
                  <w:sz w:val="24"/>
                  <w:szCs w:val="24"/>
                  <w:lang w:val="en-US" w:eastAsia="zh-CN"/>
                </w:rPr>
                <w:t>一、</w:t>
              </w:r>
              <w:r>
                <w:rPr>
                  <w:rFonts w:hint="eastAsia" w:ascii="Times New Roman" w:hAnsi="Times New Roman" w:eastAsia="黑体" w:cs="Times New Roman"/>
                  <w:color w:val="auto"/>
                  <w:sz w:val="24"/>
                  <w:szCs w:val="24"/>
                  <w:lang w:val="en-US" w:eastAsia="zh-CN"/>
                </w:rPr>
                <w:t>基本信息</w:t>
              </w:r>
            </w:sdtContent>
          </w:sdt>
          <w:r>
            <w:rPr>
              <w:color w:val="auto"/>
              <w:sz w:val="24"/>
              <w:szCs w:val="24"/>
            </w:rPr>
            <w:tab/>
          </w:r>
          <w:r>
            <w:rPr>
              <w:rFonts w:hint="default" w:ascii="Times New Roman" w:hAnsi="Times New Roman" w:cs="Times New Roman"/>
              <w:color w:val="auto"/>
              <w:sz w:val="24"/>
              <w:szCs w:val="24"/>
            </w:rPr>
            <w:t>2</w:t>
          </w:r>
          <w:r>
            <w:rPr>
              <w:color w:val="auto"/>
              <w:sz w:val="24"/>
              <w:szCs w:val="24"/>
            </w:rPr>
            <w:fldChar w:fldCharType="end"/>
          </w:r>
        </w:p>
        <w:p>
          <w:pPr>
            <w:pStyle w:val="16"/>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_Toc12481_WPSOffice_Level1 </w:instrText>
          </w:r>
          <w:r>
            <w:rPr>
              <w:color w:val="auto"/>
              <w:sz w:val="24"/>
              <w:szCs w:val="24"/>
            </w:rPr>
            <w:fldChar w:fldCharType="separate"/>
          </w:r>
          <w:sdt>
            <w:sdtPr>
              <w:rPr>
                <w:rFonts w:ascii="Calibri" w:hAnsi="Calibri" w:eastAsia="宋体" w:cs="Times New Roman"/>
                <w:b/>
                <w:bCs/>
                <w:color w:val="auto"/>
                <w:kern w:val="0"/>
                <w:sz w:val="24"/>
                <w:szCs w:val="24"/>
                <w:lang w:val="en-US" w:eastAsia="zh-CN" w:bidi="ar-SA"/>
              </w:rPr>
              <w:id w:val="147477878"/>
              <w:placeholder>
                <w:docPart w:val="{64cddc9e-6f80-4a65-aa3b-7e652dd0e4d1}"/>
              </w:placeholder>
            </w:sdtPr>
            <w:sdtEndPr>
              <w:rPr>
                <w:rFonts w:hint="eastAsia" w:ascii="Times New Roman" w:hAnsi="Times New Roman" w:eastAsia="黑体" w:cs="Times New Roman"/>
                <w:b/>
                <w:bCs/>
                <w:color w:val="auto"/>
                <w:kern w:val="0"/>
                <w:sz w:val="24"/>
                <w:szCs w:val="24"/>
                <w:lang w:val="en-US" w:eastAsia="zh-CN" w:bidi="ar-SA"/>
              </w:rPr>
            </w:sdtEndPr>
            <w:sdtContent>
              <w:r>
                <w:rPr>
                  <w:rFonts w:hint="eastAsia" w:ascii="Times New Roman" w:hAnsi="Times New Roman" w:eastAsia="黑体" w:cs="Times New Roman"/>
                  <w:color w:val="auto"/>
                  <w:sz w:val="24"/>
                  <w:szCs w:val="24"/>
                  <w:lang w:val="en-US" w:eastAsia="zh-CN"/>
                </w:rPr>
                <w:t>二、年度概况及绿色金融发展战略</w:t>
              </w:r>
            </w:sdtContent>
          </w:sdt>
          <w:r>
            <w:rPr>
              <w:color w:val="auto"/>
              <w:sz w:val="24"/>
              <w:szCs w:val="24"/>
            </w:rPr>
            <w:tab/>
          </w:r>
          <w:r>
            <w:rPr>
              <w:rFonts w:hint="default" w:ascii="Times New Roman" w:hAnsi="Times New Roman" w:cs="Times New Roman"/>
              <w:color w:val="auto"/>
              <w:sz w:val="24"/>
              <w:szCs w:val="24"/>
              <w:lang w:val="en-US" w:eastAsia="zh-CN"/>
            </w:rPr>
            <w:t>3</w:t>
          </w:r>
          <w:r>
            <w:rPr>
              <w:color w:val="auto"/>
              <w:sz w:val="24"/>
              <w:szCs w:val="24"/>
            </w:rPr>
            <w:fldChar w:fldCharType="end"/>
          </w:r>
        </w:p>
        <w:p>
          <w:pPr>
            <w:pStyle w:val="16"/>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_Toc17652_WPSOffice_Level1 </w:instrText>
          </w:r>
          <w:r>
            <w:rPr>
              <w:color w:val="auto"/>
              <w:sz w:val="24"/>
              <w:szCs w:val="24"/>
            </w:rPr>
            <w:fldChar w:fldCharType="separate"/>
          </w:r>
          <w:sdt>
            <w:sdtPr>
              <w:rPr>
                <w:rFonts w:ascii="Calibri" w:hAnsi="Calibri" w:eastAsia="宋体" w:cs="Times New Roman"/>
                <w:b/>
                <w:bCs/>
                <w:color w:val="auto"/>
                <w:kern w:val="0"/>
                <w:sz w:val="24"/>
                <w:szCs w:val="24"/>
                <w:lang w:val="en-US" w:eastAsia="zh-CN" w:bidi="ar-SA"/>
              </w:rPr>
              <w:id w:val="147477878"/>
              <w:placeholder>
                <w:docPart w:val="{6afa639b-657a-4e8e-ad60-138ebc3a4556}"/>
              </w:placeholder>
            </w:sdtPr>
            <w:sdtEndPr>
              <w:rPr>
                <w:rFonts w:ascii="Calibri" w:hAnsi="Calibri" w:eastAsia="宋体" w:cs="Times New Roman"/>
                <w:b/>
                <w:bCs/>
                <w:color w:val="auto"/>
                <w:kern w:val="0"/>
                <w:sz w:val="24"/>
                <w:szCs w:val="24"/>
                <w:lang w:val="en-US" w:eastAsia="zh-CN" w:bidi="ar-SA"/>
              </w:rPr>
            </w:sdtEndPr>
            <w:sdtContent>
              <w:r>
                <w:rPr>
                  <w:rFonts w:hint="eastAsia" w:ascii="黑体" w:hAnsi="黑体" w:eastAsia="黑体" w:cs="黑体"/>
                  <w:b/>
                  <w:bCs/>
                  <w:color w:val="auto"/>
                  <w:kern w:val="0"/>
                  <w:sz w:val="24"/>
                  <w:szCs w:val="24"/>
                  <w:lang w:val="en-US" w:eastAsia="zh-CN" w:bidi="ar-SA"/>
                </w:rPr>
                <w:t>三</w:t>
              </w:r>
              <w:r>
                <w:rPr>
                  <w:rFonts w:hint="eastAsia" w:ascii="Calibri" w:hAnsi="Calibri" w:cs="Times New Roman"/>
                  <w:b/>
                  <w:bCs/>
                  <w:color w:val="auto"/>
                  <w:kern w:val="0"/>
                  <w:sz w:val="24"/>
                  <w:szCs w:val="24"/>
                  <w:lang w:val="en-US" w:eastAsia="zh-CN" w:bidi="ar-SA"/>
                </w:rPr>
                <w:t>、</w:t>
              </w:r>
              <w:r>
                <w:rPr>
                  <w:rFonts w:hint="eastAsia" w:ascii="Times New Roman" w:hAnsi="Times New Roman" w:eastAsia="黑体" w:cs="Times New Roman"/>
                  <w:color w:val="auto"/>
                  <w:sz w:val="24"/>
                  <w:szCs w:val="24"/>
                  <w:lang w:val="en-US" w:eastAsia="zh-CN"/>
                </w:rPr>
                <w:t>环境及绿色金融相关治理结构</w:t>
              </w:r>
            </w:sdtContent>
          </w:sdt>
          <w:r>
            <w:rPr>
              <w:color w:val="auto"/>
              <w:sz w:val="24"/>
              <w:szCs w:val="24"/>
            </w:rPr>
            <w:tab/>
          </w:r>
          <w:bookmarkStart w:id="1" w:name="_Toc17652_WPSOffice_Level1Page"/>
          <w:r>
            <w:rPr>
              <w:rFonts w:hint="default" w:ascii="Times New Roman" w:hAnsi="Times New Roman" w:cs="Times New Roman"/>
              <w:color w:val="auto"/>
              <w:sz w:val="24"/>
              <w:szCs w:val="24"/>
            </w:rPr>
            <w:t>3</w:t>
          </w:r>
          <w:bookmarkEnd w:id="1"/>
          <w:r>
            <w:rPr>
              <w:color w:val="auto"/>
              <w:sz w:val="24"/>
              <w:szCs w:val="24"/>
            </w:rPr>
            <w:fldChar w:fldCharType="end"/>
          </w:r>
        </w:p>
        <w:p>
          <w:pPr>
            <w:pStyle w:val="17"/>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_Toc17652_WPSOffice_Level2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3ed1882e-b066-42ea-92b4-140b9beb32d3}"/>
              </w:placeholder>
            </w:sdtPr>
            <w:sdtEndPr>
              <w:rPr>
                <w:rFonts w:ascii="Calibri" w:hAnsi="Calibri" w:eastAsia="宋体" w:cs="Times New Roman"/>
                <w:color w:val="auto"/>
                <w:kern w:val="0"/>
                <w:sz w:val="24"/>
                <w:szCs w:val="24"/>
                <w:lang w:val="en-US" w:eastAsia="zh-CN" w:bidi="ar-SA"/>
              </w:rPr>
            </w:sdtEndPr>
            <w:sdtContent>
              <w:r>
                <w:rPr>
                  <w:rFonts w:hint="eastAsia" w:ascii="Calibri" w:hAnsi="Calibri" w:cs="Times New Roman"/>
                  <w:color w:val="auto"/>
                  <w:kern w:val="0"/>
                  <w:sz w:val="24"/>
                  <w:szCs w:val="24"/>
                  <w:lang w:val="en-US" w:eastAsia="zh-CN" w:bidi="ar-SA"/>
                </w:rPr>
                <w:t>（一）</w:t>
              </w:r>
              <w:r>
                <w:rPr>
                  <w:rFonts w:hint="eastAsia" w:ascii="仿宋_GB2312" w:hAnsi="仿宋_GB2312" w:eastAsia="仿宋_GB2312" w:cs="仿宋_GB2312"/>
                  <w:color w:val="auto"/>
                  <w:sz w:val="24"/>
                  <w:szCs w:val="24"/>
                </w:rPr>
                <w:t>董事会层面</w:t>
              </w:r>
            </w:sdtContent>
          </w:sdt>
          <w:r>
            <w:rPr>
              <w:color w:val="auto"/>
              <w:sz w:val="24"/>
              <w:szCs w:val="24"/>
            </w:rPr>
            <w:tab/>
          </w:r>
          <w:bookmarkStart w:id="2" w:name="_Toc17652_WPSOffice_Level2Page"/>
          <w:r>
            <w:rPr>
              <w:rFonts w:hint="default" w:ascii="Times New Roman" w:hAnsi="Times New Roman" w:cs="Times New Roman"/>
              <w:color w:val="auto"/>
              <w:sz w:val="24"/>
              <w:szCs w:val="24"/>
            </w:rPr>
            <w:t>3</w:t>
          </w:r>
          <w:bookmarkEnd w:id="2"/>
          <w:r>
            <w:rPr>
              <w:color w:val="auto"/>
              <w:sz w:val="24"/>
              <w:szCs w:val="24"/>
            </w:rPr>
            <w:fldChar w:fldCharType="end"/>
          </w:r>
        </w:p>
        <w:p>
          <w:pPr>
            <w:pStyle w:val="17"/>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_Toc15517_WPSOffice_Level2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0a9691fc-a477-4e1a-8eea-dc3b4ebd2292}"/>
              </w:placeholder>
            </w:sdtPr>
            <w:sdtEndPr>
              <w:rPr>
                <w:rFonts w:ascii="Calibri" w:hAnsi="Calibri" w:eastAsia="宋体" w:cs="Times New Roman"/>
                <w:color w:val="auto"/>
                <w:kern w:val="0"/>
                <w:sz w:val="24"/>
                <w:szCs w:val="24"/>
                <w:lang w:val="en-US" w:eastAsia="zh-CN" w:bidi="ar-SA"/>
              </w:rPr>
            </w:sdtEndPr>
            <w:sdtContent>
              <w:r>
                <w:rPr>
                  <w:rFonts w:hint="eastAsia" w:ascii="Calibri" w:hAnsi="Calibri" w:cs="Times New Roman"/>
                  <w:color w:val="auto"/>
                  <w:kern w:val="0"/>
                  <w:sz w:val="24"/>
                  <w:szCs w:val="24"/>
                  <w:lang w:val="en-US" w:eastAsia="zh-CN" w:bidi="ar-SA"/>
                </w:rPr>
                <w:t>（二）</w:t>
              </w:r>
              <w:r>
                <w:rPr>
                  <w:rFonts w:hint="eastAsia" w:ascii="仿宋_GB2312" w:hAnsi="仿宋_GB2312" w:eastAsia="仿宋_GB2312" w:cs="仿宋_GB2312"/>
                  <w:color w:val="auto"/>
                  <w:sz w:val="24"/>
                  <w:szCs w:val="24"/>
                </w:rPr>
                <w:t>高级管理层层面</w:t>
              </w:r>
            </w:sdtContent>
          </w:sdt>
          <w:r>
            <w:rPr>
              <w:color w:val="auto"/>
              <w:sz w:val="24"/>
              <w:szCs w:val="24"/>
            </w:rPr>
            <w:tab/>
          </w:r>
          <w:r>
            <w:rPr>
              <w:rFonts w:hint="default" w:ascii="Times New Roman" w:hAnsi="Times New Roman" w:cs="Times New Roman"/>
              <w:color w:val="auto"/>
              <w:sz w:val="24"/>
              <w:szCs w:val="24"/>
              <w:lang w:val="en-US" w:eastAsia="zh-CN"/>
            </w:rPr>
            <w:t>4</w:t>
          </w:r>
          <w:r>
            <w:rPr>
              <w:color w:val="auto"/>
              <w:sz w:val="24"/>
              <w:szCs w:val="24"/>
            </w:rPr>
            <w:fldChar w:fldCharType="end"/>
          </w:r>
        </w:p>
        <w:p>
          <w:pPr>
            <w:pStyle w:val="17"/>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_Toc7831_WPSOffice_Level2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c7b1300d-7273-4c5d-9945-1a651524393b}"/>
              </w:placeholder>
            </w:sdtPr>
            <w:sdtEndPr>
              <w:rPr>
                <w:rFonts w:ascii="Calibri" w:hAnsi="Calibri" w:eastAsia="宋体" w:cs="Times New Roman"/>
                <w:color w:val="auto"/>
                <w:kern w:val="0"/>
                <w:sz w:val="24"/>
                <w:szCs w:val="24"/>
                <w:lang w:val="en-US" w:eastAsia="zh-CN" w:bidi="ar-SA"/>
              </w:rPr>
            </w:sdtEndPr>
            <w:sdtContent>
              <w:r>
                <w:rPr>
                  <w:rFonts w:hint="eastAsia" w:ascii="Calibri" w:hAnsi="Calibri" w:cs="Times New Roman"/>
                  <w:color w:val="auto"/>
                  <w:kern w:val="0"/>
                  <w:sz w:val="24"/>
                  <w:szCs w:val="24"/>
                  <w:lang w:val="en-US" w:eastAsia="zh-CN" w:bidi="ar-SA"/>
                </w:rPr>
                <w:t>（三）</w:t>
              </w:r>
              <w:r>
                <w:rPr>
                  <w:rFonts w:hint="eastAsia" w:ascii="仿宋_GB2312" w:hAnsi="仿宋_GB2312" w:eastAsia="仿宋_GB2312" w:cs="仿宋_GB2312"/>
                  <w:color w:val="auto"/>
                  <w:sz w:val="24"/>
                  <w:szCs w:val="24"/>
                </w:rPr>
                <w:t>专业部门层面</w:t>
              </w:r>
            </w:sdtContent>
          </w:sdt>
          <w:r>
            <w:rPr>
              <w:color w:val="auto"/>
              <w:sz w:val="24"/>
              <w:szCs w:val="24"/>
            </w:rPr>
            <w:tab/>
          </w:r>
          <w:bookmarkStart w:id="3" w:name="_Toc7831_WPSOffice_Level2Page"/>
          <w:r>
            <w:rPr>
              <w:rFonts w:hint="default" w:ascii="Times New Roman" w:hAnsi="Times New Roman" w:cs="Times New Roman"/>
              <w:color w:val="auto"/>
              <w:sz w:val="24"/>
              <w:szCs w:val="24"/>
            </w:rPr>
            <w:t>4</w:t>
          </w:r>
          <w:bookmarkEnd w:id="3"/>
          <w:r>
            <w:rPr>
              <w:color w:val="auto"/>
              <w:sz w:val="24"/>
              <w:szCs w:val="24"/>
            </w:rPr>
            <w:fldChar w:fldCharType="end"/>
          </w:r>
        </w:p>
        <w:p>
          <w:pPr>
            <w:pStyle w:val="16"/>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_Toc15517_WPSOffice_Level1 </w:instrText>
          </w:r>
          <w:r>
            <w:rPr>
              <w:color w:val="auto"/>
              <w:sz w:val="24"/>
              <w:szCs w:val="24"/>
            </w:rPr>
            <w:fldChar w:fldCharType="separate"/>
          </w:r>
          <w:sdt>
            <w:sdtPr>
              <w:rPr>
                <w:rFonts w:ascii="Calibri" w:hAnsi="Calibri" w:eastAsia="宋体" w:cs="Times New Roman"/>
                <w:b/>
                <w:bCs/>
                <w:color w:val="auto"/>
                <w:kern w:val="0"/>
                <w:sz w:val="24"/>
                <w:szCs w:val="24"/>
                <w:lang w:val="en-US" w:eastAsia="zh-CN" w:bidi="ar-SA"/>
              </w:rPr>
              <w:id w:val="147477878"/>
              <w:placeholder>
                <w:docPart w:val="{1a25cf9a-a1bc-45c1-a214-d447f9688344}"/>
              </w:placeholder>
            </w:sdtPr>
            <w:sdtEndPr>
              <w:rPr>
                <w:rFonts w:hint="eastAsia" w:ascii="Times New Roman" w:hAnsi="Times New Roman" w:eastAsia="黑体" w:cs="Times New Roman"/>
                <w:b/>
                <w:bCs/>
                <w:color w:val="auto"/>
                <w:kern w:val="0"/>
                <w:sz w:val="24"/>
                <w:szCs w:val="24"/>
                <w:lang w:val="en-US" w:eastAsia="zh-CN" w:bidi="ar-SA"/>
              </w:rPr>
            </w:sdtEndPr>
            <w:sdtContent>
              <w:r>
                <w:rPr>
                  <w:rFonts w:hint="eastAsia" w:ascii="Times New Roman" w:hAnsi="Times New Roman" w:eastAsia="黑体" w:cs="Times New Roman"/>
                  <w:color w:val="auto"/>
                  <w:sz w:val="24"/>
                  <w:szCs w:val="24"/>
                  <w:lang w:val="en-US" w:eastAsia="zh-CN"/>
                </w:rPr>
                <w:t>四、环境及绿色金融相关政策制度</w:t>
              </w:r>
            </w:sdtContent>
          </w:sdt>
          <w:r>
            <w:rPr>
              <w:color w:val="auto"/>
              <w:sz w:val="24"/>
              <w:szCs w:val="24"/>
            </w:rPr>
            <w:tab/>
          </w:r>
          <w:bookmarkStart w:id="4" w:name="_Toc15517_WPSOffice_Level1Page"/>
          <w:r>
            <w:rPr>
              <w:rFonts w:hint="default" w:ascii="Times New Roman" w:hAnsi="Times New Roman" w:cs="Times New Roman"/>
              <w:color w:val="auto"/>
              <w:sz w:val="24"/>
              <w:szCs w:val="24"/>
            </w:rPr>
            <w:t>4</w:t>
          </w:r>
          <w:bookmarkEnd w:id="4"/>
          <w:r>
            <w:rPr>
              <w:color w:val="auto"/>
              <w:sz w:val="24"/>
              <w:szCs w:val="24"/>
            </w:rPr>
            <w:fldChar w:fldCharType="end"/>
          </w:r>
        </w:p>
        <w:p>
          <w:pPr>
            <w:pStyle w:val="17"/>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_Toc26808_WPSOffice_Level2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27946dd1-310c-4eb2-8e6f-286ace314f5b}"/>
              </w:placeholder>
            </w:sdtPr>
            <w:sdtEndPr>
              <w:rPr>
                <w:rFonts w:ascii="Calibri" w:hAnsi="Calibri" w:eastAsia="宋体" w:cs="Times New Roman"/>
                <w:color w:val="auto"/>
                <w:kern w:val="0"/>
                <w:sz w:val="24"/>
                <w:szCs w:val="24"/>
                <w:lang w:val="en-US" w:eastAsia="zh-CN" w:bidi="ar-SA"/>
              </w:rPr>
            </w:sdtEndPr>
            <w:sdtContent>
              <w:r>
                <w:rPr>
                  <w:rFonts w:hint="eastAsia" w:ascii="Calibri" w:hAnsi="Calibri" w:cs="Times New Roman"/>
                  <w:color w:val="auto"/>
                  <w:kern w:val="0"/>
                  <w:sz w:val="24"/>
                  <w:szCs w:val="24"/>
                  <w:lang w:val="en-US" w:eastAsia="zh-CN" w:bidi="ar-SA"/>
                </w:rPr>
                <w:t>（一）</w:t>
              </w:r>
              <w:r>
                <w:rPr>
                  <w:rFonts w:hint="eastAsia" w:ascii="仿宋_GB2312" w:hAnsi="仿宋_GB2312" w:eastAsia="仿宋_GB2312" w:cs="仿宋_GB2312"/>
                  <w:color w:val="auto"/>
                  <w:sz w:val="24"/>
                  <w:szCs w:val="24"/>
                </w:rPr>
                <w:t>制定战略规划</w:t>
              </w:r>
            </w:sdtContent>
          </w:sdt>
          <w:r>
            <w:rPr>
              <w:color w:val="auto"/>
              <w:sz w:val="24"/>
              <w:szCs w:val="24"/>
            </w:rPr>
            <w:tab/>
          </w:r>
          <w:r>
            <w:rPr>
              <w:rFonts w:hint="default" w:ascii="Times New Roman" w:hAnsi="Times New Roman" w:cs="Times New Roman"/>
              <w:color w:val="auto"/>
              <w:sz w:val="24"/>
              <w:szCs w:val="24"/>
              <w:lang w:val="en-US" w:eastAsia="zh-CN"/>
            </w:rPr>
            <w:t>5</w:t>
          </w:r>
          <w:r>
            <w:rPr>
              <w:color w:val="auto"/>
              <w:sz w:val="24"/>
              <w:szCs w:val="24"/>
            </w:rPr>
            <w:fldChar w:fldCharType="end"/>
          </w:r>
        </w:p>
        <w:p>
          <w:pPr>
            <w:pStyle w:val="17"/>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_Toc6491_WPSOffice_Level2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d0f2e804-6d0d-4922-8a88-ebdd69e9fc09}"/>
              </w:placeholder>
            </w:sdtPr>
            <w:sdtEndPr>
              <w:rPr>
                <w:rFonts w:ascii="Calibri" w:hAnsi="Calibri" w:eastAsia="宋体" w:cs="Times New Roman"/>
                <w:color w:val="auto"/>
                <w:kern w:val="0"/>
                <w:sz w:val="24"/>
                <w:szCs w:val="24"/>
                <w:lang w:val="en-US" w:eastAsia="zh-CN" w:bidi="ar-SA"/>
              </w:rPr>
            </w:sdtEndPr>
            <w:sdtContent>
              <w:r>
                <w:rPr>
                  <w:rFonts w:hint="eastAsia" w:ascii="Calibri" w:hAnsi="Calibri" w:cs="Times New Roman"/>
                  <w:color w:val="auto"/>
                  <w:kern w:val="0"/>
                  <w:sz w:val="24"/>
                  <w:szCs w:val="24"/>
                  <w:lang w:val="en-US" w:eastAsia="zh-CN" w:bidi="ar-SA"/>
                </w:rPr>
                <w:t>（二）</w:t>
              </w:r>
              <w:r>
                <w:rPr>
                  <w:rFonts w:hint="eastAsia" w:ascii="仿宋_GB2312" w:hAnsi="仿宋_GB2312" w:eastAsia="仿宋_GB2312" w:cs="仿宋_GB2312"/>
                  <w:color w:val="auto"/>
                  <w:sz w:val="24"/>
                  <w:szCs w:val="24"/>
                </w:rPr>
                <w:t>制定绿色信贷管理</w:t>
              </w:r>
              <w:r>
                <w:rPr>
                  <w:rFonts w:hint="eastAsia" w:ascii="仿宋_GB2312" w:hAnsi="仿宋_GB2312" w:eastAsia="仿宋_GB2312" w:cs="仿宋_GB2312"/>
                  <w:color w:val="auto"/>
                  <w:sz w:val="24"/>
                  <w:szCs w:val="24"/>
                  <w:lang w:eastAsia="zh-CN"/>
                </w:rPr>
                <w:t>制度</w:t>
              </w:r>
            </w:sdtContent>
          </w:sdt>
          <w:r>
            <w:rPr>
              <w:color w:val="auto"/>
              <w:sz w:val="24"/>
              <w:szCs w:val="24"/>
            </w:rPr>
            <w:tab/>
          </w:r>
          <w:r>
            <w:rPr>
              <w:rFonts w:hint="default" w:ascii="Times New Roman" w:hAnsi="Times New Roman" w:cs="Times New Roman"/>
              <w:color w:val="auto"/>
              <w:sz w:val="24"/>
              <w:szCs w:val="24"/>
              <w:lang w:val="en-US" w:eastAsia="zh-CN"/>
            </w:rPr>
            <w:t>5</w:t>
          </w:r>
          <w:r>
            <w:rPr>
              <w:color w:val="auto"/>
              <w:sz w:val="24"/>
              <w:szCs w:val="24"/>
            </w:rPr>
            <w:fldChar w:fldCharType="end"/>
          </w:r>
        </w:p>
        <w:p>
          <w:pPr>
            <w:pStyle w:val="17"/>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_Toc6491_WPSOffice_Level2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de1d33b9-5314-4547-83c9-2bdb041a313d}"/>
              </w:placeholder>
            </w:sdtPr>
            <w:sdtEndPr>
              <w:rPr>
                <w:rFonts w:ascii="Calibri" w:hAnsi="Calibri" w:eastAsia="宋体" w:cs="Times New Roman"/>
                <w:color w:val="auto"/>
                <w:kern w:val="0"/>
                <w:sz w:val="24"/>
                <w:szCs w:val="24"/>
                <w:lang w:val="en-US" w:eastAsia="zh-CN" w:bidi="ar-SA"/>
              </w:rPr>
            </w:sdtEndPr>
            <w:sdtContent>
              <w:r>
                <w:rPr>
                  <w:rFonts w:hint="eastAsia" w:ascii="Calibri" w:hAnsi="Calibri" w:cs="Times New Roman"/>
                  <w:color w:val="auto"/>
                  <w:kern w:val="0"/>
                  <w:sz w:val="24"/>
                  <w:szCs w:val="24"/>
                  <w:lang w:val="en-US" w:eastAsia="zh-CN" w:bidi="ar-SA"/>
                </w:rPr>
                <w:t>（三）</w:t>
              </w:r>
              <w:r>
                <w:rPr>
                  <w:rFonts w:hint="eastAsia" w:ascii="仿宋_GB2312" w:hAnsi="仿宋_GB2312" w:eastAsia="仿宋_GB2312" w:cs="仿宋_GB2312"/>
                  <w:color w:val="auto"/>
                  <w:sz w:val="24"/>
                  <w:szCs w:val="24"/>
                </w:rPr>
                <w:t>制定</w:t>
              </w:r>
              <w:r>
                <w:rPr>
                  <w:rFonts w:hint="eastAsia" w:ascii="仿宋_GB2312" w:hAnsi="仿宋_GB2312" w:eastAsia="仿宋_GB2312" w:cs="仿宋_GB2312"/>
                  <w:color w:val="auto"/>
                  <w:sz w:val="24"/>
                  <w:szCs w:val="24"/>
                  <w:lang w:eastAsia="zh-CN"/>
                </w:rPr>
                <w:t>生态账户</w:t>
              </w:r>
              <w:r>
                <w:rPr>
                  <w:rFonts w:hint="eastAsia" w:ascii="仿宋_GB2312" w:hAnsi="仿宋_GB2312" w:eastAsia="仿宋_GB2312" w:cs="仿宋_GB2312"/>
                  <w:color w:val="auto"/>
                  <w:sz w:val="24"/>
                  <w:szCs w:val="24"/>
                </w:rPr>
                <w:t>管理</w:t>
              </w:r>
              <w:r>
                <w:rPr>
                  <w:rFonts w:hint="eastAsia" w:ascii="仿宋_GB2312" w:hAnsi="仿宋_GB2312" w:eastAsia="仿宋_GB2312" w:cs="仿宋_GB2312"/>
                  <w:color w:val="auto"/>
                  <w:sz w:val="24"/>
                  <w:szCs w:val="24"/>
                  <w:lang w:eastAsia="zh-CN"/>
                </w:rPr>
                <w:t>制度</w:t>
              </w:r>
            </w:sdtContent>
          </w:sdt>
          <w:r>
            <w:rPr>
              <w:color w:val="auto"/>
              <w:sz w:val="24"/>
              <w:szCs w:val="24"/>
            </w:rPr>
            <w:tab/>
          </w:r>
          <w:r>
            <w:rPr>
              <w:rFonts w:hint="default" w:ascii="Times New Roman" w:hAnsi="Times New Roman" w:cs="Times New Roman"/>
              <w:color w:val="auto"/>
              <w:sz w:val="24"/>
              <w:szCs w:val="24"/>
              <w:lang w:val="en-US" w:eastAsia="zh-CN"/>
            </w:rPr>
            <w:t>5</w:t>
          </w:r>
          <w:r>
            <w:rPr>
              <w:color w:val="auto"/>
              <w:sz w:val="24"/>
              <w:szCs w:val="24"/>
            </w:rPr>
            <w:fldChar w:fldCharType="end"/>
          </w:r>
        </w:p>
        <w:p>
          <w:pPr>
            <w:pStyle w:val="16"/>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_Toc7831_WPSOffice_Level1 </w:instrText>
          </w:r>
          <w:r>
            <w:rPr>
              <w:color w:val="auto"/>
              <w:sz w:val="24"/>
              <w:szCs w:val="24"/>
            </w:rPr>
            <w:fldChar w:fldCharType="separate"/>
          </w:r>
          <w:sdt>
            <w:sdtPr>
              <w:rPr>
                <w:rFonts w:ascii="Calibri" w:hAnsi="Calibri" w:eastAsia="宋体" w:cs="Times New Roman"/>
                <w:b/>
                <w:bCs/>
                <w:color w:val="auto"/>
                <w:kern w:val="0"/>
                <w:sz w:val="24"/>
                <w:szCs w:val="24"/>
                <w:lang w:val="en-US" w:eastAsia="zh-CN" w:bidi="ar-SA"/>
              </w:rPr>
              <w:id w:val="147477878"/>
              <w:placeholder>
                <w:docPart w:val="{e0835118-d495-4260-9b10-99f2a1cf6247}"/>
              </w:placeholder>
            </w:sdtPr>
            <w:sdtEndPr>
              <w:rPr>
                <w:rFonts w:hint="eastAsia" w:ascii="黑体" w:hAnsi="黑体" w:eastAsia="黑体" w:cs="黑体"/>
                <w:b/>
                <w:bCs/>
                <w:color w:val="auto"/>
                <w:kern w:val="0"/>
                <w:sz w:val="24"/>
                <w:szCs w:val="24"/>
                <w:lang w:val="en-US" w:eastAsia="zh-CN" w:bidi="ar-SA"/>
              </w:rPr>
            </w:sdtEndPr>
            <w:sdtContent>
              <w:r>
                <w:rPr>
                  <w:rFonts w:hint="eastAsia" w:ascii="Times New Roman" w:hAnsi="Times New Roman" w:eastAsia="黑体" w:cs="Times New Roman"/>
                  <w:color w:val="auto"/>
                  <w:sz w:val="24"/>
                  <w:szCs w:val="24"/>
                  <w:lang w:val="en-US" w:eastAsia="zh-CN"/>
                </w:rPr>
                <w:t>五、环境风险管理及机遇</w:t>
              </w:r>
            </w:sdtContent>
          </w:sdt>
          <w:r>
            <w:rPr>
              <w:color w:val="auto"/>
              <w:sz w:val="24"/>
              <w:szCs w:val="24"/>
            </w:rPr>
            <w:tab/>
          </w:r>
          <w:r>
            <w:rPr>
              <w:rFonts w:hint="default" w:ascii="Times New Roman" w:hAnsi="Times New Roman" w:cs="Times New Roman"/>
              <w:color w:val="auto"/>
              <w:sz w:val="24"/>
              <w:szCs w:val="24"/>
              <w:lang w:val="en-US" w:eastAsia="zh-CN"/>
            </w:rPr>
            <w:t>6</w:t>
          </w:r>
          <w:r>
            <w:rPr>
              <w:color w:val="auto"/>
              <w:sz w:val="24"/>
              <w:szCs w:val="24"/>
            </w:rPr>
            <w:fldChar w:fldCharType="end"/>
          </w:r>
        </w:p>
        <w:p>
          <w:pPr>
            <w:pStyle w:val="17"/>
            <w:tabs>
              <w:tab w:val="right" w:leader="dot" w:pos="8306"/>
            </w:tabs>
            <w:rPr>
              <w:color w:val="auto"/>
              <w:sz w:val="24"/>
              <w:szCs w:val="24"/>
            </w:rPr>
          </w:pPr>
          <w:r>
            <w:rPr>
              <w:rFonts w:hint="eastAsia"/>
              <w:color w:val="auto"/>
              <w:sz w:val="24"/>
              <w:szCs w:val="24"/>
              <w:lang w:eastAsia="zh-CN"/>
            </w:rPr>
            <w:t>（</w:t>
          </w:r>
          <w:r>
            <w:rPr>
              <w:rFonts w:hint="eastAsia"/>
              <w:color w:val="auto"/>
              <w:sz w:val="24"/>
              <w:szCs w:val="24"/>
              <w:lang w:val="en-US" w:eastAsia="zh-CN"/>
            </w:rPr>
            <w:t>一</w:t>
          </w:r>
          <w:r>
            <w:rPr>
              <w:rFonts w:hint="eastAsia"/>
              <w:color w:val="auto"/>
              <w:sz w:val="24"/>
              <w:szCs w:val="24"/>
              <w:lang w:eastAsia="zh-CN"/>
            </w:rPr>
            <w:t>）</w:t>
          </w:r>
          <w:r>
            <w:rPr>
              <w:color w:val="auto"/>
              <w:sz w:val="24"/>
              <w:szCs w:val="24"/>
            </w:rPr>
            <w:fldChar w:fldCharType="begin"/>
          </w:r>
          <w:r>
            <w:rPr>
              <w:color w:val="auto"/>
              <w:sz w:val="24"/>
              <w:szCs w:val="24"/>
            </w:rPr>
            <w:instrText xml:space="preserve"> HYPERLINK \l _Toc31952_WPSOffice_Level2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1c87f3e6-0fc2-4f2d-adeb-8910fdbf24c7}"/>
              </w:placeholder>
            </w:sdtPr>
            <w:sdtEndPr>
              <w:rPr>
                <w:rFonts w:ascii="Calibri" w:hAnsi="Calibri" w:eastAsia="宋体" w:cs="Times New Roman"/>
                <w:color w:val="auto"/>
                <w:kern w:val="0"/>
                <w:sz w:val="24"/>
                <w:szCs w:val="24"/>
                <w:lang w:val="en-US" w:eastAsia="zh-CN" w:bidi="ar-SA"/>
              </w:rPr>
            </w:sdtEndPr>
            <w:sdtContent>
              <w:sdt>
                <w:sdtPr>
                  <w:rPr>
                    <w:rFonts w:ascii="Calibri" w:hAnsi="Calibri" w:eastAsia="宋体" w:cs="Times New Roman"/>
                    <w:color w:val="auto"/>
                    <w:kern w:val="0"/>
                    <w:sz w:val="24"/>
                    <w:szCs w:val="24"/>
                    <w:lang w:val="en-US" w:eastAsia="zh-CN" w:bidi="ar-SA"/>
                  </w:rPr>
                  <w:id w:val="147477878"/>
                  <w:placeholder>
                    <w:docPart w:val="{ddf05385-af44-4e54-becb-c8da1d94ae69}"/>
                  </w:placeholder>
                </w:sdtPr>
                <w:sdtEndPr>
                  <w:rPr>
                    <w:rFonts w:ascii="Calibri" w:hAnsi="Calibri" w:eastAsia="宋体" w:cs="Times New Roman"/>
                    <w:color w:val="auto"/>
                    <w:kern w:val="0"/>
                    <w:sz w:val="24"/>
                    <w:szCs w:val="24"/>
                    <w:lang w:val="en-US" w:eastAsia="zh-CN" w:bidi="ar-SA"/>
                  </w:rPr>
                </w:sdtEndPr>
                <w:sdtContent>
                  <w:r>
                    <w:rPr>
                      <w:rFonts w:ascii="Times New Roman" w:hAnsi="Times New Roman" w:eastAsia="仿宋_GB2312" w:cs="Times New Roman"/>
                      <w:color w:val="auto"/>
                      <w:sz w:val="24"/>
                      <w:szCs w:val="24"/>
                    </w:rPr>
                    <w:t>加强贷前准入管理</w:t>
                  </w:r>
                </w:sdtContent>
              </w:sdt>
            </w:sdtContent>
          </w:sdt>
          <w:r>
            <w:rPr>
              <w:color w:val="auto"/>
              <w:sz w:val="24"/>
              <w:szCs w:val="24"/>
            </w:rPr>
            <w:tab/>
          </w:r>
          <w:r>
            <w:rPr>
              <w:rFonts w:hint="default" w:ascii="Times New Roman" w:hAnsi="Times New Roman" w:cs="Times New Roman"/>
              <w:color w:val="auto"/>
              <w:sz w:val="24"/>
              <w:szCs w:val="24"/>
              <w:lang w:val="en-US" w:eastAsia="zh-CN"/>
            </w:rPr>
            <w:t>6</w:t>
          </w:r>
          <w:r>
            <w:rPr>
              <w:color w:val="auto"/>
              <w:sz w:val="24"/>
              <w:szCs w:val="24"/>
            </w:rPr>
            <w:fldChar w:fldCharType="end"/>
          </w:r>
        </w:p>
        <w:p>
          <w:pPr>
            <w:pStyle w:val="17"/>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_Toc19205_WPSOffice_Level2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a566709f-9b3d-4972-afef-3e1b51d55475}"/>
              </w:placeholder>
            </w:sdtPr>
            <w:sdtEndPr>
              <w:rPr>
                <w:rFonts w:ascii="Calibri" w:hAnsi="Calibri" w:eastAsia="宋体" w:cs="Times New Roman"/>
                <w:color w:val="auto"/>
                <w:kern w:val="0"/>
                <w:sz w:val="24"/>
                <w:szCs w:val="24"/>
                <w:lang w:val="en-US" w:eastAsia="zh-CN" w:bidi="ar-SA"/>
              </w:rPr>
            </w:sdtEndPr>
            <w:sdtContent>
              <w:r>
                <w:rPr>
                  <w:rFonts w:hint="eastAsia" w:ascii="Calibri" w:hAnsi="Calibri" w:cs="Times New Roman"/>
                  <w:color w:val="auto"/>
                  <w:kern w:val="0"/>
                  <w:sz w:val="24"/>
                  <w:szCs w:val="24"/>
                  <w:lang w:val="en-US" w:eastAsia="zh-CN" w:bidi="ar-SA"/>
                </w:rPr>
                <w:t>（二）</w:t>
              </w:r>
              <w:sdt>
                <w:sdtPr>
                  <w:rPr>
                    <w:rFonts w:ascii="Calibri" w:hAnsi="Calibri" w:eastAsia="宋体" w:cs="Times New Roman"/>
                    <w:color w:val="auto"/>
                    <w:kern w:val="0"/>
                    <w:sz w:val="24"/>
                    <w:szCs w:val="24"/>
                    <w:lang w:val="en-US" w:eastAsia="zh-CN" w:bidi="ar-SA"/>
                  </w:rPr>
                  <w:id w:val="147477878"/>
                  <w:placeholder>
                    <w:docPart w:val="{546be2d2-26c8-4a32-9998-db68f86d2f56}"/>
                  </w:placeholder>
                </w:sdtPr>
                <w:sdtEndPr>
                  <w:rPr>
                    <w:rFonts w:ascii="Calibri" w:hAnsi="Calibri" w:eastAsia="宋体" w:cs="Times New Roman"/>
                    <w:color w:val="auto"/>
                    <w:kern w:val="0"/>
                    <w:sz w:val="24"/>
                    <w:szCs w:val="24"/>
                    <w:lang w:val="en-US" w:eastAsia="zh-CN" w:bidi="ar-SA"/>
                  </w:rPr>
                </w:sdtEndPr>
                <w:sdtContent>
                  <w:r>
                    <w:rPr>
                      <w:rFonts w:ascii="Times New Roman" w:hAnsi="Times New Roman" w:eastAsia="仿宋_GB2312" w:cs="Times New Roman"/>
                      <w:color w:val="auto"/>
                      <w:sz w:val="24"/>
                      <w:szCs w:val="24"/>
                    </w:rPr>
                    <w:t>强化贷中审查管理</w:t>
                  </w:r>
                </w:sdtContent>
              </w:sdt>
            </w:sdtContent>
          </w:sdt>
          <w:r>
            <w:rPr>
              <w:color w:val="auto"/>
              <w:sz w:val="24"/>
              <w:szCs w:val="24"/>
            </w:rPr>
            <w:tab/>
          </w:r>
          <w:r>
            <w:rPr>
              <w:rFonts w:hint="default" w:ascii="Times New Roman" w:hAnsi="Times New Roman" w:cs="Times New Roman"/>
              <w:color w:val="auto"/>
              <w:sz w:val="24"/>
              <w:szCs w:val="24"/>
              <w:lang w:val="en-US" w:eastAsia="zh-CN"/>
            </w:rPr>
            <w:t>6</w:t>
          </w:r>
          <w:r>
            <w:rPr>
              <w:color w:val="auto"/>
              <w:sz w:val="24"/>
              <w:szCs w:val="24"/>
            </w:rPr>
            <w:fldChar w:fldCharType="end"/>
          </w:r>
        </w:p>
        <w:p>
          <w:pPr>
            <w:pStyle w:val="17"/>
            <w:tabs>
              <w:tab w:val="right" w:leader="dot" w:pos="8306"/>
            </w:tabs>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（三）</w:t>
          </w:r>
          <w:r>
            <w:rPr>
              <w:rFonts w:hint="eastAsia" w:ascii="Times New Roman" w:hAnsi="Times New Roman" w:eastAsia="仿宋_GB2312" w:cs="Times New Roman"/>
              <w:color w:val="auto"/>
              <w:sz w:val="24"/>
              <w:szCs w:val="24"/>
              <w:lang w:val="en-US" w:eastAsia="zh-CN"/>
            </w:rPr>
            <w:fldChar w:fldCharType="begin"/>
          </w:r>
          <w:r>
            <w:rPr>
              <w:rFonts w:hint="eastAsia" w:ascii="Times New Roman" w:hAnsi="Times New Roman" w:eastAsia="仿宋_GB2312" w:cs="Times New Roman"/>
              <w:color w:val="auto"/>
              <w:sz w:val="24"/>
              <w:szCs w:val="24"/>
              <w:lang w:val="en-US" w:eastAsia="zh-CN"/>
            </w:rPr>
            <w:instrText xml:space="preserve"> HYPERLINK \l _Toc17652_WPSOffice_Level3 </w:instrText>
          </w:r>
          <w:r>
            <w:rPr>
              <w:rFonts w:hint="eastAsia" w:ascii="Times New Roman" w:hAnsi="Times New Roman" w:eastAsia="仿宋_GB2312" w:cs="Times New Roman"/>
              <w:color w:val="auto"/>
              <w:sz w:val="24"/>
              <w:szCs w:val="24"/>
              <w:lang w:val="en-US" w:eastAsia="zh-CN"/>
            </w:rPr>
            <w:fldChar w:fldCharType="separate"/>
          </w:r>
          <w:sdt>
            <w:sdtPr>
              <w:rPr>
                <w:rFonts w:hint="eastAsia" w:ascii="Times New Roman" w:hAnsi="Times New Roman" w:eastAsia="仿宋_GB2312" w:cs="Times New Roman"/>
                <w:color w:val="auto"/>
                <w:sz w:val="24"/>
                <w:szCs w:val="24"/>
                <w:lang w:val="en-US" w:eastAsia="zh-CN"/>
              </w:rPr>
              <w:id w:val="147477878"/>
              <w:placeholder>
                <w:docPart w:val="{a3e18f10-a867-4d4d-8c4a-09cc1f49fb10}"/>
              </w:placeholder>
            </w:sdtPr>
            <w:sdtEndPr>
              <w:rPr>
                <w:rFonts w:hint="eastAsia" w:ascii="Times New Roman" w:hAnsi="Times New Roman" w:eastAsia="仿宋_GB2312" w:cs="Times New Roman"/>
                <w:color w:val="auto"/>
                <w:sz w:val="24"/>
                <w:szCs w:val="24"/>
                <w:lang w:val="en-US" w:eastAsia="zh-CN"/>
              </w:rPr>
            </w:sdtEndPr>
            <w:sdtContent>
              <w:r>
                <w:rPr>
                  <w:rFonts w:hint="eastAsia" w:ascii="Times New Roman" w:hAnsi="Times New Roman" w:eastAsia="仿宋_GB2312" w:cs="Times New Roman"/>
                  <w:color w:val="auto"/>
                  <w:sz w:val="24"/>
                  <w:szCs w:val="24"/>
                  <w:lang w:val="en-US" w:eastAsia="zh-CN"/>
                </w:rPr>
                <w:t>落实贷后管理要求</w:t>
              </w:r>
            </w:sdtContent>
          </w:sdt>
          <w:r>
            <w:rPr>
              <w:rFonts w:hint="eastAsia" w:ascii="Times New Roman" w:hAnsi="Times New Roman" w:eastAsia="仿宋_GB2312" w:cs="Times New Roman"/>
              <w:color w:val="auto"/>
              <w:sz w:val="24"/>
              <w:szCs w:val="24"/>
              <w:lang w:val="en-US" w:eastAsia="zh-CN"/>
            </w:rPr>
            <w:tab/>
          </w:r>
          <w:r>
            <w:rPr>
              <w:rFonts w:hint="default" w:ascii="Times New Roman" w:hAnsi="Times New Roman" w:eastAsia="仿宋_GB2312" w:cs="Times New Roman"/>
              <w:color w:val="auto"/>
              <w:sz w:val="24"/>
              <w:szCs w:val="24"/>
              <w:lang w:val="en-US" w:eastAsia="zh-CN"/>
            </w:rPr>
            <w:t>7</w:t>
          </w:r>
          <w:r>
            <w:rPr>
              <w:rFonts w:hint="eastAsia" w:ascii="Times New Roman" w:hAnsi="Times New Roman" w:eastAsia="仿宋_GB2312" w:cs="Times New Roman"/>
              <w:color w:val="auto"/>
              <w:sz w:val="24"/>
              <w:szCs w:val="24"/>
              <w:lang w:val="en-US" w:eastAsia="zh-CN"/>
            </w:rPr>
            <w:fldChar w:fldCharType="end"/>
          </w:r>
        </w:p>
        <w:p>
          <w:pPr>
            <w:pStyle w:val="17"/>
            <w:tabs>
              <w:tab w:val="right" w:leader="dot" w:pos="8306"/>
            </w:tabs>
            <w:rPr>
              <w:color w:val="auto"/>
              <w:sz w:val="24"/>
              <w:szCs w:val="24"/>
            </w:rPr>
          </w:pPr>
          <w:r>
            <w:rPr>
              <w:rFonts w:hint="eastAsia" w:ascii="Times New Roman" w:hAnsi="Times New Roman" w:eastAsia="仿宋_GB2312" w:cs="Times New Roman"/>
              <w:color w:val="auto"/>
              <w:sz w:val="24"/>
              <w:szCs w:val="24"/>
              <w:lang w:val="en-US" w:eastAsia="zh-CN"/>
            </w:rPr>
            <w:t>（四）</w:t>
          </w:r>
          <w:r>
            <w:rPr>
              <w:rFonts w:hint="eastAsia" w:ascii="Times New Roman" w:hAnsi="Times New Roman" w:eastAsia="仿宋_GB2312" w:cs="Times New Roman"/>
              <w:color w:val="auto"/>
              <w:sz w:val="24"/>
              <w:szCs w:val="24"/>
              <w:lang w:val="en-US" w:eastAsia="zh-CN"/>
            </w:rPr>
            <w:fldChar w:fldCharType="begin"/>
          </w:r>
          <w:r>
            <w:rPr>
              <w:rFonts w:hint="eastAsia" w:ascii="Times New Roman" w:hAnsi="Times New Roman" w:eastAsia="仿宋_GB2312" w:cs="Times New Roman"/>
              <w:color w:val="auto"/>
              <w:sz w:val="24"/>
              <w:szCs w:val="24"/>
              <w:lang w:val="en-US" w:eastAsia="zh-CN"/>
            </w:rPr>
            <w:instrText xml:space="preserve"> HYPERLINK \l _Toc15517_WPSOffice_Level3 </w:instrText>
          </w:r>
          <w:r>
            <w:rPr>
              <w:rFonts w:hint="eastAsia" w:ascii="Times New Roman" w:hAnsi="Times New Roman" w:eastAsia="仿宋_GB2312" w:cs="Times New Roman"/>
              <w:color w:val="auto"/>
              <w:sz w:val="24"/>
              <w:szCs w:val="24"/>
              <w:lang w:val="en-US" w:eastAsia="zh-CN"/>
            </w:rPr>
            <w:fldChar w:fldCharType="separate"/>
          </w:r>
          <w:sdt>
            <w:sdtPr>
              <w:rPr>
                <w:rFonts w:hint="eastAsia" w:ascii="Times New Roman" w:hAnsi="Times New Roman" w:eastAsia="仿宋_GB2312" w:cs="Times New Roman"/>
                <w:color w:val="auto"/>
                <w:sz w:val="24"/>
                <w:szCs w:val="24"/>
                <w:lang w:val="en-US" w:eastAsia="zh-CN"/>
              </w:rPr>
              <w:id w:val="147477878"/>
              <w:placeholder>
                <w:docPart w:val="{753b87f4-d429-4233-bf24-2e2e0f039c9c}"/>
              </w:placeholder>
            </w:sdtPr>
            <w:sdtEndPr>
              <w:rPr>
                <w:rFonts w:hint="eastAsia" w:ascii="Times New Roman" w:hAnsi="Times New Roman" w:eastAsia="仿宋_GB2312" w:cs="Times New Roman"/>
                <w:color w:val="auto"/>
                <w:sz w:val="24"/>
                <w:szCs w:val="24"/>
                <w:lang w:val="en-US" w:eastAsia="zh-CN"/>
              </w:rPr>
            </w:sdtEndPr>
            <w:sdtContent>
              <w:sdt>
                <w:sdtPr>
                  <w:rPr>
                    <w:rFonts w:hint="eastAsia" w:ascii="Times New Roman" w:hAnsi="Times New Roman" w:eastAsia="仿宋_GB2312" w:cs="Times New Roman"/>
                    <w:color w:val="auto"/>
                    <w:sz w:val="24"/>
                    <w:szCs w:val="24"/>
                    <w:lang w:val="en-US" w:eastAsia="zh-CN"/>
                  </w:rPr>
                  <w:id w:val="147477878"/>
                  <w:placeholder>
                    <w:docPart w:val="{d521b12d-aaa4-47dd-ac50-c37d5a944cde}"/>
                  </w:placeholder>
                </w:sdtPr>
                <w:sdtEndPr>
                  <w:rPr>
                    <w:rFonts w:hint="eastAsia" w:ascii="Times New Roman" w:hAnsi="Times New Roman" w:eastAsia="仿宋_GB2312" w:cs="Times New Roman"/>
                    <w:color w:val="auto"/>
                    <w:sz w:val="24"/>
                    <w:szCs w:val="24"/>
                    <w:lang w:val="en-US" w:eastAsia="zh-CN"/>
                  </w:rPr>
                </w:sdtEndPr>
                <w:sdtContent>
                  <w:r>
                    <w:rPr>
                      <w:rFonts w:hint="eastAsia" w:ascii="Times New Roman" w:hAnsi="Times New Roman" w:eastAsia="仿宋_GB2312" w:cs="Times New Roman"/>
                      <w:color w:val="auto"/>
                      <w:sz w:val="24"/>
                      <w:szCs w:val="24"/>
                      <w:lang w:val="en-US" w:eastAsia="zh-CN"/>
                    </w:rPr>
                    <w:t>提高绿色金融合规经营管理能力</w:t>
                  </w:r>
                </w:sdtContent>
              </w:sdt>
            </w:sdtContent>
          </w:sdt>
          <w:r>
            <w:rPr>
              <w:rFonts w:hint="eastAsia" w:ascii="Times New Roman" w:hAnsi="Times New Roman" w:eastAsia="仿宋_GB2312" w:cs="Times New Roman"/>
              <w:color w:val="auto"/>
              <w:sz w:val="24"/>
              <w:szCs w:val="24"/>
              <w:lang w:val="en-US" w:eastAsia="zh-CN"/>
            </w:rPr>
            <w:tab/>
          </w:r>
          <w:r>
            <w:rPr>
              <w:rFonts w:hint="default" w:ascii="Times New Roman" w:hAnsi="Times New Roman" w:eastAsia="仿宋_GB2312" w:cs="Times New Roman"/>
              <w:color w:val="auto"/>
              <w:sz w:val="24"/>
              <w:szCs w:val="24"/>
              <w:lang w:val="en-US" w:eastAsia="zh-CN"/>
            </w:rPr>
            <w:t>7</w:t>
          </w:r>
          <w:r>
            <w:rPr>
              <w:rFonts w:hint="eastAsia" w:ascii="Times New Roman" w:hAnsi="Times New Roman" w:eastAsia="仿宋_GB2312" w:cs="Times New Roman"/>
              <w:color w:val="auto"/>
              <w:sz w:val="24"/>
              <w:szCs w:val="24"/>
              <w:lang w:val="en-US" w:eastAsia="zh-CN"/>
            </w:rPr>
            <w:fldChar w:fldCharType="end"/>
          </w:r>
        </w:p>
        <w:p>
          <w:pPr>
            <w:pStyle w:val="16"/>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_Toc26808_WPSOffice_Level1 </w:instrText>
          </w:r>
          <w:r>
            <w:rPr>
              <w:color w:val="auto"/>
              <w:sz w:val="24"/>
              <w:szCs w:val="24"/>
            </w:rPr>
            <w:fldChar w:fldCharType="separate"/>
          </w:r>
          <w:sdt>
            <w:sdtPr>
              <w:rPr>
                <w:rFonts w:ascii="Calibri" w:hAnsi="Calibri" w:eastAsia="宋体" w:cs="Times New Roman"/>
                <w:b/>
                <w:bCs/>
                <w:color w:val="auto"/>
                <w:kern w:val="0"/>
                <w:sz w:val="24"/>
                <w:szCs w:val="24"/>
                <w:lang w:val="en-US" w:eastAsia="zh-CN" w:bidi="ar-SA"/>
              </w:rPr>
              <w:id w:val="147477878"/>
              <w:placeholder>
                <w:docPart w:val="{b4df177d-a35d-4fa0-ba35-79eea4cac281}"/>
              </w:placeholder>
            </w:sdtPr>
            <w:sdtEndPr>
              <w:rPr>
                <w:rFonts w:ascii="Calibri" w:hAnsi="Calibri" w:eastAsia="宋体" w:cs="Times New Roman"/>
                <w:b/>
                <w:bCs/>
                <w:color w:val="auto"/>
                <w:kern w:val="0"/>
                <w:sz w:val="24"/>
                <w:szCs w:val="24"/>
                <w:lang w:val="en-US" w:eastAsia="zh-CN" w:bidi="ar-SA"/>
              </w:rPr>
            </w:sdtEndPr>
            <w:sdtContent>
              <w:r>
                <w:rPr>
                  <w:rFonts w:hint="eastAsia" w:ascii="Times New Roman" w:hAnsi="Times New Roman" w:eastAsia="黑体" w:cs="Times New Roman"/>
                  <w:color w:val="auto"/>
                  <w:sz w:val="24"/>
                  <w:szCs w:val="24"/>
                  <w:lang w:val="en-US" w:eastAsia="zh-CN"/>
                </w:rPr>
                <w:t>六、经营活动的环境影响</w:t>
              </w:r>
            </w:sdtContent>
          </w:sdt>
          <w:r>
            <w:rPr>
              <w:color w:val="auto"/>
              <w:sz w:val="24"/>
              <w:szCs w:val="24"/>
            </w:rPr>
            <w:tab/>
          </w:r>
          <w:r>
            <w:rPr>
              <w:rFonts w:hint="default" w:ascii="Times New Roman" w:hAnsi="Times New Roman" w:cs="Times New Roman"/>
              <w:color w:val="auto"/>
              <w:sz w:val="24"/>
              <w:szCs w:val="24"/>
              <w:lang w:val="en-US" w:eastAsia="zh-CN"/>
            </w:rPr>
            <w:t>8</w:t>
          </w:r>
          <w:r>
            <w:rPr>
              <w:color w:val="auto"/>
              <w:sz w:val="24"/>
              <w:szCs w:val="24"/>
            </w:rPr>
            <w:fldChar w:fldCharType="end"/>
          </w:r>
        </w:p>
        <w:p>
          <w:pPr>
            <w:pStyle w:val="17"/>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_Toc16762_WPSOffice_Level2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2fea56f5-bba3-40a6-8940-324f4d97b6ae}"/>
              </w:placeholder>
            </w:sdtPr>
            <w:sdtEndPr>
              <w:rPr>
                <w:rFonts w:ascii="Calibri" w:hAnsi="Calibri" w:eastAsia="宋体" w:cs="Times New Roman"/>
                <w:color w:val="auto"/>
                <w:kern w:val="0"/>
                <w:sz w:val="24"/>
                <w:szCs w:val="24"/>
                <w:lang w:val="en-US" w:eastAsia="zh-CN" w:bidi="ar-SA"/>
              </w:rPr>
            </w:sdtEndPr>
            <w:sdtContent>
              <w:r>
                <w:rPr>
                  <w:rFonts w:hint="eastAsia" w:ascii="Calibri" w:hAnsi="Calibri" w:cs="Times New Roman"/>
                  <w:color w:val="auto"/>
                  <w:kern w:val="0"/>
                  <w:sz w:val="24"/>
                  <w:szCs w:val="24"/>
                  <w:lang w:val="en-US" w:eastAsia="zh-CN" w:bidi="ar-SA"/>
                </w:rPr>
                <w:t>（一）</w:t>
              </w:r>
              <w:r>
                <w:rPr>
                  <w:rFonts w:hint="eastAsia" w:ascii="Times New Roman" w:hAnsi="Times New Roman" w:eastAsia="仿宋_GB2312"/>
                  <w:b w:val="0"/>
                  <w:bCs w:val="0"/>
                  <w:color w:val="auto"/>
                  <w:sz w:val="24"/>
                  <w:szCs w:val="24"/>
                </w:rPr>
                <w:t>经营活动产生的资源消耗及其变化趋势</w:t>
              </w:r>
            </w:sdtContent>
          </w:sdt>
          <w:r>
            <w:rPr>
              <w:color w:val="auto"/>
              <w:sz w:val="24"/>
              <w:szCs w:val="24"/>
            </w:rPr>
            <w:tab/>
          </w:r>
          <w:r>
            <w:rPr>
              <w:rFonts w:hint="default" w:ascii="Times New Roman" w:hAnsi="Times New Roman" w:cs="Times New Roman"/>
              <w:color w:val="auto"/>
              <w:sz w:val="24"/>
              <w:szCs w:val="24"/>
              <w:lang w:val="en-US" w:eastAsia="zh-CN"/>
            </w:rPr>
            <w:t>8</w:t>
          </w:r>
          <w:r>
            <w:rPr>
              <w:color w:val="auto"/>
              <w:sz w:val="24"/>
              <w:szCs w:val="24"/>
            </w:rPr>
            <w:fldChar w:fldCharType="end"/>
          </w:r>
        </w:p>
        <w:p>
          <w:pPr>
            <w:pStyle w:val="17"/>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_Toc15221_WPSOffice_Level2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3bcd4f8b-a2ad-4e6a-8e9b-4c9cc5e7fe51}"/>
              </w:placeholder>
            </w:sdtPr>
            <w:sdtEndPr>
              <w:rPr>
                <w:rFonts w:ascii="Times New Roman" w:hAnsi="Times New Roman" w:eastAsia="仿宋_GB2312" w:cs="Times New Roman"/>
                <w:color w:val="auto"/>
                <w:kern w:val="0"/>
                <w:sz w:val="24"/>
                <w:szCs w:val="24"/>
                <w:lang w:val="en-US" w:eastAsia="zh-CN" w:bidi="ar-SA"/>
              </w:rPr>
            </w:sdtEndPr>
            <w:sdtContent>
              <w:r>
                <w:rPr>
                  <w:rFonts w:hint="eastAsia" w:ascii="Calibri" w:hAnsi="Calibri" w:cs="Times New Roman"/>
                  <w:color w:val="auto"/>
                  <w:kern w:val="0"/>
                  <w:sz w:val="24"/>
                  <w:szCs w:val="24"/>
                  <w:lang w:val="en-US" w:eastAsia="zh-CN" w:bidi="ar-SA"/>
                </w:rPr>
                <w:t>（二）</w:t>
              </w:r>
              <w:r>
                <w:rPr>
                  <w:rFonts w:hint="eastAsia" w:ascii="Times New Roman" w:hAnsi="Times New Roman" w:eastAsia="仿宋_GB2312" w:cs="Times New Roman"/>
                  <w:color w:val="auto"/>
                  <w:sz w:val="24"/>
                  <w:szCs w:val="24"/>
                  <w:lang w:eastAsia="zh-CN"/>
                </w:rPr>
                <w:t>自身运营的环境</w:t>
              </w:r>
              <w:r>
                <w:rPr>
                  <w:rFonts w:hint="eastAsia" w:ascii="Times New Roman" w:hAnsi="Times New Roman" w:eastAsia="仿宋_GB2312" w:cs="Times New Roman"/>
                  <w:color w:val="auto"/>
                  <w:sz w:val="24"/>
                  <w:szCs w:val="24"/>
                  <w:lang w:val="en-US" w:eastAsia="zh-CN"/>
                </w:rPr>
                <w:t>效益</w:t>
              </w:r>
            </w:sdtContent>
          </w:sdt>
          <w:r>
            <w:rPr>
              <w:color w:val="auto"/>
              <w:sz w:val="24"/>
              <w:szCs w:val="24"/>
            </w:rPr>
            <w:tab/>
          </w:r>
          <w:r>
            <w:rPr>
              <w:rFonts w:hint="default" w:ascii="Times New Roman" w:hAnsi="Times New Roman" w:cs="Times New Roman"/>
              <w:color w:val="auto"/>
              <w:sz w:val="24"/>
              <w:szCs w:val="24"/>
              <w:lang w:val="en-US" w:eastAsia="zh-CN"/>
            </w:rPr>
            <w:t>8</w:t>
          </w:r>
          <w:r>
            <w:rPr>
              <w:color w:val="auto"/>
              <w:sz w:val="24"/>
              <w:szCs w:val="24"/>
            </w:rPr>
            <w:fldChar w:fldCharType="end"/>
          </w:r>
        </w:p>
        <w:p>
          <w:pPr>
            <w:pStyle w:val="17"/>
            <w:tabs>
              <w:tab w:val="right" w:leader="dot" w:pos="8306"/>
            </w:tabs>
            <w:ind w:firstLine="720" w:firstLineChars="300"/>
            <w:rPr>
              <w:color w:val="auto"/>
              <w:sz w:val="24"/>
              <w:szCs w:val="24"/>
            </w:rPr>
          </w:pPr>
          <w:r>
            <w:rPr>
              <w:color w:val="auto"/>
              <w:sz w:val="24"/>
              <w:szCs w:val="24"/>
            </w:rPr>
            <w:fldChar w:fldCharType="begin"/>
          </w:r>
          <w:r>
            <w:rPr>
              <w:color w:val="auto"/>
              <w:sz w:val="24"/>
              <w:szCs w:val="24"/>
            </w:rPr>
            <w:instrText xml:space="preserve"> HYPERLINK \l _Toc13137_WPSOffice_Level2 </w:instrText>
          </w:r>
          <w:r>
            <w:rPr>
              <w:color w:val="auto"/>
              <w:sz w:val="24"/>
              <w:szCs w:val="24"/>
            </w:rPr>
            <w:fldChar w:fldCharType="separate"/>
          </w:r>
          <w:sdt>
            <w:sdtPr>
              <w:rPr>
                <w:rFonts w:hint="eastAsia" w:ascii="仿宋_GB2312" w:hAnsi="仿宋_GB2312" w:eastAsia="仿宋_GB2312" w:cs="仿宋_GB2312"/>
                <w:color w:val="auto"/>
                <w:kern w:val="0"/>
                <w:sz w:val="24"/>
                <w:szCs w:val="24"/>
                <w:lang w:val="en-US" w:eastAsia="zh-CN" w:bidi="ar-SA"/>
              </w:rPr>
              <w:id w:val="147477878"/>
              <w:placeholder>
                <w:docPart w:val="{4f619e4d-3c94-445a-b2ab-73e97278b061}"/>
              </w:placeholder>
            </w:sdtPr>
            <w:sdtEndPr>
              <w:rPr>
                <w:rFonts w:hint="eastAsia" w:ascii="Calibri" w:hAnsi="Calibri" w:eastAsia="宋体" w:cs="Times New Roman"/>
                <w:color w:val="auto"/>
                <w:kern w:val="0"/>
                <w:sz w:val="24"/>
                <w:szCs w:val="24"/>
                <w:lang w:val="en-US" w:eastAsia="zh-CN" w:bidi="ar-SA"/>
              </w:rPr>
            </w:sdtEndPr>
            <w:sdtContent>
              <w:r>
                <w:rPr>
                  <w:rFonts w:hint="eastAsia" w:ascii="仿宋_GB2312" w:hAnsi="仿宋_GB2312" w:eastAsia="仿宋_GB2312" w:cs="仿宋_GB2312"/>
                  <w:b w:val="0"/>
                  <w:bCs w:val="0"/>
                  <w:color w:val="auto"/>
                  <w:sz w:val="24"/>
                  <w:szCs w:val="24"/>
                  <w:lang w:eastAsia="zh-CN"/>
                </w:rPr>
                <w:t>积极推动绿色运营</w:t>
              </w:r>
            </w:sdtContent>
          </w:sdt>
          <w:r>
            <w:rPr>
              <w:color w:val="auto"/>
              <w:sz w:val="24"/>
              <w:szCs w:val="24"/>
            </w:rPr>
            <w:tab/>
          </w:r>
          <w:r>
            <w:rPr>
              <w:rFonts w:hint="default" w:ascii="Times New Roman" w:hAnsi="Times New Roman" w:cs="Times New Roman"/>
              <w:color w:val="auto"/>
              <w:sz w:val="24"/>
              <w:szCs w:val="24"/>
              <w:lang w:val="en-US" w:eastAsia="zh-CN"/>
            </w:rPr>
            <w:t>9</w:t>
          </w:r>
          <w:r>
            <w:rPr>
              <w:color w:val="auto"/>
              <w:sz w:val="24"/>
              <w:szCs w:val="24"/>
            </w:rPr>
            <w:fldChar w:fldCharType="end"/>
          </w:r>
        </w:p>
        <w:p>
          <w:pPr>
            <w:pStyle w:val="17"/>
            <w:tabs>
              <w:tab w:val="right" w:leader="dot" w:pos="8306"/>
            </w:tabs>
            <w:ind w:firstLine="720" w:firstLineChars="300"/>
            <w:rPr>
              <w:color w:val="auto"/>
              <w:sz w:val="24"/>
              <w:szCs w:val="24"/>
            </w:rPr>
          </w:pPr>
          <w:r>
            <w:rPr>
              <w:color w:val="auto"/>
              <w:sz w:val="24"/>
              <w:szCs w:val="24"/>
            </w:rPr>
            <w:fldChar w:fldCharType="begin"/>
          </w:r>
          <w:r>
            <w:rPr>
              <w:color w:val="auto"/>
              <w:sz w:val="24"/>
              <w:szCs w:val="24"/>
            </w:rPr>
            <w:instrText xml:space="preserve"> HYPERLINK \l _Toc11071_WPSOffice_Level2 </w:instrText>
          </w:r>
          <w:r>
            <w:rPr>
              <w:color w:val="auto"/>
              <w:sz w:val="24"/>
              <w:szCs w:val="24"/>
            </w:rPr>
            <w:fldChar w:fldCharType="separate"/>
          </w:r>
          <w:sdt>
            <w:sdtPr>
              <w:rPr>
                <w:rFonts w:hint="eastAsia" w:ascii="仿宋" w:hAnsi="仿宋" w:eastAsia="仿宋" w:cs="仿宋"/>
                <w:b w:val="0"/>
                <w:bCs w:val="0"/>
                <w:color w:val="auto"/>
                <w:sz w:val="24"/>
                <w:szCs w:val="24"/>
                <w:lang w:val="en-US" w:eastAsia="zh-CN"/>
              </w:rPr>
              <w:id w:val="147477878"/>
              <w:placeholder>
                <w:docPart w:val="{737bcd13-f95b-4c86-ad7d-0c1f09672dc5}"/>
              </w:placeholder>
            </w:sdtPr>
            <w:sdtEndPr>
              <w:rPr>
                <w:rFonts w:hint="eastAsia" w:ascii="仿宋" w:hAnsi="仿宋" w:eastAsia="仿宋" w:cs="仿宋"/>
                <w:b w:val="0"/>
                <w:bCs w:val="0"/>
                <w:color w:val="auto"/>
                <w:sz w:val="24"/>
                <w:szCs w:val="24"/>
                <w:lang w:val="en-US" w:eastAsia="zh-CN"/>
              </w:rPr>
            </w:sdtEndPr>
            <w:sdtContent>
              <w:r>
                <w:rPr>
                  <w:rFonts w:hint="eastAsia" w:ascii="仿宋_GB2312" w:hAnsi="仿宋_GB2312" w:eastAsia="仿宋_GB2312" w:cs="仿宋_GB2312"/>
                  <w:b w:val="0"/>
                  <w:bCs w:val="0"/>
                  <w:color w:val="auto"/>
                  <w:sz w:val="24"/>
                  <w:szCs w:val="24"/>
                  <w:lang w:eastAsia="zh-CN"/>
                </w:rPr>
                <w:t>积极推行绿色办公</w:t>
              </w:r>
            </w:sdtContent>
          </w:sdt>
          <w:r>
            <w:rPr>
              <w:color w:val="auto"/>
              <w:sz w:val="24"/>
              <w:szCs w:val="24"/>
            </w:rPr>
            <w:tab/>
          </w:r>
          <w:r>
            <w:rPr>
              <w:rFonts w:hint="default" w:ascii="Times New Roman" w:hAnsi="Times New Roman" w:cs="Times New Roman"/>
              <w:color w:val="auto"/>
              <w:sz w:val="24"/>
              <w:szCs w:val="24"/>
              <w:lang w:val="en-US" w:eastAsia="zh-CN"/>
            </w:rPr>
            <w:t>9</w:t>
          </w:r>
          <w:r>
            <w:rPr>
              <w:color w:val="auto"/>
              <w:sz w:val="24"/>
              <w:szCs w:val="24"/>
            </w:rPr>
            <w:fldChar w:fldCharType="end"/>
          </w:r>
        </w:p>
        <w:p>
          <w:pPr>
            <w:pStyle w:val="17"/>
            <w:tabs>
              <w:tab w:val="right" w:leader="dot" w:pos="8306"/>
            </w:tabs>
            <w:ind w:firstLine="720" w:firstLineChars="300"/>
            <w:rPr>
              <w:rFonts w:hint="eastAsia" w:eastAsia="宋体"/>
              <w:color w:val="auto"/>
              <w:sz w:val="24"/>
              <w:szCs w:val="24"/>
              <w:lang w:val="en-US" w:eastAsia="zh-CN"/>
            </w:rPr>
          </w:pPr>
          <w:r>
            <w:rPr>
              <w:color w:val="auto"/>
              <w:sz w:val="24"/>
              <w:szCs w:val="24"/>
            </w:rPr>
            <w:fldChar w:fldCharType="begin"/>
          </w:r>
          <w:r>
            <w:rPr>
              <w:color w:val="auto"/>
              <w:sz w:val="24"/>
              <w:szCs w:val="24"/>
            </w:rPr>
            <w:instrText xml:space="preserve"> HYPERLINK \l _Toc13137_WPSOffice_Level2 </w:instrText>
          </w:r>
          <w:r>
            <w:rPr>
              <w:color w:val="auto"/>
              <w:sz w:val="24"/>
              <w:szCs w:val="24"/>
            </w:rPr>
            <w:fldChar w:fldCharType="separate"/>
          </w:r>
          <w:r>
            <w:rPr>
              <w:rFonts w:hint="eastAsia" w:ascii="仿宋_GB2312" w:hAnsi="仿宋_GB2312" w:eastAsia="仿宋_GB2312" w:cs="仿宋_GB2312"/>
              <w:b w:val="0"/>
              <w:bCs w:val="0"/>
              <w:color w:val="auto"/>
              <w:sz w:val="24"/>
              <w:szCs w:val="24"/>
              <w:lang w:val="en-US" w:eastAsia="zh-CN"/>
            </w:rPr>
            <w:t>积极倡导绿色出行</w:t>
          </w:r>
          <w:r>
            <w:rPr>
              <w:color w:val="auto"/>
              <w:sz w:val="24"/>
              <w:szCs w:val="24"/>
            </w:rPr>
            <w:tab/>
          </w:r>
          <w:r>
            <w:rPr>
              <w:rFonts w:hint="default" w:ascii="Times New Roman" w:hAnsi="Times New Roman" w:cs="Times New Roman"/>
              <w:color w:val="auto"/>
              <w:sz w:val="24"/>
              <w:szCs w:val="24"/>
              <w:lang w:val="en-US" w:eastAsia="zh-CN"/>
            </w:rPr>
            <w:t>1</w:t>
          </w:r>
          <w:r>
            <w:rPr>
              <w:color w:val="auto"/>
              <w:sz w:val="24"/>
              <w:szCs w:val="24"/>
            </w:rPr>
            <w:fldChar w:fldCharType="end"/>
          </w:r>
          <w:r>
            <w:rPr>
              <w:rFonts w:hint="default" w:ascii="Times New Roman" w:hAnsi="Times New Roman" w:cs="Times New Roman"/>
              <w:color w:val="auto"/>
              <w:sz w:val="24"/>
              <w:szCs w:val="24"/>
              <w:lang w:val="en-US" w:eastAsia="zh-CN"/>
            </w:rPr>
            <w:t>0</w:t>
          </w:r>
        </w:p>
        <w:p>
          <w:pPr>
            <w:pStyle w:val="16"/>
            <w:tabs>
              <w:tab w:val="right" w:leader="dot" w:pos="8306"/>
            </w:tabs>
            <w:rPr>
              <w:rFonts w:hint="eastAsia" w:eastAsia="宋体"/>
              <w:color w:val="auto"/>
              <w:sz w:val="24"/>
              <w:szCs w:val="24"/>
              <w:lang w:val="en-US" w:eastAsia="zh-CN"/>
            </w:rPr>
          </w:pPr>
          <w:r>
            <w:rPr>
              <w:color w:val="auto"/>
              <w:sz w:val="24"/>
              <w:szCs w:val="24"/>
            </w:rPr>
            <w:fldChar w:fldCharType="begin"/>
          </w:r>
          <w:r>
            <w:rPr>
              <w:color w:val="auto"/>
              <w:sz w:val="24"/>
              <w:szCs w:val="24"/>
            </w:rPr>
            <w:instrText xml:space="preserve"> HYPERLINK \l _Toc6491_WPSOffice_Level1 </w:instrText>
          </w:r>
          <w:r>
            <w:rPr>
              <w:color w:val="auto"/>
              <w:sz w:val="24"/>
              <w:szCs w:val="24"/>
            </w:rPr>
            <w:fldChar w:fldCharType="separate"/>
          </w:r>
          <w:sdt>
            <w:sdtPr>
              <w:rPr>
                <w:rFonts w:ascii="Calibri" w:hAnsi="Calibri" w:eastAsia="宋体" w:cs="Times New Roman"/>
                <w:b/>
                <w:bCs/>
                <w:color w:val="auto"/>
                <w:kern w:val="0"/>
                <w:sz w:val="24"/>
                <w:szCs w:val="24"/>
                <w:lang w:val="en-US" w:eastAsia="zh-CN" w:bidi="ar-SA"/>
              </w:rPr>
              <w:id w:val="147477878"/>
              <w:placeholder>
                <w:docPart w:val="{b4042c2b-9dee-4f1b-8de3-44b5c2880fec}"/>
              </w:placeholder>
            </w:sdtPr>
            <w:sdtEndPr>
              <w:rPr>
                <w:rFonts w:ascii="Calibri" w:hAnsi="Calibri" w:eastAsia="宋体" w:cs="Times New Roman"/>
                <w:b/>
                <w:bCs/>
                <w:color w:val="auto"/>
                <w:kern w:val="0"/>
                <w:sz w:val="24"/>
                <w:szCs w:val="24"/>
                <w:lang w:val="en-US" w:eastAsia="zh-CN" w:bidi="ar-SA"/>
              </w:rPr>
            </w:sdtEndPr>
            <w:sdtContent>
              <w:r>
                <w:rPr>
                  <w:rFonts w:hint="eastAsia" w:ascii="Times New Roman" w:hAnsi="Times New Roman" w:eastAsia="黑体" w:cs="Times New Roman"/>
                  <w:color w:val="auto"/>
                  <w:sz w:val="24"/>
                  <w:szCs w:val="24"/>
                  <w:lang w:val="en-US" w:eastAsia="zh-CN"/>
                </w:rPr>
                <w:t>七、投融资活动的环境影响</w:t>
              </w:r>
              <w:r>
                <w:rPr>
                  <w:rFonts w:hint="eastAsia" w:ascii="Times New Roman" w:hAnsi="Times New Roman" w:eastAsia="仿宋_GB2312" w:cs="Times New Roman"/>
                  <w:b/>
                  <w:bCs/>
                  <w:color w:val="auto"/>
                  <w:sz w:val="32"/>
                  <w:szCs w:val="32"/>
                </w:rPr>
                <w:t xml:space="preserve"> </w:t>
              </w:r>
            </w:sdtContent>
          </w:sdt>
          <w:r>
            <w:rPr>
              <w:color w:val="auto"/>
              <w:sz w:val="24"/>
              <w:szCs w:val="24"/>
            </w:rPr>
            <w:tab/>
          </w:r>
          <w:r>
            <w:rPr>
              <w:rFonts w:hint="default" w:ascii="Times New Roman" w:hAnsi="Times New Roman" w:cs="Times New Roman"/>
              <w:color w:val="auto"/>
              <w:sz w:val="24"/>
              <w:szCs w:val="24"/>
              <w:lang w:val="en-US" w:eastAsia="zh-CN"/>
            </w:rPr>
            <w:t>1</w:t>
          </w:r>
          <w:r>
            <w:rPr>
              <w:color w:val="auto"/>
              <w:sz w:val="24"/>
              <w:szCs w:val="24"/>
            </w:rPr>
            <w:fldChar w:fldCharType="end"/>
          </w:r>
          <w:r>
            <w:rPr>
              <w:rFonts w:hint="default" w:ascii="Times New Roman" w:hAnsi="Times New Roman" w:cs="Times New Roman"/>
              <w:color w:val="auto"/>
              <w:sz w:val="24"/>
              <w:szCs w:val="24"/>
              <w:lang w:val="en-US" w:eastAsia="zh-CN"/>
            </w:rPr>
            <w:t>0</w:t>
          </w:r>
        </w:p>
        <w:p>
          <w:pPr>
            <w:pStyle w:val="16"/>
            <w:tabs>
              <w:tab w:val="right" w:leader="dot" w:pos="8306"/>
            </w:tabs>
            <w:rPr>
              <w:rFonts w:hint="eastAsia" w:eastAsia="宋体"/>
              <w:color w:val="auto"/>
              <w:sz w:val="24"/>
              <w:szCs w:val="24"/>
              <w:lang w:val="en-US" w:eastAsia="zh-CN"/>
            </w:rPr>
          </w:pPr>
          <w:r>
            <w:rPr>
              <w:color w:val="auto"/>
              <w:sz w:val="24"/>
              <w:szCs w:val="24"/>
            </w:rPr>
            <w:fldChar w:fldCharType="begin"/>
          </w:r>
          <w:r>
            <w:rPr>
              <w:color w:val="auto"/>
              <w:sz w:val="24"/>
              <w:szCs w:val="24"/>
            </w:rPr>
            <w:instrText xml:space="preserve"> HYPERLINK \l _Toc31952_WPSOffice_Level1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f621aed9-74a9-4a68-886b-959b6feac375}"/>
              </w:placeholder>
            </w:sdtPr>
            <w:sdtEndPr>
              <w:rPr>
                <w:rFonts w:hint="eastAsia" w:ascii="Times New Roman" w:hAnsi="Times New Roman" w:eastAsia="黑体" w:cs="Times New Roman"/>
                <w:color w:val="auto"/>
                <w:kern w:val="0"/>
                <w:sz w:val="24"/>
                <w:szCs w:val="24"/>
                <w:lang w:val="en-US" w:eastAsia="zh-CN" w:bidi="ar-SA"/>
              </w:rPr>
            </w:sdtEndPr>
            <w:sdtContent>
              <w:r>
                <w:rPr>
                  <w:rFonts w:hint="eastAsia" w:ascii="Times New Roman" w:hAnsi="Times New Roman" w:eastAsia="黑体" w:cs="Times New Roman"/>
                  <w:color w:val="auto"/>
                  <w:sz w:val="24"/>
                  <w:szCs w:val="24"/>
                  <w:lang w:val="en-US" w:eastAsia="zh-CN"/>
                </w:rPr>
                <w:t>八、绿色金融创新做法及成果</w:t>
              </w:r>
            </w:sdtContent>
          </w:sdt>
          <w:r>
            <w:rPr>
              <w:color w:val="auto"/>
              <w:sz w:val="24"/>
              <w:szCs w:val="24"/>
            </w:rPr>
            <w:tab/>
          </w:r>
          <w:r>
            <w:rPr>
              <w:rFonts w:hint="default" w:ascii="Times New Roman" w:hAnsi="Times New Roman" w:cs="Times New Roman"/>
              <w:color w:val="auto"/>
              <w:sz w:val="24"/>
              <w:szCs w:val="24"/>
              <w:lang w:val="en-US" w:eastAsia="zh-CN"/>
            </w:rPr>
            <w:t>1</w:t>
          </w:r>
          <w:r>
            <w:rPr>
              <w:color w:val="auto"/>
              <w:sz w:val="24"/>
              <w:szCs w:val="24"/>
            </w:rPr>
            <w:fldChar w:fldCharType="end"/>
          </w:r>
          <w:r>
            <w:rPr>
              <w:rFonts w:hint="default" w:ascii="Times New Roman" w:hAnsi="Times New Roman" w:cs="Times New Roman"/>
              <w:color w:val="auto"/>
              <w:sz w:val="24"/>
              <w:szCs w:val="24"/>
              <w:lang w:val="en-US" w:eastAsia="zh-CN"/>
            </w:rPr>
            <w:t>1</w:t>
          </w:r>
        </w:p>
        <w:p>
          <w:pPr>
            <w:pStyle w:val="17"/>
            <w:tabs>
              <w:tab w:val="right" w:leader="dot" w:pos="8306"/>
            </w:tabs>
            <w:rPr>
              <w:rFonts w:hint="eastAsia" w:ascii="仿宋" w:hAnsi="仿宋" w:eastAsia="仿宋" w:cs="仿宋"/>
              <w:b w:val="0"/>
              <w:bCs w:val="0"/>
              <w:color w:val="auto"/>
              <w:sz w:val="24"/>
              <w:szCs w:val="24"/>
              <w:lang w:val="en-US" w:eastAsia="zh-CN"/>
            </w:rPr>
          </w:pPr>
          <w:r>
            <w:rPr>
              <w:rFonts w:hint="eastAsia" w:ascii="Calibri" w:hAnsi="Calibri" w:cs="Times New Roman"/>
              <w:color w:val="auto"/>
              <w:kern w:val="0"/>
              <w:sz w:val="24"/>
              <w:szCs w:val="24"/>
              <w:lang w:val="en-US" w:eastAsia="zh-CN" w:bidi="ar-SA"/>
            </w:rPr>
            <w:t>（一）</w:t>
          </w:r>
          <w:r>
            <w:rPr>
              <w:rFonts w:hint="eastAsia" w:ascii="Calibri" w:hAnsi="Calibri" w:cs="Times New Roman"/>
              <w:color w:val="auto"/>
              <w:kern w:val="0"/>
              <w:sz w:val="24"/>
              <w:szCs w:val="24"/>
              <w:lang w:val="en-US" w:eastAsia="zh-CN" w:bidi="ar-SA"/>
            </w:rPr>
            <w:fldChar w:fldCharType="begin"/>
          </w:r>
          <w:r>
            <w:rPr>
              <w:rFonts w:hint="eastAsia" w:ascii="Calibri" w:hAnsi="Calibri" w:cs="Times New Roman"/>
              <w:color w:val="auto"/>
              <w:kern w:val="0"/>
              <w:sz w:val="24"/>
              <w:szCs w:val="24"/>
              <w:lang w:val="en-US" w:eastAsia="zh-CN" w:bidi="ar-SA"/>
            </w:rPr>
            <w:instrText xml:space="preserve"> HYPERLINK \l _Toc21499_WPSOffice_Level2 </w:instrText>
          </w:r>
          <w:r>
            <w:rPr>
              <w:rFonts w:hint="eastAsia" w:ascii="Calibri" w:hAnsi="Calibri" w:cs="Times New Roman"/>
              <w:color w:val="auto"/>
              <w:kern w:val="0"/>
              <w:sz w:val="24"/>
              <w:szCs w:val="24"/>
              <w:lang w:val="en-US" w:eastAsia="zh-CN" w:bidi="ar-SA"/>
            </w:rPr>
            <w:fldChar w:fldCharType="separate"/>
          </w:r>
          <w:sdt>
            <w:sdtPr>
              <w:rPr>
                <w:rFonts w:hint="eastAsia" w:ascii="Calibri" w:hAnsi="Calibri" w:cs="Times New Roman"/>
                <w:color w:val="auto"/>
                <w:kern w:val="0"/>
                <w:sz w:val="24"/>
                <w:szCs w:val="24"/>
                <w:lang w:val="en-US" w:eastAsia="zh-CN" w:bidi="ar-SA"/>
              </w:rPr>
              <w:id w:val="147477878"/>
              <w:placeholder>
                <w:docPart w:val="{c6ab0395-568a-4d93-aa17-335d2b7acefa}"/>
              </w:placeholder>
            </w:sdtPr>
            <w:sdtEndPr>
              <w:rPr>
                <w:rFonts w:hint="eastAsia" w:ascii="Calibri" w:hAnsi="Calibri" w:cs="Times New Roman"/>
                <w:color w:val="auto"/>
                <w:kern w:val="0"/>
                <w:sz w:val="24"/>
                <w:szCs w:val="24"/>
                <w:lang w:val="en-US" w:eastAsia="zh-CN" w:bidi="ar-SA"/>
              </w:rPr>
            </w:sdtEndPr>
            <w:sdtContent>
              <w:r>
                <w:rPr>
                  <w:rFonts w:hint="eastAsia" w:ascii="Calibri" w:hAnsi="Calibri" w:cs="Times New Roman"/>
                  <w:color w:val="auto"/>
                  <w:kern w:val="0"/>
                  <w:sz w:val="24"/>
                  <w:szCs w:val="24"/>
                  <w:lang w:val="en-US" w:eastAsia="zh-CN" w:bidi="ar-SA"/>
                </w:rPr>
                <w:t>传统产品无差别化支持</w:t>
              </w:r>
            </w:sdtContent>
          </w:sdt>
          <w:r>
            <w:rPr>
              <w:rFonts w:hint="eastAsia" w:ascii="Calibri" w:hAnsi="Calibri" w:cs="Times New Roman"/>
              <w:color w:val="auto"/>
              <w:kern w:val="0"/>
              <w:sz w:val="24"/>
              <w:szCs w:val="24"/>
              <w:lang w:val="en-US" w:eastAsia="zh-CN" w:bidi="ar-SA"/>
            </w:rPr>
            <w:tab/>
          </w:r>
          <w:r>
            <w:rPr>
              <w:rFonts w:hint="default" w:ascii="Times New Roman" w:hAnsi="Times New Roman" w:cs="Times New Roman"/>
              <w:color w:val="auto"/>
              <w:kern w:val="0"/>
              <w:sz w:val="24"/>
              <w:szCs w:val="24"/>
              <w:lang w:val="en-US" w:eastAsia="zh-CN" w:bidi="ar-SA"/>
            </w:rPr>
            <w:t>1</w:t>
          </w:r>
          <w:r>
            <w:rPr>
              <w:rFonts w:hint="eastAsia" w:ascii="Calibri" w:hAnsi="Calibri" w:cs="Times New Roman"/>
              <w:color w:val="auto"/>
              <w:kern w:val="0"/>
              <w:sz w:val="24"/>
              <w:szCs w:val="24"/>
              <w:lang w:val="en-US" w:eastAsia="zh-CN" w:bidi="ar-SA"/>
            </w:rPr>
            <w:fldChar w:fldCharType="end"/>
          </w:r>
          <w:r>
            <w:rPr>
              <w:rFonts w:hint="default" w:ascii="Times New Roman" w:hAnsi="Times New Roman" w:eastAsia="仿宋" w:cs="Times New Roman"/>
              <w:b/>
              <w:bCs/>
              <w:color w:val="auto"/>
              <w:sz w:val="24"/>
              <w:szCs w:val="24"/>
              <w:lang w:val="en-US" w:eastAsia="zh-CN"/>
            </w:rPr>
            <w:t>1</w:t>
          </w:r>
        </w:p>
        <w:p>
          <w:pPr>
            <w:pStyle w:val="17"/>
            <w:tabs>
              <w:tab w:val="right" w:leader="dot" w:pos="8306"/>
            </w:tabs>
            <w:rPr>
              <w:rFonts w:hint="eastAsia" w:ascii="仿宋" w:hAnsi="仿宋" w:eastAsia="仿宋" w:cs="仿宋"/>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（二）</w:t>
          </w:r>
          <w:r>
            <w:rPr>
              <w:rFonts w:hint="eastAsia" w:ascii="仿宋_GB2312" w:hAnsi="仿宋_GB2312" w:eastAsia="仿宋_GB2312" w:cs="仿宋_GB2312"/>
              <w:b w:val="0"/>
              <w:bCs w:val="0"/>
              <w:color w:val="auto"/>
              <w:sz w:val="24"/>
              <w:szCs w:val="24"/>
              <w:lang w:val="en-US" w:eastAsia="zh-CN"/>
            </w:rPr>
            <w:fldChar w:fldCharType="begin"/>
          </w:r>
          <w:r>
            <w:rPr>
              <w:rFonts w:hint="eastAsia" w:ascii="仿宋_GB2312" w:hAnsi="仿宋_GB2312" w:eastAsia="仿宋_GB2312" w:cs="仿宋_GB2312"/>
              <w:b w:val="0"/>
              <w:bCs w:val="0"/>
              <w:color w:val="auto"/>
              <w:sz w:val="24"/>
              <w:szCs w:val="24"/>
              <w:lang w:val="en-US" w:eastAsia="zh-CN"/>
            </w:rPr>
            <w:instrText xml:space="preserve"> HYPERLINK \l _Toc7831_WPSOffice_Level3 </w:instrText>
          </w:r>
          <w:r>
            <w:rPr>
              <w:rFonts w:hint="eastAsia" w:ascii="仿宋_GB2312" w:hAnsi="仿宋_GB2312" w:eastAsia="仿宋_GB2312" w:cs="仿宋_GB2312"/>
              <w:b w:val="0"/>
              <w:bCs w:val="0"/>
              <w:color w:val="auto"/>
              <w:sz w:val="24"/>
              <w:szCs w:val="24"/>
              <w:lang w:val="en-US" w:eastAsia="zh-CN"/>
            </w:rPr>
            <w:fldChar w:fldCharType="separate"/>
          </w:r>
          <w:r>
            <w:rPr>
              <w:rFonts w:hint="eastAsia" w:ascii="仿宋_GB2312" w:hAnsi="仿宋_GB2312" w:eastAsia="仿宋_GB2312" w:cs="仿宋_GB2312"/>
              <w:b w:val="0"/>
              <w:bCs w:val="0"/>
              <w:color w:val="auto"/>
              <w:sz w:val="24"/>
              <w:szCs w:val="24"/>
              <w:lang w:val="en-US" w:eastAsia="zh-CN"/>
            </w:rPr>
            <w:t>特设产品专项支持</w:t>
          </w:r>
          <w:r>
            <w:rPr>
              <w:rFonts w:hint="eastAsia" w:ascii="仿宋_GB2312" w:hAnsi="仿宋_GB2312" w:eastAsia="仿宋_GB2312" w:cs="仿宋_GB2312"/>
              <w:b w:val="0"/>
              <w:bCs w:val="0"/>
              <w:color w:val="auto"/>
              <w:sz w:val="24"/>
              <w:szCs w:val="24"/>
              <w:lang w:val="en-US" w:eastAsia="zh-CN"/>
            </w:rPr>
            <w:tab/>
          </w:r>
          <w:r>
            <w:rPr>
              <w:rFonts w:hint="default" w:ascii="Times New Roman" w:hAnsi="Times New Roman" w:eastAsia="仿宋_GB2312" w:cs="Times New Roman"/>
              <w:b/>
              <w:bCs/>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fldChar w:fldCharType="end"/>
          </w:r>
          <w:r>
            <w:rPr>
              <w:rFonts w:hint="default" w:ascii="Times New Roman" w:hAnsi="Times New Roman" w:eastAsia="仿宋" w:cs="Times New Roman"/>
              <w:b/>
              <w:bCs/>
              <w:color w:val="auto"/>
              <w:sz w:val="24"/>
              <w:szCs w:val="24"/>
              <w:lang w:val="en-US" w:eastAsia="zh-CN"/>
            </w:rPr>
            <w:t>1</w:t>
          </w:r>
        </w:p>
        <w:p>
          <w:pPr>
            <w:pStyle w:val="17"/>
            <w:tabs>
              <w:tab w:val="right" w:leader="dot" w:pos="8306"/>
            </w:tabs>
            <w:ind w:firstLine="720" w:firstLineChars="3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fldChar w:fldCharType="begin"/>
          </w:r>
          <w:r>
            <w:rPr>
              <w:rFonts w:hint="eastAsia" w:ascii="仿宋" w:hAnsi="仿宋" w:eastAsia="仿宋" w:cs="仿宋"/>
              <w:b w:val="0"/>
              <w:bCs w:val="0"/>
              <w:color w:val="auto"/>
              <w:sz w:val="24"/>
              <w:szCs w:val="24"/>
              <w:lang w:val="en-US" w:eastAsia="zh-CN"/>
            </w:rPr>
            <w:instrText xml:space="preserve"> HYPERLINK \l _Toc26808_WPSOffice_Level3 </w:instrText>
          </w:r>
          <w:r>
            <w:rPr>
              <w:rFonts w:hint="eastAsia" w:ascii="仿宋" w:hAnsi="仿宋" w:eastAsia="仿宋" w:cs="仿宋"/>
              <w:b w:val="0"/>
              <w:bCs w:val="0"/>
              <w:color w:val="auto"/>
              <w:sz w:val="24"/>
              <w:szCs w:val="24"/>
              <w:lang w:val="en-US" w:eastAsia="zh-CN"/>
            </w:rPr>
            <w:fldChar w:fldCharType="separate"/>
          </w:r>
          <w:sdt>
            <w:sdtPr>
              <w:rPr>
                <w:rFonts w:hint="eastAsia" w:ascii="仿宋_GB2312" w:hAnsi="仿宋_GB2312" w:eastAsia="仿宋_GB2312" w:cs="仿宋_GB2312"/>
                <w:b w:val="0"/>
                <w:bCs w:val="0"/>
                <w:color w:val="auto"/>
                <w:sz w:val="24"/>
                <w:szCs w:val="24"/>
                <w:lang w:val="en-US" w:eastAsia="zh-CN"/>
              </w:rPr>
              <w:id w:val="147477878"/>
              <w:placeholder>
                <w:docPart w:val="{f3cc4926-c291-44b4-acfe-a974b2234e5c}"/>
              </w:placeholder>
            </w:sdtPr>
            <w:sdtEndPr>
              <w:rPr>
                <w:rFonts w:hint="eastAsia" w:ascii="仿宋_GB2312" w:hAnsi="仿宋_GB2312" w:eastAsia="仿宋_GB2312" w:cs="仿宋_GB2312"/>
                <w:b w:val="0"/>
                <w:bCs w:val="0"/>
                <w:color w:val="auto"/>
                <w:sz w:val="24"/>
                <w:szCs w:val="24"/>
                <w:lang w:val="en-US" w:eastAsia="zh-CN"/>
              </w:rPr>
            </w:sdtEndPr>
            <w:sdtContent>
              <w:r>
                <w:rPr>
                  <w:rFonts w:hint="eastAsia" w:ascii="仿宋_GB2312" w:hAnsi="仿宋_GB2312" w:eastAsia="仿宋_GB2312" w:cs="仿宋_GB2312"/>
                  <w:b w:val="0"/>
                  <w:bCs w:val="0"/>
                  <w:color w:val="auto"/>
                  <w:sz w:val="24"/>
                  <w:szCs w:val="24"/>
                  <w:lang w:val="en-US" w:eastAsia="zh-CN"/>
                </w:rPr>
                <w:t>绿贷通系列</w:t>
              </w:r>
            </w:sdtContent>
          </w:sdt>
          <w:r>
            <w:rPr>
              <w:rFonts w:hint="eastAsia" w:ascii="仿宋" w:hAnsi="仿宋" w:eastAsia="仿宋" w:cs="仿宋"/>
              <w:b w:val="0"/>
              <w:bCs w:val="0"/>
              <w:color w:val="auto"/>
              <w:sz w:val="24"/>
              <w:szCs w:val="24"/>
              <w:lang w:val="en-US" w:eastAsia="zh-CN"/>
            </w:rPr>
            <w:tab/>
          </w:r>
          <w:r>
            <w:rPr>
              <w:rFonts w:hint="default" w:ascii="Times New Roman" w:hAnsi="Times New Roman" w:eastAsia="仿宋" w:cs="Times New Roman"/>
              <w:b/>
              <w:bCs/>
              <w:color w:val="auto"/>
              <w:sz w:val="24"/>
              <w:szCs w:val="24"/>
              <w:lang w:val="en-US" w:eastAsia="zh-CN"/>
            </w:rPr>
            <w:t>1</w:t>
          </w:r>
          <w:r>
            <w:rPr>
              <w:rFonts w:hint="eastAsia" w:ascii="仿宋" w:hAnsi="仿宋" w:eastAsia="仿宋" w:cs="仿宋"/>
              <w:b w:val="0"/>
              <w:bCs w:val="0"/>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1</w:t>
          </w:r>
        </w:p>
        <w:p>
          <w:pPr>
            <w:pStyle w:val="17"/>
            <w:tabs>
              <w:tab w:val="right" w:leader="dot" w:pos="8306"/>
            </w:tabs>
            <w:ind w:firstLine="720" w:firstLineChars="300"/>
            <w:rPr>
              <w:rFonts w:hint="eastAsia" w:eastAsia="宋体"/>
              <w:color w:val="auto"/>
              <w:sz w:val="24"/>
              <w:szCs w:val="24"/>
              <w:lang w:val="en-US" w:eastAsia="zh-CN"/>
            </w:rPr>
          </w:pPr>
          <w:r>
            <w:rPr>
              <w:rFonts w:hint="eastAsia" w:ascii="仿宋" w:hAnsi="仿宋" w:eastAsia="仿宋" w:cs="仿宋"/>
              <w:b w:val="0"/>
              <w:bCs w:val="0"/>
              <w:color w:val="auto"/>
              <w:sz w:val="24"/>
              <w:szCs w:val="24"/>
              <w:lang w:eastAsia="zh-CN"/>
            </w:rPr>
            <w:fldChar w:fldCharType="begin"/>
          </w:r>
          <w:r>
            <w:rPr>
              <w:rFonts w:hint="eastAsia" w:ascii="仿宋" w:hAnsi="仿宋" w:eastAsia="仿宋" w:cs="仿宋"/>
              <w:b w:val="0"/>
              <w:bCs w:val="0"/>
              <w:color w:val="auto"/>
              <w:sz w:val="24"/>
              <w:szCs w:val="24"/>
              <w:lang w:eastAsia="zh-CN"/>
            </w:rPr>
            <w:instrText xml:space="preserve"> HYPERLINK \l _Toc6491_WPSOffice_Level3 </w:instrText>
          </w:r>
          <w:r>
            <w:rPr>
              <w:rFonts w:hint="eastAsia" w:ascii="仿宋" w:hAnsi="仿宋" w:eastAsia="仿宋" w:cs="仿宋"/>
              <w:b w:val="0"/>
              <w:bCs w:val="0"/>
              <w:color w:val="auto"/>
              <w:sz w:val="24"/>
              <w:szCs w:val="24"/>
              <w:lang w:eastAsia="zh-CN"/>
            </w:rPr>
            <w:fldChar w:fldCharType="separate"/>
          </w:r>
          <w:sdt>
            <w:sdtPr>
              <w:rPr>
                <w:rFonts w:hint="eastAsia" w:ascii="仿宋" w:hAnsi="仿宋" w:eastAsia="仿宋" w:cs="仿宋"/>
                <w:b w:val="0"/>
                <w:bCs w:val="0"/>
                <w:color w:val="auto"/>
                <w:sz w:val="24"/>
                <w:szCs w:val="24"/>
                <w:lang w:val="en-US" w:eastAsia="zh-CN"/>
              </w:rPr>
              <w:id w:val="147477878"/>
              <w:placeholder>
                <w:docPart w:val="{cb2a49ad-ec46-4b5e-9767-9ebb3285ea00}"/>
              </w:placeholder>
            </w:sdtPr>
            <w:sdtEndPr>
              <w:rPr>
                <w:rFonts w:hint="eastAsia" w:ascii="仿宋_GB2312" w:hAnsi="仿宋_GB2312" w:eastAsia="仿宋_GB2312" w:cs="仿宋_GB2312"/>
                <w:b w:val="0"/>
                <w:bCs w:val="0"/>
                <w:color w:val="auto"/>
                <w:sz w:val="24"/>
                <w:szCs w:val="24"/>
                <w:lang w:val="en-US" w:eastAsia="zh-CN"/>
              </w:rPr>
            </w:sdtEndPr>
            <w:sdtContent>
              <w:r>
                <w:rPr>
                  <w:rFonts w:hint="eastAsia" w:ascii="仿宋_GB2312" w:hAnsi="仿宋_GB2312" w:eastAsia="仿宋_GB2312" w:cs="仿宋_GB2312"/>
                  <w:b w:val="0"/>
                  <w:bCs w:val="0"/>
                  <w:color w:val="auto"/>
                  <w:sz w:val="24"/>
                  <w:szCs w:val="24"/>
                  <w:lang w:val="en-US" w:eastAsia="zh-CN"/>
                </w:rPr>
                <w:t>光伏贷</w:t>
              </w:r>
            </w:sdtContent>
          </w:sdt>
          <w:r>
            <w:rPr>
              <w:rFonts w:hint="eastAsia" w:ascii="仿宋" w:hAnsi="仿宋" w:eastAsia="仿宋" w:cs="仿宋"/>
              <w:b w:val="0"/>
              <w:bCs w:val="0"/>
              <w:color w:val="auto"/>
              <w:sz w:val="24"/>
              <w:szCs w:val="24"/>
              <w:lang w:eastAsia="zh-CN"/>
            </w:rPr>
            <w:tab/>
          </w:r>
          <w:r>
            <w:rPr>
              <w:rFonts w:hint="eastAsia" w:ascii="仿宋" w:hAnsi="仿宋" w:eastAsia="仿宋" w:cs="仿宋"/>
              <w:b w:val="0"/>
              <w:bCs w:val="0"/>
              <w:color w:val="auto"/>
              <w:sz w:val="24"/>
              <w:szCs w:val="24"/>
              <w:lang w:eastAsia="zh-CN"/>
            </w:rPr>
            <w:fldChar w:fldCharType="end"/>
          </w:r>
          <w:r>
            <w:rPr>
              <w:rFonts w:hint="default" w:ascii="Times New Roman" w:hAnsi="Times New Roman" w:cs="Times New Roman"/>
              <w:color w:val="auto"/>
              <w:sz w:val="24"/>
              <w:szCs w:val="24"/>
              <w:lang w:val="en-US" w:eastAsia="zh-CN"/>
            </w:rPr>
            <w:t>12</w:t>
          </w:r>
        </w:p>
        <w:p>
          <w:pPr>
            <w:pStyle w:val="16"/>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_Toc19205_WPSOffice_Level1 </w:instrText>
          </w:r>
          <w:r>
            <w:rPr>
              <w:color w:val="auto"/>
              <w:sz w:val="24"/>
              <w:szCs w:val="24"/>
            </w:rPr>
            <w:fldChar w:fldCharType="separate"/>
          </w:r>
          <w:sdt>
            <w:sdtPr>
              <w:rPr>
                <w:rFonts w:ascii="Calibri" w:hAnsi="Calibri" w:eastAsia="宋体" w:cs="Times New Roman"/>
                <w:b/>
                <w:bCs/>
                <w:color w:val="auto"/>
                <w:kern w:val="0"/>
                <w:sz w:val="24"/>
                <w:szCs w:val="24"/>
                <w:lang w:val="en-US" w:eastAsia="zh-CN" w:bidi="ar-SA"/>
              </w:rPr>
              <w:id w:val="147477878"/>
              <w:placeholder>
                <w:docPart w:val="{02f4023a-5c9c-4ffc-b98b-3f9c38b3c697}"/>
              </w:placeholder>
            </w:sdtPr>
            <w:sdtEndPr>
              <w:rPr>
                <w:rFonts w:ascii="Calibri" w:hAnsi="Calibri" w:eastAsia="宋体" w:cs="Times New Roman"/>
                <w:b/>
                <w:bCs/>
                <w:color w:val="auto"/>
                <w:kern w:val="0"/>
                <w:sz w:val="24"/>
                <w:szCs w:val="24"/>
                <w:lang w:val="en-US" w:eastAsia="zh-CN" w:bidi="ar-SA"/>
              </w:rPr>
            </w:sdtEndPr>
            <w:sdtContent>
              <w:r>
                <w:rPr>
                  <w:rFonts w:hint="eastAsia" w:ascii="Times New Roman" w:hAnsi="Times New Roman" w:eastAsia="黑体" w:cs="Times New Roman"/>
                  <w:color w:val="auto"/>
                  <w:sz w:val="24"/>
                  <w:szCs w:val="24"/>
                  <w:lang w:val="en-US" w:eastAsia="zh-CN"/>
                </w:rPr>
                <w:t>九、支持普惠主体及中小企业绿色发展情况</w:t>
              </w:r>
              <w:r>
                <w:rPr>
                  <w:rFonts w:hint="eastAsia" w:ascii="Times New Roman" w:hAnsi="Times New Roman" w:eastAsia="仿宋_GB2312" w:cs="Times New Roman"/>
                  <w:b/>
                  <w:bCs/>
                  <w:color w:val="auto"/>
                  <w:sz w:val="24"/>
                  <w:szCs w:val="24"/>
                </w:rPr>
                <w:t xml:space="preserve"> </w:t>
              </w:r>
            </w:sdtContent>
          </w:sdt>
          <w:r>
            <w:rPr>
              <w:color w:val="auto"/>
              <w:sz w:val="24"/>
              <w:szCs w:val="24"/>
            </w:rPr>
            <w:tab/>
          </w:r>
          <w:bookmarkStart w:id="5" w:name="_Toc19205_WPSOffice_Level1Page"/>
          <w:r>
            <w:rPr>
              <w:rFonts w:hint="default" w:ascii="Times New Roman" w:hAnsi="Times New Roman" w:cs="Times New Roman"/>
              <w:color w:val="auto"/>
              <w:sz w:val="24"/>
              <w:szCs w:val="24"/>
            </w:rPr>
            <w:t>1</w:t>
          </w:r>
          <w:bookmarkEnd w:id="5"/>
          <w:r>
            <w:rPr>
              <w:rFonts w:hint="default" w:ascii="Times New Roman" w:hAnsi="Times New Roman" w:cs="Times New Roman"/>
              <w:color w:val="auto"/>
              <w:sz w:val="24"/>
              <w:szCs w:val="24"/>
              <w:lang w:val="en-US" w:eastAsia="zh-CN"/>
            </w:rPr>
            <w:t>3</w:t>
          </w:r>
          <w:r>
            <w:rPr>
              <w:color w:val="auto"/>
              <w:sz w:val="24"/>
              <w:szCs w:val="24"/>
            </w:rPr>
            <w:fldChar w:fldCharType="end"/>
          </w:r>
        </w:p>
        <w:p>
          <w:pPr>
            <w:pStyle w:val="16"/>
            <w:tabs>
              <w:tab w:val="right" w:leader="dot" w:pos="8306"/>
            </w:tabs>
            <w:rPr>
              <w:rFonts w:hint="eastAsia" w:eastAsia="宋体"/>
              <w:color w:val="auto"/>
              <w:sz w:val="24"/>
              <w:szCs w:val="24"/>
              <w:lang w:val="en-US" w:eastAsia="zh-CN"/>
            </w:rPr>
          </w:pPr>
          <w:r>
            <w:rPr>
              <w:color w:val="auto"/>
              <w:sz w:val="24"/>
              <w:szCs w:val="24"/>
            </w:rPr>
            <w:fldChar w:fldCharType="begin"/>
          </w:r>
          <w:r>
            <w:rPr>
              <w:color w:val="auto"/>
              <w:sz w:val="24"/>
              <w:szCs w:val="24"/>
            </w:rPr>
            <w:instrText xml:space="preserve"> HYPERLINK \l _Toc11416_WPSOffice_Level1 </w:instrText>
          </w:r>
          <w:r>
            <w:rPr>
              <w:color w:val="auto"/>
              <w:sz w:val="24"/>
              <w:szCs w:val="24"/>
            </w:rPr>
            <w:fldChar w:fldCharType="separate"/>
          </w:r>
          <w:sdt>
            <w:sdtPr>
              <w:rPr>
                <w:rFonts w:hint="eastAsia" w:ascii="黑体" w:hAnsi="黑体" w:eastAsia="黑体" w:cs="黑体"/>
                <w:color w:val="auto"/>
                <w:kern w:val="0"/>
                <w:sz w:val="24"/>
                <w:szCs w:val="24"/>
                <w:lang w:val="en-US" w:eastAsia="zh-CN" w:bidi="ar-SA"/>
              </w:rPr>
              <w:id w:val="147477878"/>
              <w:placeholder>
                <w:docPart w:val="{4d147642-4291-44af-a112-e5f2d664ec44}"/>
              </w:placeholder>
            </w:sdtPr>
            <w:sdtEndPr>
              <w:rPr>
                <w:rFonts w:hint="eastAsia" w:ascii="Times New Roman" w:hAnsi="Times New Roman" w:eastAsia="黑体" w:cs="Times New Roman"/>
                <w:b w:val="0"/>
                <w:bCs w:val="0"/>
                <w:color w:val="auto"/>
                <w:kern w:val="0"/>
                <w:sz w:val="24"/>
                <w:szCs w:val="24"/>
                <w:lang w:val="en-US" w:eastAsia="zh-CN" w:bidi="ar-SA"/>
              </w:rPr>
            </w:sdtEndPr>
            <w:sdtContent>
              <w:r>
                <w:rPr>
                  <w:rFonts w:hint="eastAsia" w:ascii="黑体" w:hAnsi="黑体" w:eastAsia="黑体" w:cs="黑体"/>
                  <w:b w:val="0"/>
                  <w:bCs w:val="0"/>
                  <w:color w:val="auto"/>
                  <w:kern w:val="0"/>
                  <w:sz w:val="24"/>
                  <w:szCs w:val="24"/>
                  <w:lang w:val="en-US" w:eastAsia="zh-CN" w:bidi="ar-SA"/>
                </w:rPr>
                <w:t>十、</w:t>
              </w:r>
              <w:r>
                <w:rPr>
                  <w:rFonts w:hint="eastAsia" w:ascii="Times New Roman" w:hAnsi="Times New Roman" w:eastAsia="黑体" w:cs="Times New Roman"/>
                  <w:b w:val="0"/>
                  <w:bCs w:val="0"/>
                  <w:color w:val="auto"/>
                  <w:sz w:val="24"/>
                  <w:szCs w:val="24"/>
                  <w:lang w:val="en-US" w:eastAsia="zh-CN"/>
                </w:rPr>
                <w:t>数据梳理、校验及保护</w:t>
              </w:r>
            </w:sdtContent>
          </w:sdt>
          <w:r>
            <w:rPr>
              <w:color w:val="auto"/>
              <w:sz w:val="24"/>
              <w:szCs w:val="24"/>
            </w:rPr>
            <w:tab/>
          </w:r>
          <w:r>
            <w:rPr>
              <w:rFonts w:hint="default" w:ascii="Times New Roman" w:hAnsi="Times New Roman" w:cs="Times New Roman"/>
              <w:color w:val="auto"/>
              <w:sz w:val="24"/>
              <w:szCs w:val="24"/>
              <w:lang w:val="en-US" w:eastAsia="zh-CN"/>
            </w:rPr>
            <w:t>1</w:t>
          </w:r>
          <w:r>
            <w:rPr>
              <w:color w:val="auto"/>
              <w:sz w:val="24"/>
              <w:szCs w:val="24"/>
            </w:rPr>
            <w:fldChar w:fldCharType="end"/>
          </w:r>
          <w:bookmarkEnd w:id="0"/>
          <w:r>
            <w:rPr>
              <w:rFonts w:hint="default" w:ascii="Times New Roman" w:hAnsi="Times New Roman" w:cs="Times New Roman"/>
              <w:color w:val="auto"/>
              <w:sz w:val="24"/>
              <w:szCs w:val="24"/>
              <w:lang w:val="en-US" w:eastAsia="zh-CN"/>
            </w:rPr>
            <w:t>3</w:t>
          </w:r>
        </w:p>
        <w:p>
          <w:pPr>
            <w:pStyle w:val="16"/>
            <w:tabs>
              <w:tab w:val="right" w:leader="dot" w:pos="8306"/>
            </w:tabs>
            <w:rPr>
              <w:color w:val="auto"/>
              <w:sz w:val="24"/>
              <w:szCs w:val="24"/>
            </w:rPr>
          </w:pPr>
        </w:p>
        <w:p>
          <w:pPr>
            <w:pStyle w:val="16"/>
            <w:tabs>
              <w:tab w:val="right" w:leader="dot" w:pos="8306"/>
            </w:tabs>
            <w:rPr>
              <w:color w:val="auto"/>
              <w:sz w:val="24"/>
              <w:szCs w:val="24"/>
            </w:rPr>
          </w:pPr>
        </w:p>
        <w:p>
          <w:pPr>
            <w:pStyle w:val="16"/>
            <w:tabs>
              <w:tab w:val="right" w:leader="dot" w:pos="8306"/>
            </w:tabs>
            <w:rPr>
              <w:color w:val="auto"/>
              <w:sz w:val="24"/>
              <w:szCs w:val="24"/>
            </w:rPr>
          </w:pPr>
        </w:p>
        <w:p>
          <w:pPr>
            <w:pStyle w:val="16"/>
            <w:tabs>
              <w:tab w:val="right" w:leader="dot" w:pos="8306"/>
            </w:tabs>
            <w:rPr>
              <w:color w:val="auto"/>
            </w:rPr>
          </w:pPr>
        </w:p>
      </w:sdtContent>
    </w:sdt>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黑体"/>
          <w:color w:val="auto"/>
          <w:sz w:val="32"/>
          <w:szCs w:val="32"/>
        </w:rPr>
      </w:pPr>
    </w:p>
    <w:p>
      <w:pPr>
        <w:pStyle w:val="2"/>
        <w:ind w:left="0" w:leftChars="0" w:firstLine="0" w:firstLineChars="0"/>
        <w:rPr>
          <w:color w:val="auto"/>
          <w:lang w:val="en-U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imes New Roman" w:hAnsi="Times New Roman" w:eastAsia="仿宋_GB2312" w:cs="Times New Roman"/>
          <w:color w:val="auto"/>
          <w:sz w:val="32"/>
          <w:szCs w:val="32"/>
          <w:u w:val="single"/>
        </w:rPr>
        <w:sectPr>
          <w:footerReference r:id="rId11" w:type="default"/>
          <w:footerReference r:id="rId12" w:type="even"/>
          <w:pgSz w:w="11906" w:h="16838"/>
          <w:pgMar w:top="2098" w:right="1474" w:bottom="1984" w:left="1587" w:header="851" w:footer="1588"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imes New Roman" w:hAnsi="Times New Roman" w:eastAsia="仿宋_GB2312" w:cs="Times New Roman"/>
          <w:b/>
          <w:bCs/>
          <w:color w:val="auto"/>
          <w:sz w:val="32"/>
          <w:szCs w:val="32"/>
          <w:u w:val="single"/>
        </w:rPr>
      </w:pPr>
      <w:r>
        <w:rPr>
          <w:rFonts w:hint="eastAsia" w:ascii="Times New Roman" w:hAnsi="Times New Roman" w:eastAsia="仿宋_GB2312" w:cs="Times New Roman"/>
          <w:b/>
          <w:bCs/>
          <w:color w:val="auto"/>
          <w:sz w:val="32"/>
          <w:szCs w:val="32"/>
          <w:u w:val="single"/>
        </w:rPr>
        <w:t>关于本报告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left"/>
        <w:textAlignment w:val="auto"/>
        <w:rPr>
          <w:rFonts w:hint="eastAsia" w:ascii="Times New Roman" w:hAnsi="Times New Roman" w:eastAsia="仿宋_GB2312" w:cs="Times New Roman"/>
          <w:color w:val="auto"/>
          <w:sz w:val="32"/>
          <w:szCs w:val="32"/>
          <w:u w:val="single"/>
        </w:rPr>
      </w:pPr>
      <w:r>
        <w:rPr>
          <w:rFonts w:hint="eastAsia" w:ascii="Times New Roman" w:hAnsi="Times New Roman" w:eastAsia="仿宋_GB2312" w:cs="Times New Roman"/>
          <w:b/>
          <w:bCs/>
          <w:color w:val="auto"/>
          <w:sz w:val="32"/>
          <w:szCs w:val="32"/>
          <w:u w:val="single"/>
        </w:rPr>
        <w:t>报告时间：</w:t>
      </w:r>
      <w:r>
        <w:rPr>
          <w:rFonts w:hint="default" w:ascii="Times New Roman" w:hAnsi="Times New Roman" w:eastAsia="仿宋_GB2312" w:cs="Times New Roman"/>
          <w:color w:val="auto"/>
          <w:sz w:val="32"/>
          <w:szCs w:val="32"/>
          <w:u w:val="single"/>
        </w:rPr>
        <w:t>202</w:t>
      </w:r>
      <w:r>
        <w:rPr>
          <w:rFonts w:hint="default" w:ascii="Times New Roman" w:hAnsi="Times New Roman" w:eastAsia="仿宋_GB2312" w:cs="Times New Roman"/>
          <w:color w:val="auto"/>
          <w:sz w:val="32"/>
          <w:szCs w:val="32"/>
          <w:u w:val="single"/>
          <w:lang w:val="en-US" w:eastAsia="zh-CN"/>
        </w:rPr>
        <w:t>3</w:t>
      </w:r>
      <w:r>
        <w:rPr>
          <w:rFonts w:hint="eastAsia" w:ascii="Times New Roman" w:hAnsi="Times New Roman" w:eastAsia="仿宋_GB2312" w:cs="Times New Roman"/>
          <w:color w:val="auto"/>
          <w:sz w:val="32"/>
          <w:szCs w:val="32"/>
          <w:u w:val="single"/>
        </w:rPr>
        <w:t>年</w:t>
      </w:r>
      <w:r>
        <w:rPr>
          <w:rFonts w:hint="default" w:ascii="Times New Roman" w:hAnsi="Times New Roman" w:eastAsia="仿宋_GB2312" w:cs="Times New Roman"/>
          <w:color w:val="auto"/>
          <w:sz w:val="32"/>
          <w:szCs w:val="32"/>
          <w:u w:val="single"/>
        </w:rPr>
        <w:t>1</w:t>
      </w:r>
      <w:r>
        <w:rPr>
          <w:rFonts w:hint="eastAsia" w:ascii="Times New Roman" w:hAnsi="Times New Roman" w:eastAsia="仿宋_GB2312" w:cs="Times New Roman"/>
          <w:color w:val="auto"/>
          <w:sz w:val="32"/>
          <w:szCs w:val="32"/>
          <w:u w:val="single"/>
        </w:rPr>
        <w:t>月</w:t>
      </w:r>
      <w:r>
        <w:rPr>
          <w:rFonts w:hint="default" w:ascii="Times New Roman" w:hAnsi="Times New Roman" w:eastAsia="仿宋_GB2312" w:cs="Times New Roman"/>
          <w:color w:val="auto"/>
          <w:sz w:val="32"/>
          <w:szCs w:val="32"/>
          <w:u w:val="single"/>
        </w:rPr>
        <w:t>1</w:t>
      </w:r>
      <w:r>
        <w:rPr>
          <w:rFonts w:hint="eastAsia" w:ascii="Times New Roman" w:hAnsi="Times New Roman" w:eastAsia="仿宋_GB2312" w:cs="Times New Roman"/>
          <w:color w:val="auto"/>
          <w:sz w:val="32"/>
          <w:szCs w:val="32"/>
          <w:u w:val="single"/>
        </w:rPr>
        <w:t>日至</w:t>
      </w:r>
      <w:r>
        <w:rPr>
          <w:rFonts w:hint="default" w:ascii="Times New Roman" w:hAnsi="Times New Roman" w:eastAsia="仿宋_GB2312" w:cs="Times New Roman"/>
          <w:color w:val="auto"/>
          <w:sz w:val="32"/>
          <w:szCs w:val="32"/>
          <w:u w:val="single"/>
        </w:rPr>
        <w:t>202</w:t>
      </w:r>
      <w:r>
        <w:rPr>
          <w:rFonts w:hint="default" w:ascii="Times New Roman" w:hAnsi="Times New Roman" w:eastAsia="仿宋_GB2312" w:cs="Times New Roman"/>
          <w:color w:val="auto"/>
          <w:sz w:val="32"/>
          <w:szCs w:val="32"/>
          <w:u w:val="single"/>
          <w:lang w:val="en-US" w:eastAsia="zh-CN"/>
        </w:rPr>
        <w:t>3</w:t>
      </w:r>
      <w:r>
        <w:rPr>
          <w:rFonts w:hint="eastAsia" w:ascii="Times New Roman" w:hAnsi="Times New Roman" w:eastAsia="仿宋_GB2312" w:cs="Times New Roman"/>
          <w:color w:val="auto"/>
          <w:sz w:val="32"/>
          <w:szCs w:val="32"/>
          <w:u w:val="single"/>
        </w:rPr>
        <w:t>年</w:t>
      </w:r>
      <w:r>
        <w:rPr>
          <w:rFonts w:hint="default" w:ascii="Times New Roman" w:hAnsi="Times New Roman" w:eastAsia="仿宋_GB2312" w:cs="Times New Roman"/>
          <w:color w:val="auto"/>
          <w:sz w:val="32"/>
          <w:szCs w:val="32"/>
          <w:u w:val="single"/>
        </w:rPr>
        <w:t>12</w:t>
      </w:r>
      <w:r>
        <w:rPr>
          <w:rFonts w:hint="eastAsia" w:ascii="Times New Roman" w:hAnsi="Times New Roman" w:eastAsia="仿宋_GB2312" w:cs="Times New Roman"/>
          <w:color w:val="auto"/>
          <w:sz w:val="32"/>
          <w:szCs w:val="32"/>
          <w:u w:val="single"/>
        </w:rPr>
        <w:t>月</w:t>
      </w:r>
      <w:r>
        <w:rPr>
          <w:rFonts w:hint="default" w:ascii="Times New Roman" w:hAnsi="Times New Roman" w:eastAsia="仿宋_GB2312" w:cs="Times New Roman"/>
          <w:color w:val="auto"/>
          <w:sz w:val="32"/>
          <w:szCs w:val="32"/>
          <w:u w:val="single"/>
        </w:rPr>
        <w:t>31</w:t>
      </w:r>
      <w:r>
        <w:rPr>
          <w:rFonts w:hint="eastAsia" w:ascii="Times New Roman" w:hAnsi="Times New Roman" w:eastAsia="仿宋_GB2312" w:cs="Times New Roman"/>
          <w:color w:val="auto"/>
          <w:sz w:val="32"/>
          <w:szCs w:val="32"/>
          <w:u w:val="single"/>
        </w:rPr>
        <w:t>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left"/>
        <w:textAlignment w:val="auto"/>
        <w:rPr>
          <w:rFonts w:hint="eastAsia" w:ascii="Times New Roman" w:hAnsi="Times New Roman" w:eastAsia="仿宋_GB2312" w:cs="Times New Roman"/>
          <w:color w:val="auto"/>
          <w:sz w:val="32"/>
          <w:szCs w:val="32"/>
          <w:u w:val="single"/>
        </w:rPr>
      </w:pPr>
      <w:r>
        <w:rPr>
          <w:rFonts w:hint="eastAsia" w:ascii="Times New Roman" w:hAnsi="Times New Roman" w:eastAsia="仿宋_GB2312" w:cs="Times New Roman"/>
          <w:b/>
          <w:bCs/>
          <w:color w:val="auto"/>
          <w:sz w:val="32"/>
          <w:szCs w:val="32"/>
          <w:u w:val="single"/>
        </w:rPr>
        <w:t>报告周期：</w:t>
      </w:r>
      <w:r>
        <w:rPr>
          <w:rFonts w:hint="eastAsia" w:ascii="Times New Roman" w:hAnsi="Times New Roman" w:eastAsia="仿宋_GB2312" w:cs="Times New Roman"/>
          <w:color w:val="auto"/>
          <w:sz w:val="32"/>
          <w:szCs w:val="32"/>
          <w:u w:val="single"/>
        </w:rPr>
        <w:t>年度报告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left"/>
        <w:textAlignment w:val="auto"/>
        <w:rPr>
          <w:rFonts w:hint="eastAsia" w:ascii="Times New Roman" w:hAnsi="Times New Roman" w:eastAsia="仿宋_GB2312" w:cs="Times New Roman"/>
          <w:color w:val="auto"/>
          <w:sz w:val="32"/>
          <w:szCs w:val="32"/>
          <w:u w:val="single"/>
        </w:rPr>
      </w:pPr>
      <w:r>
        <w:rPr>
          <w:rFonts w:hint="eastAsia" w:ascii="Times New Roman" w:hAnsi="Times New Roman" w:eastAsia="仿宋_GB2312" w:cs="Times New Roman"/>
          <w:b/>
          <w:bCs/>
          <w:color w:val="auto"/>
          <w:sz w:val="32"/>
          <w:szCs w:val="32"/>
          <w:u w:val="single"/>
        </w:rPr>
        <w:t>编制单位：</w:t>
      </w:r>
      <w:r>
        <w:rPr>
          <w:rFonts w:hint="eastAsia" w:ascii="Times New Roman" w:hAnsi="Times New Roman" w:eastAsia="仿宋_GB2312" w:cs="Times New Roman"/>
          <w:color w:val="auto"/>
          <w:sz w:val="32"/>
          <w:szCs w:val="32"/>
          <w:u w:val="single"/>
        </w:rPr>
        <w:t>贵州关岭农村商业银行股份有限公司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left"/>
        <w:textAlignment w:val="auto"/>
        <w:rPr>
          <w:rFonts w:hint="default" w:ascii="Times New Roman" w:hAnsi="Times New Roman" w:eastAsia="仿宋_GB2312" w:cs="Times New Roman"/>
          <w:color w:val="auto"/>
          <w:sz w:val="32"/>
          <w:szCs w:val="32"/>
          <w:u w:val="single"/>
        </w:rPr>
      </w:pPr>
      <w:r>
        <w:rPr>
          <w:rFonts w:hint="eastAsia" w:ascii="Times New Roman" w:hAnsi="Times New Roman" w:eastAsia="仿宋_GB2312" w:cs="Times New Roman"/>
          <w:b/>
          <w:bCs/>
          <w:color w:val="auto"/>
          <w:sz w:val="32"/>
          <w:szCs w:val="32"/>
          <w:u w:val="single"/>
        </w:rPr>
        <w:t>报告范围：</w:t>
      </w:r>
      <w:r>
        <w:rPr>
          <w:rFonts w:hint="eastAsia" w:ascii="Times New Roman" w:hAnsi="Times New Roman" w:eastAsia="仿宋_GB2312" w:cs="Times New Roman"/>
          <w:color w:val="auto"/>
          <w:sz w:val="32"/>
          <w:szCs w:val="32"/>
          <w:u w:val="single"/>
        </w:rPr>
        <w:t>本报告以贵州关岭农村商业银行股份有限公司为主体</w:t>
      </w:r>
      <w:r>
        <w:rPr>
          <w:rFonts w:hint="default" w:ascii="Times New Roman" w:hAnsi="Times New Roman" w:eastAsia="仿宋_GB2312" w:cs="Times New Roman"/>
          <w:color w:val="auto"/>
          <w:sz w:val="32"/>
          <w:szCs w:val="32"/>
          <w:u w:val="singl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left"/>
        <w:textAlignment w:val="auto"/>
        <w:rPr>
          <w:rFonts w:hint="eastAsia" w:ascii="Times New Roman" w:hAnsi="Times New Roman" w:eastAsia="仿宋_GB2312" w:cs="Times New Roman"/>
          <w:color w:val="auto"/>
          <w:sz w:val="32"/>
          <w:szCs w:val="32"/>
          <w:u w:val="single"/>
        </w:rPr>
      </w:pPr>
      <w:r>
        <w:rPr>
          <w:rFonts w:hint="eastAsia" w:ascii="Times New Roman" w:hAnsi="Times New Roman" w:eastAsia="仿宋_GB2312" w:cs="Times New Roman"/>
          <w:b/>
          <w:bCs/>
          <w:color w:val="auto"/>
          <w:sz w:val="32"/>
          <w:szCs w:val="32"/>
          <w:u w:val="single"/>
        </w:rPr>
        <w:t>数据说明：</w:t>
      </w:r>
      <w:r>
        <w:rPr>
          <w:rFonts w:hint="eastAsia" w:ascii="Times New Roman" w:hAnsi="Times New Roman" w:eastAsia="仿宋_GB2312" w:cs="Times New Roman"/>
          <w:color w:val="auto"/>
          <w:sz w:val="32"/>
          <w:szCs w:val="32"/>
          <w:u w:val="single"/>
        </w:rPr>
        <w:t>本报告数据以截至</w:t>
      </w:r>
      <w:r>
        <w:rPr>
          <w:rFonts w:hint="default" w:ascii="Times New Roman" w:hAnsi="Times New Roman" w:eastAsia="仿宋_GB2312" w:cs="Times New Roman"/>
          <w:color w:val="auto"/>
          <w:sz w:val="32"/>
          <w:szCs w:val="32"/>
          <w:u w:val="single"/>
        </w:rPr>
        <w:t>202</w:t>
      </w:r>
      <w:r>
        <w:rPr>
          <w:rFonts w:hint="default" w:ascii="Times New Roman" w:hAnsi="Times New Roman" w:eastAsia="仿宋_GB2312" w:cs="Times New Roman"/>
          <w:color w:val="auto"/>
          <w:sz w:val="32"/>
          <w:szCs w:val="32"/>
          <w:u w:val="single"/>
          <w:lang w:val="en-US" w:eastAsia="zh-CN"/>
        </w:rPr>
        <w:t>3</w:t>
      </w:r>
      <w:r>
        <w:rPr>
          <w:rFonts w:hint="eastAsia" w:ascii="Times New Roman" w:hAnsi="Times New Roman" w:eastAsia="仿宋_GB2312" w:cs="Times New Roman"/>
          <w:color w:val="auto"/>
          <w:sz w:val="32"/>
          <w:szCs w:val="32"/>
          <w:u w:val="single"/>
        </w:rPr>
        <w:t>年</w:t>
      </w:r>
      <w:r>
        <w:rPr>
          <w:rFonts w:hint="default" w:ascii="Times New Roman" w:hAnsi="Times New Roman" w:eastAsia="仿宋_GB2312" w:cs="Times New Roman"/>
          <w:color w:val="auto"/>
          <w:sz w:val="32"/>
          <w:szCs w:val="32"/>
          <w:u w:val="single"/>
        </w:rPr>
        <w:t>12</w:t>
      </w:r>
      <w:r>
        <w:rPr>
          <w:rFonts w:hint="eastAsia" w:ascii="Times New Roman" w:hAnsi="Times New Roman" w:eastAsia="仿宋_GB2312" w:cs="Times New Roman"/>
          <w:color w:val="auto"/>
          <w:sz w:val="32"/>
          <w:szCs w:val="32"/>
          <w:u w:val="single"/>
        </w:rPr>
        <w:t>月</w:t>
      </w:r>
      <w:r>
        <w:rPr>
          <w:rFonts w:hint="default" w:ascii="Times New Roman" w:hAnsi="Times New Roman" w:eastAsia="仿宋_GB2312" w:cs="Times New Roman"/>
          <w:color w:val="auto"/>
          <w:sz w:val="32"/>
          <w:szCs w:val="32"/>
          <w:u w:val="single"/>
        </w:rPr>
        <w:t>31</w:t>
      </w:r>
      <w:r>
        <w:rPr>
          <w:rFonts w:hint="eastAsia" w:ascii="Times New Roman" w:hAnsi="Times New Roman" w:eastAsia="仿宋_GB2312" w:cs="Times New Roman"/>
          <w:color w:val="auto"/>
          <w:sz w:val="32"/>
          <w:szCs w:val="32"/>
          <w:u w:val="single"/>
        </w:rPr>
        <w:t>日贵州关岭农村商业银行股份有限公司数据为主。数据主要来自内部文件和相关统计。如无特别说明，报告中涉及货币金额均以人民币列示。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imes New Roman" w:hAnsi="Times New Roman" w:eastAsia="仿宋_GB2312" w:cs="Times New Roman"/>
          <w:color w:val="auto"/>
          <w:sz w:val="32"/>
          <w:szCs w:val="32"/>
          <w:u w:val="single"/>
        </w:rPr>
      </w:pPr>
      <w:r>
        <w:rPr>
          <w:rFonts w:hint="eastAsia" w:ascii="Times New Roman" w:hAnsi="Times New Roman" w:eastAsia="仿宋_GB2312" w:cs="Times New Roman"/>
          <w:color w:val="auto"/>
          <w:sz w:val="32"/>
          <w:szCs w:val="32"/>
          <w:u w:val="single"/>
        </w:rPr>
        <w:t xml:space="preserve">编制依据：本报告根据中华人民共和国金融行业标准（JR/T </w:t>
      </w:r>
      <w:r>
        <w:rPr>
          <w:rFonts w:hint="default" w:ascii="Times New Roman" w:hAnsi="Times New Roman" w:eastAsia="仿宋_GB2312" w:cs="Times New Roman"/>
          <w:color w:val="auto"/>
          <w:sz w:val="32"/>
          <w:szCs w:val="32"/>
          <w:u w:val="single"/>
        </w:rPr>
        <w:t>0227</w:t>
      </w:r>
      <w:r>
        <w:rPr>
          <w:rFonts w:hint="eastAsia" w:ascii="Times New Roman" w:hAnsi="Times New Roman" w:eastAsia="仿宋_GB2312" w:cs="Times New Roman"/>
          <w:color w:val="auto"/>
          <w:sz w:val="32"/>
          <w:szCs w:val="32"/>
          <w:u w:val="single"/>
        </w:rPr>
        <w:t>—</w:t>
      </w:r>
      <w:r>
        <w:rPr>
          <w:rFonts w:hint="default" w:ascii="Times New Roman" w:hAnsi="Times New Roman" w:eastAsia="仿宋_GB2312" w:cs="Times New Roman"/>
          <w:color w:val="auto"/>
          <w:sz w:val="32"/>
          <w:szCs w:val="32"/>
          <w:u w:val="single"/>
        </w:rPr>
        <w:t>2021</w:t>
      </w:r>
      <w:r>
        <w:rPr>
          <w:rFonts w:hint="eastAsia" w:ascii="Times New Roman" w:hAnsi="Times New Roman" w:eastAsia="仿宋_GB2312" w:cs="Times New Roman"/>
          <w:color w:val="auto"/>
          <w:sz w:val="32"/>
          <w:szCs w:val="32"/>
          <w:u w:val="single"/>
        </w:rPr>
        <w:t>）《金融机构环境信息披露指南》等有关要求进行编制。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imes New Roman" w:hAnsi="Times New Roman" w:eastAsia="仿宋_GB2312" w:cs="Times New Roman"/>
          <w:color w:val="auto"/>
          <w:sz w:val="32"/>
          <w:szCs w:val="32"/>
          <w:u w:val="single"/>
        </w:rPr>
      </w:pPr>
      <w:r>
        <w:rPr>
          <w:rFonts w:hint="eastAsia" w:ascii="Times New Roman" w:hAnsi="Times New Roman" w:eastAsia="仿宋_GB2312" w:cs="Times New Roman"/>
          <w:color w:val="auto"/>
          <w:sz w:val="32"/>
          <w:szCs w:val="32"/>
          <w:u w:val="single"/>
        </w:rPr>
        <w:t>指代说明：为便于表达，贵州关岭农村商业银行股份有限公司在本报告中简称“</w:t>
      </w:r>
      <w:r>
        <w:rPr>
          <w:rFonts w:hint="eastAsia" w:ascii="Times New Roman" w:hAnsi="Times New Roman" w:eastAsia="仿宋_GB2312" w:cs="Times New Roman"/>
          <w:color w:val="auto"/>
          <w:sz w:val="32"/>
          <w:szCs w:val="32"/>
          <w:u w:val="single"/>
          <w:lang w:eastAsia="zh-CN"/>
        </w:rPr>
        <w:t>本行</w:t>
      </w:r>
      <w:r>
        <w:rPr>
          <w:rFonts w:hint="eastAsia" w:ascii="Times New Roman" w:hAnsi="Times New Roman" w:eastAsia="仿宋_GB2312" w:cs="Times New Roman"/>
          <w:color w:val="auto"/>
          <w:sz w:val="32"/>
          <w:szCs w:val="32"/>
          <w:u w:val="singl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rPr>
          <w:rFonts w:hint="eastAsia" w:ascii="Times New Roman" w:hAnsi="Times New Roman" w:eastAsia="仿宋_GB2312" w:cs="Times New Roman"/>
          <w:color w:val="auto"/>
          <w:sz w:val="32"/>
          <w:szCs w:val="32"/>
          <w:u w:val="single"/>
        </w:rPr>
      </w:pPr>
      <w:r>
        <w:rPr>
          <w:rFonts w:hint="eastAsia" w:ascii="Times New Roman" w:hAnsi="Times New Roman" w:eastAsia="仿宋_GB2312" w:cs="Times New Roman"/>
          <w:b/>
          <w:bCs/>
          <w:color w:val="auto"/>
          <w:sz w:val="32"/>
          <w:szCs w:val="32"/>
          <w:u w:val="single"/>
        </w:rPr>
        <w:t>发布形式：</w:t>
      </w:r>
      <w:r>
        <w:rPr>
          <w:rFonts w:hint="eastAsia" w:ascii="Times New Roman" w:hAnsi="Times New Roman" w:eastAsia="仿宋_GB2312" w:cs="Times New Roman"/>
          <w:color w:val="auto"/>
          <w:sz w:val="32"/>
          <w:szCs w:val="32"/>
          <w:u w:val="single"/>
        </w:rPr>
        <w:t>本报告采用网络电子版形式，发布</w:t>
      </w:r>
      <w:r>
        <w:rPr>
          <w:rFonts w:hint="eastAsia" w:ascii="Times New Roman" w:hAnsi="Times New Roman" w:eastAsia="仿宋_GB2312" w:cs="Times New Roman"/>
          <w:color w:val="auto"/>
          <w:sz w:val="32"/>
          <w:szCs w:val="32"/>
          <w:u w:val="single"/>
          <w:lang w:eastAsia="zh-CN"/>
        </w:rPr>
        <w:t>于</w:t>
      </w:r>
      <w:r>
        <w:rPr>
          <w:rFonts w:hint="eastAsia" w:ascii="Times New Roman" w:hAnsi="Times New Roman" w:eastAsia="仿宋_GB2312" w:cs="Times New Roman"/>
          <w:color w:val="auto"/>
          <w:sz w:val="32"/>
          <w:szCs w:val="32"/>
          <w:u w:val="single"/>
        </w:rPr>
        <w:t>“</w:t>
      </w:r>
      <w:r>
        <w:rPr>
          <w:rFonts w:hint="eastAsia" w:ascii="Times New Roman" w:hAnsi="Times New Roman" w:eastAsia="仿宋_GB2312" w:cs="Times New Roman"/>
          <w:color w:val="auto"/>
          <w:sz w:val="32"/>
          <w:szCs w:val="32"/>
          <w:u w:val="single"/>
          <w:lang w:val="en-US" w:eastAsia="zh-CN"/>
        </w:rPr>
        <w:t>http</w:t>
      </w:r>
      <w:r>
        <w:rPr>
          <w:rFonts w:hint="eastAsia" w:ascii="Times New Roman" w:hAnsi="Times New Roman" w:eastAsia="仿宋_GB2312" w:cs="Times New Roman"/>
          <w:color w:val="auto"/>
          <w:sz w:val="32"/>
          <w:szCs w:val="32"/>
          <w:u w:val="single"/>
        </w:rPr>
        <w:t>s://www.gznxbank.com/html/</w:t>
      </w:r>
      <w:r>
        <w:rPr>
          <w:rFonts w:hint="default" w:ascii="Times New Roman" w:hAnsi="Times New Roman" w:eastAsia="仿宋_GB2312" w:cs="Times New Roman"/>
          <w:color w:val="auto"/>
          <w:sz w:val="32"/>
          <w:szCs w:val="32"/>
          <w:u w:val="single"/>
        </w:rPr>
        <w:t>2370000</w:t>
      </w:r>
      <w:r>
        <w:rPr>
          <w:rFonts w:hint="eastAsia" w:ascii="Times New Roman" w:hAnsi="Times New Roman" w:eastAsia="仿宋_GB2312" w:cs="Times New Roman"/>
          <w:color w:val="auto"/>
          <w:sz w:val="32"/>
          <w:szCs w:val="32"/>
          <w:u w:val="single"/>
        </w:rPr>
        <w:t>/index.html”等网络平台。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left"/>
        <w:textAlignment w:val="auto"/>
        <w:rPr>
          <w:rFonts w:hint="eastAsia" w:ascii="Times New Roman" w:hAnsi="Times New Roman" w:eastAsia="仿宋_GB2312" w:cs="Times New Roman"/>
          <w:color w:val="auto"/>
          <w:sz w:val="32"/>
          <w:szCs w:val="32"/>
          <w:u w:val="single"/>
          <w:lang w:val="en-US" w:eastAsia="zh-CN"/>
        </w:rPr>
      </w:pPr>
      <w:r>
        <w:rPr>
          <w:rFonts w:hint="eastAsia" w:ascii="Times New Roman" w:hAnsi="Times New Roman" w:eastAsia="仿宋_GB2312" w:cs="Times New Roman"/>
          <w:b/>
          <w:bCs/>
          <w:color w:val="auto"/>
          <w:sz w:val="32"/>
          <w:szCs w:val="32"/>
          <w:u w:val="single"/>
        </w:rPr>
        <w:t>地址：</w:t>
      </w:r>
      <w:r>
        <w:rPr>
          <w:rFonts w:hint="eastAsia" w:ascii="Times New Roman" w:hAnsi="Times New Roman" w:eastAsia="仿宋_GB2312" w:cs="Times New Roman"/>
          <w:color w:val="auto"/>
          <w:sz w:val="32"/>
          <w:szCs w:val="32"/>
          <w:u w:val="single"/>
          <w:lang w:eastAsia="zh-CN"/>
        </w:rPr>
        <w:t>贵州省安顺市关岭布依族苗族自治县滨河西路</w:t>
      </w:r>
      <w:r>
        <w:rPr>
          <w:rFonts w:hint="default" w:ascii="Times New Roman" w:hAnsi="Times New Roman" w:eastAsia="仿宋_GB2312" w:cs="Times New Roman"/>
          <w:color w:val="auto"/>
          <w:sz w:val="32"/>
          <w:szCs w:val="32"/>
          <w:u w:val="single"/>
          <w:lang w:val="en-US" w:eastAsia="zh-CN"/>
        </w:rPr>
        <w:t>1</w:t>
      </w:r>
      <w:r>
        <w:rPr>
          <w:rFonts w:hint="eastAsia" w:ascii="Times New Roman" w:hAnsi="Times New Roman" w:eastAsia="仿宋_GB2312" w:cs="Times New Roman"/>
          <w:color w:val="auto"/>
          <w:sz w:val="32"/>
          <w:szCs w:val="32"/>
          <w:u w:val="single"/>
          <w:lang w:val="en-US" w:eastAsia="zh-CN"/>
        </w:rPr>
        <w:t>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left"/>
        <w:textAlignment w:val="auto"/>
        <w:rPr>
          <w:rFonts w:hint="default" w:ascii="Times New Roman" w:hAnsi="Times New Roman" w:eastAsia="仿宋_GB2312" w:cs="Times New Roman"/>
          <w:color w:val="auto"/>
          <w:sz w:val="32"/>
          <w:szCs w:val="32"/>
          <w:u w:val="single"/>
        </w:rPr>
      </w:pPr>
      <w:r>
        <w:rPr>
          <w:rFonts w:hint="eastAsia" w:ascii="Times New Roman" w:hAnsi="Times New Roman" w:eastAsia="仿宋_GB2312" w:cs="Times New Roman"/>
          <w:b/>
          <w:bCs/>
          <w:color w:val="auto"/>
          <w:sz w:val="32"/>
          <w:szCs w:val="32"/>
          <w:u w:val="single"/>
        </w:rPr>
        <w:t>邮编：</w:t>
      </w:r>
      <w:r>
        <w:rPr>
          <w:rFonts w:hint="default" w:ascii="Times New Roman" w:hAnsi="Times New Roman" w:eastAsia="仿宋_GB2312" w:cs="Times New Roman"/>
          <w:color w:val="auto"/>
          <w:sz w:val="32"/>
          <w:szCs w:val="32"/>
          <w:u w:val="single"/>
          <w:lang w:val="en-US" w:eastAsia="zh-CN"/>
        </w:rPr>
        <w:t>561300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left"/>
        <w:textAlignment w:val="auto"/>
        <w:rPr>
          <w:rFonts w:hint="eastAsia" w:ascii="Times New Roman" w:hAnsi="Times New Roman" w:eastAsia="仿宋_GB2312" w:cs="Times New Roman"/>
          <w:color w:val="auto"/>
          <w:sz w:val="32"/>
          <w:szCs w:val="32"/>
          <w:u w:val="single"/>
          <w:lang w:val="en-US" w:eastAsia="zh-CN"/>
        </w:rPr>
      </w:pPr>
      <w:r>
        <w:rPr>
          <w:rFonts w:hint="eastAsia" w:ascii="Times New Roman" w:hAnsi="Times New Roman" w:eastAsia="仿宋_GB2312" w:cs="Times New Roman"/>
          <w:b/>
          <w:bCs/>
          <w:color w:val="auto"/>
          <w:sz w:val="32"/>
          <w:szCs w:val="32"/>
          <w:u w:val="single"/>
        </w:rPr>
        <w:t>电话：</w:t>
      </w:r>
      <w:r>
        <w:rPr>
          <w:rFonts w:hint="default" w:ascii="Times New Roman" w:hAnsi="Times New Roman" w:eastAsia="仿宋_GB2312" w:cs="Times New Roman"/>
          <w:color w:val="auto"/>
          <w:sz w:val="32"/>
          <w:szCs w:val="32"/>
          <w:u w:val="single"/>
          <w:lang w:val="en-US" w:eastAsia="zh-CN"/>
        </w:rPr>
        <w:t>37223600</w:t>
      </w:r>
    </w:p>
    <w:p>
      <w:pPr>
        <w:pStyle w:val="2"/>
        <w:rPr>
          <w:rFonts w:hint="eastAsia"/>
          <w:color w:val="auto"/>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一、基本信息</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机构名称：贵州关岭农村商业银行股份有限公司；</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地址：贵州省安顺市关岭布依族苗族自治县滨河西路</w:t>
      </w:r>
      <w:r>
        <w:rPr>
          <w:rFonts w:hint="default" w:ascii="Times New Roman" w:hAnsi="Times New Roman" w:eastAsia="仿宋_GB2312"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号；</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统一社会信用代码：</w:t>
      </w:r>
      <w:r>
        <w:rPr>
          <w:rFonts w:hint="default" w:ascii="Times New Roman" w:hAnsi="Times New Roman" w:eastAsia="仿宋_GB2312" w:cs="Times New Roman"/>
          <w:b w:val="0"/>
          <w:bCs w:val="0"/>
          <w:color w:val="auto"/>
          <w:sz w:val="32"/>
          <w:szCs w:val="32"/>
          <w:highlight w:val="none"/>
          <w:lang w:val="en-US" w:eastAsia="zh-CN"/>
        </w:rPr>
        <w:t>91520400</w:t>
      </w:r>
      <w:r>
        <w:rPr>
          <w:rFonts w:hint="eastAsia" w:ascii="仿宋_GB2312" w:hAnsi="仿宋_GB2312" w:eastAsia="仿宋_GB2312" w:cs="仿宋_GB2312"/>
          <w:b w:val="0"/>
          <w:bCs w:val="0"/>
          <w:color w:val="auto"/>
          <w:sz w:val="32"/>
          <w:szCs w:val="32"/>
          <w:highlight w:val="none"/>
          <w:lang w:val="en-US" w:eastAsia="zh-CN"/>
        </w:rPr>
        <w:t>MA</w:t>
      </w:r>
      <w:r>
        <w:rPr>
          <w:rFonts w:hint="default" w:ascii="Times New Roman" w:hAnsi="Times New Roman" w:eastAsia="仿宋_GB2312"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val="en-US" w:eastAsia="zh-CN"/>
        </w:rPr>
        <w:t>DK</w:t>
      </w:r>
      <w:r>
        <w:rPr>
          <w:rFonts w:hint="default" w:ascii="Times New Roman" w:hAnsi="Times New Roman" w:eastAsia="仿宋_GB2312" w:cs="Times New Roman"/>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val="en-US" w:eastAsia="zh-CN"/>
        </w:rPr>
        <w:t>X</w:t>
      </w:r>
      <w:r>
        <w:rPr>
          <w:rFonts w:hint="default" w:ascii="Times New Roman" w:hAnsi="Times New Roman" w:eastAsia="仿宋_GB2312" w:cs="Times New Roman"/>
          <w:b w:val="0"/>
          <w:bCs w:val="0"/>
          <w:color w:val="auto"/>
          <w:sz w:val="32"/>
          <w:szCs w:val="32"/>
          <w:highlight w:val="none"/>
          <w:lang w:val="en-US" w:eastAsia="zh-CN"/>
        </w:rPr>
        <w:t>97</w:t>
      </w:r>
      <w:r>
        <w:rPr>
          <w:rFonts w:hint="eastAsia" w:ascii="仿宋_GB2312" w:hAnsi="仿宋_GB2312" w:eastAsia="仿宋_GB2312" w:cs="仿宋_GB2312"/>
          <w:b w:val="0"/>
          <w:bCs w:val="0"/>
          <w:color w:val="auto"/>
          <w:sz w:val="32"/>
          <w:szCs w:val="32"/>
          <w:highlight w:val="none"/>
          <w:lang w:val="en-US" w:eastAsia="zh-CN"/>
        </w:rPr>
        <w:t>K；</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法定代表人:喻洋；</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业务类型：吸收公众存款；发放短期、中期和长期贷款；办理国内结算；办理票据承兑与贴现；代理发行、代理兑付、承销政府债券；买卖政府债券、金融债券；从事同业拆借；从事银行卡业务（借记卡）；代理收付款项及代理保险业务；提供保管箱服务；经银行业监督管理机构批准的其他业务。</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二、年度概况及绿色金融发展战略</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为深入落实《中共中央国务院关于加快推进生态文明建设的意见》《中共中央国务院关于完整准确全面贯彻新发展理念做好碳达峰碳中和工作的意见》精神，根据《关于构建绿色金融体系的指导意见》《贵州省农村信用社绿色信贷管理指引》等文件要求，围绕“推动绿色发展”、“促进人与自然和谐共生”的愿景目标，建立健全贵州关岭农村商业银行股份有限公司绿色金融服务体系，持续增强绿色金融供给能力及水平，助力地方实体经济绿色转型发展。</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贵州关岭农村商业银行股份有限公司前身为关岭县农村信用合作联社，始建于</w:t>
      </w:r>
      <w:r>
        <w:rPr>
          <w:rFonts w:hint="default" w:ascii="Times New Roman" w:hAnsi="Times New Roman" w:eastAsia="仿宋_GB2312" w:cs="Times New Roman"/>
          <w:b w:val="0"/>
          <w:bCs w:val="0"/>
          <w:color w:val="auto"/>
          <w:sz w:val="32"/>
          <w:szCs w:val="32"/>
          <w:highlight w:val="none"/>
          <w:lang w:val="en-US" w:eastAsia="zh-CN"/>
        </w:rPr>
        <w:t>1954</w:t>
      </w:r>
      <w:r>
        <w:rPr>
          <w:rFonts w:hint="eastAsia" w:ascii="仿宋_GB2312" w:hAnsi="仿宋_GB2312" w:eastAsia="仿宋_GB2312" w:cs="仿宋_GB2312"/>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lang w:val="en-US" w:eastAsia="zh-CN"/>
        </w:rPr>
        <w:t>2015</w:t>
      </w:r>
      <w:r>
        <w:rPr>
          <w:rFonts w:hint="eastAsia" w:ascii="仿宋_GB2312" w:hAnsi="仿宋_GB2312" w:eastAsia="仿宋_GB2312" w:cs="仿宋_GB2312"/>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lang w:val="en-US" w:eastAsia="zh-CN"/>
        </w:rPr>
        <w:t>月</w:t>
      </w:r>
      <w:r>
        <w:rPr>
          <w:rFonts w:hint="default" w:ascii="Times New Roman" w:hAnsi="Times New Roman" w:eastAsia="仿宋_GB2312" w:cs="Times New Roman"/>
          <w:b w:val="0"/>
          <w:bCs w:val="0"/>
          <w:color w:val="auto"/>
          <w:sz w:val="32"/>
          <w:szCs w:val="32"/>
          <w:highlight w:val="none"/>
          <w:lang w:val="en-US" w:eastAsia="zh-CN"/>
        </w:rPr>
        <w:t>28</w:t>
      </w:r>
      <w:r>
        <w:rPr>
          <w:rFonts w:hint="eastAsia" w:ascii="仿宋_GB2312" w:hAnsi="仿宋_GB2312" w:eastAsia="仿宋_GB2312" w:cs="仿宋_GB2312"/>
          <w:b w:val="0"/>
          <w:bCs w:val="0"/>
          <w:color w:val="auto"/>
          <w:sz w:val="32"/>
          <w:szCs w:val="32"/>
          <w:highlight w:val="none"/>
          <w:lang w:val="en-US" w:eastAsia="zh-CN"/>
        </w:rPr>
        <w:t>日获得贵州省银监局开业批复，于</w:t>
      </w:r>
      <w:r>
        <w:rPr>
          <w:rFonts w:hint="default" w:ascii="Times New Roman" w:hAnsi="Times New Roman" w:eastAsia="仿宋_GB2312" w:cs="Times New Roman"/>
          <w:b w:val="0"/>
          <w:bCs w:val="0"/>
          <w:color w:val="auto"/>
          <w:sz w:val="32"/>
          <w:szCs w:val="32"/>
          <w:highlight w:val="none"/>
          <w:lang w:val="en-US" w:eastAsia="zh-CN"/>
        </w:rPr>
        <w:t>2016</w:t>
      </w:r>
      <w:r>
        <w:rPr>
          <w:rFonts w:hint="eastAsia" w:ascii="仿宋_GB2312" w:hAnsi="仿宋_GB2312" w:eastAsia="仿宋_GB2312" w:cs="仿宋_GB2312"/>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月改制组建为“贵州关岭农村商业银行股份有限公司”。成立</w:t>
      </w:r>
      <w:r>
        <w:rPr>
          <w:rFonts w:hint="default" w:ascii="Times New Roman" w:hAnsi="Times New Roman" w:eastAsia="仿宋_GB2312" w:cs="Times New Roman"/>
          <w:b w:val="0"/>
          <w:bCs w:val="0"/>
          <w:color w:val="auto"/>
          <w:sz w:val="32"/>
          <w:szCs w:val="32"/>
          <w:highlight w:val="none"/>
          <w:lang w:val="en-US" w:eastAsia="zh-CN"/>
        </w:rPr>
        <w:t>60</w:t>
      </w:r>
      <w:r>
        <w:rPr>
          <w:rFonts w:hint="eastAsia" w:ascii="仿宋_GB2312" w:hAnsi="仿宋_GB2312" w:eastAsia="仿宋_GB2312" w:cs="仿宋_GB2312"/>
          <w:b w:val="0"/>
          <w:bCs w:val="0"/>
          <w:color w:val="auto"/>
          <w:sz w:val="32"/>
          <w:szCs w:val="32"/>
          <w:highlight w:val="none"/>
          <w:lang w:val="en-US" w:eastAsia="zh-CN"/>
        </w:rPr>
        <w:t>余年以来始终秉承“根在农村、命在农业、情系农民”的经营理念，目前已成为县内“资产规模最大、存贷款余额最高、支农支小力度最强、金融服务最宽、机构覆盖最广、从业人员最多”的银行业金融机构。</w:t>
      </w:r>
      <w:r>
        <w:rPr>
          <w:rFonts w:hint="default" w:ascii="Times New Roman" w:hAnsi="Times New Roman" w:eastAsia="仿宋_GB2312" w:cs="Times New Roman"/>
          <w:b w:val="0"/>
          <w:bCs w:val="0"/>
          <w:color w:val="auto"/>
          <w:sz w:val="32"/>
          <w:szCs w:val="32"/>
          <w:highlight w:val="none"/>
          <w:lang w:val="en-US" w:eastAsia="zh-CN"/>
        </w:rPr>
        <w:t>2023</w:t>
      </w:r>
      <w:r>
        <w:rPr>
          <w:rFonts w:hint="eastAsia" w:ascii="仿宋_GB2312" w:hAnsi="仿宋_GB2312" w:eastAsia="仿宋_GB2312" w:cs="仿宋_GB2312"/>
          <w:b w:val="0"/>
          <w:bCs w:val="0"/>
          <w:color w:val="auto"/>
          <w:sz w:val="32"/>
          <w:szCs w:val="32"/>
          <w:highlight w:val="none"/>
          <w:lang w:val="en-US" w:eastAsia="zh-CN"/>
        </w:rPr>
        <w:t>年末，设有党委、纪委、共青团、工会、股东大会、董事会、监事会、经营层等组织机构。设办公室、合规风险部等</w:t>
      </w:r>
      <w:r>
        <w:rPr>
          <w:rFonts w:hint="default" w:ascii="Times New Roman" w:hAnsi="Times New Roman" w:eastAsia="仿宋_GB2312" w:cs="Times New Roman"/>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val="en-US" w:eastAsia="zh-CN"/>
        </w:rPr>
        <w:t>个部门，下设营业部、关索支行等营业机构</w:t>
      </w:r>
      <w:r>
        <w:rPr>
          <w:rFonts w:hint="default" w:ascii="Times New Roman" w:hAnsi="Times New Roman" w:eastAsia="仿宋_GB2312" w:cs="Times New Roman"/>
          <w:b w:val="0"/>
          <w:bCs w:val="0"/>
          <w:color w:val="auto"/>
          <w:sz w:val="32"/>
          <w:szCs w:val="32"/>
          <w:highlight w:val="none"/>
          <w:lang w:val="en-US" w:eastAsia="zh-CN"/>
        </w:rPr>
        <w:t>17</w:t>
      </w:r>
      <w:r>
        <w:rPr>
          <w:rFonts w:hint="eastAsia" w:ascii="仿宋_GB2312" w:hAnsi="仿宋_GB2312" w:eastAsia="仿宋_GB2312" w:cs="仿宋_GB2312"/>
          <w:b w:val="0"/>
          <w:bCs w:val="0"/>
          <w:color w:val="auto"/>
          <w:sz w:val="32"/>
          <w:szCs w:val="32"/>
          <w:highlight w:val="none"/>
          <w:lang w:val="en-US" w:eastAsia="zh-CN"/>
        </w:rPr>
        <w:t>个，员工</w:t>
      </w:r>
      <w:r>
        <w:rPr>
          <w:rFonts w:hint="default" w:ascii="Times New Roman" w:hAnsi="Times New Roman" w:eastAsia="仿宋_GB2312" w:cs="Times New Roman"/>
          <w:b w:val="0"/>
          <w:bCs w:val="0"/>
          <w:color w:val="auto"/>
          <w:sz w:val="32"/>
          <w:szCs w:val="32"/>
          <w:highlight w:val="none"/>
          <w:lang w:val="en-US" w:eastAsia="zh-CN"/>
        </w:rPr>
        <w:t>215</w:t>
      </w:r>
      <w:r>
        <w:rPr>
          <w:rFonts w:hint="eastAsia" w:ascii="仿宋_GB2312" w:hAnsi="仿宋_GB2312" w:eastAsia="仿宋_GB2312" w:cs="仿宋_GB2312"/>
          <w:b w:val="0"/>
          <w:bCs w:val="0"/>
          <w:color w:val="auto"/>
          <w:sz w:val="32"/>
          <w:szCs w:val="32"/>
          <w:highlight w:val="none"/>
          <w:lang w:val="en-US" w:eastAsia="zh-CN"/>
        </w:rPr>
        <w:t>人。本科（含）以上学历人数占比达</w:t>
      </w:r>
      <w:r>
        <w:rPr>
          <w:rFonts w:hint="default" w:ascii="Times New Roman" w:hAnsi="Times New Roman" w:eastAsia="仿宋_GB2312" w:cs="Times New Roman"/>
          <w:b w:val="0"/>
          <w:bCs w:val="0"/>
          <w:color w:val="auto"/>
          <w:sz w:val="32"/>
          <w:szCs w:val="32"/>
          <w:highlight w:val="none"/>
          <w:lang w:val="en-US" w:eastAsia="zh-CN"/>
        </w:rPr>
        <w:t>73</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48</w:t>
      </w:r>
      <w:r>
        <w:rPr>
          <w:rFonts w:hint="eastAsia" w:ascii="仿宋_GB2312" w:hAnsi="仿宋_GB2312" w:eastAsia="仿宋_GB2312" w:cs="仿宋_GB2312"/>
          <w:b w:val="0"/>
          <w:bCs w:val="0"/>
          <w:color w:val="auto"/>
          <w:sz w:val="32"/>
          <w:szCs w:val="32"/>
          <w:highlight w:val="none"/>
          <w:lang w:val="en-US" w:eastAsia="zh-CN"/>
        </w:rPr>
        <w:t>%。</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2023</w:t>
      </w:r>
      <w:r>
        <w:rPr>
          <w:rFonts w:hint="eastAsia" w:ascii="仿宋_GB2312" w:hAnsi="仿宋_GB2312" w:eastAsia="仿宋_GB2312" w:cs="仿宋_GB2312"/>
          <w:b w:val="0"/>
          <w:bCs w:val="0"/>
          <w:color w:val="auto"/>
          <w:sz w:val="32"/>
          <w:szCs w:val="32"/>
          <w:highlight w:val="none"/>
          <w:lang w:val="en-US" w:eastAsia="zh-CN"/>
        </w:rPr>
        <w:t>年，本行坚持绿色发展理念，继续推动建设绿色金融体系，进一步推进生态文明建设。截至</w:t>
      </w:r>
      <w:r>
        <w:rPr>
          <w:rFonts w:hint="default" w:ascii="Times New Roman" w:hAnsi="Times New Roman" w:eastAsia="仿宋_GB2312" w:cs="Times New Roman"/>
          <w:b w:val="0"/>
          <w:bCs w:val="0"/>
          <w:color w:val="auto"/>
          <w:sz w:val="32"/>
          <w:szCs w:val="32"/>
          <w:highlight w:val="none"/>
          <w:lang w:val="en-US" w:eastAsia="zh-CN"/>
        </w:rPr>
        <w:t>2023</w:t>
      </w:r>
      <w:r>
        <w:rPr>
          <w:rFonts w:hint="eastAsia" w:ascii="仿宋_GB2312" w:hAnsi="仿宋_GB2312" w:eastAsia="仿宋_GB2312" w:cs="仿宋_GB2312"/>
          <w:b w:val="0"/>
          <w:bCs w:val="0"/>
          <w:color w:val="auto"/>
          <w:sz w:val="32"/>
          <w:szCs w:val="32"/>
          <w:highlight w:val="none"/>
          <w:lang w:val="en-US" w:eastAsia="zh-CN"/>
        </w:rPr>
        <w:t>年末，各项贷款余额</w:t>
      </w:r>
      <w:r>
        <w:rPr>
          <w:rFonts w:hint="default" w:ascii="Times New Roman" w:hAnsi="Times New Roman" w:eastAsia="仿宋_GB2312" w:cs="Times New Roman"/>
          <w:b w:val="0"/>
          <w:bCs w:val="0"/>
          <w:color w:val="auto"/>
          <w:sz w:val="32"/>
          <w:szCs w:val="32"/>
          <w:highlight w:val="none"/>
          <w:lang w:val="en-US" w:eastAsia="zh-CN"/>
        </w:rPr>
        <w:t>41</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70</w:t>
      </w:r>
      <w:r>
        <w:rPr>
          <w:rFonts w:hint="eastAsia" w:ascii="仿宋_GB2312" w:hAnsi="仿宋_GB2312" w:eastAsia="仿宋_GB2312" w:cs="仿宋_GB2312"/>
          <w:b w:val="0"/>
          <w:bCs w:val="0"/>
          <w:color w:val="auto"/>
          <w:sz w:val="32"/>
          <w:szCs w:val="32"/>
          <w:highlight w:val="none"/>
          <w:lang w:val="en-US" w:eastAsia="zh-CN"/>
        </w:rPr>
        <w:t>亿元，其中绿色贷款</w:t>
      </w:r>
      <w:r>
        <w:rPr>
          <w:rFonts w:hint="default" w:ascii="Times New Roman" w:hAnsi="Times New Roman" w:eastAsia="仿宋_GB2312" w:cs="Times New Roman"/>
          <w:b w:val="0"/>
          <w:bCs w:val="0"/>
          <w:color w:val="auto"/>
          <w:sz w:val="32"/>
          <w:szCs w:val="32"/>
          <w:highlight w:val="none"/>
          <w:lang w:val="en-US" w:eastAsia="zh-CN"/>
        </w:rPr>
        <w:t>228</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92</w:t>
      </w:r>
      <w:r>
        <w:rPr>
          <w:rFonts w:hint="eastAsia" w:ascii="仿宋_GB2312" w:hAnsi="仿宋_GB2312" w:eastAsia="仿宋_GB2312" w:cs="仿宋_GB2312"/>
          <w:b w:val="0"/>
          <w:bCs w:val="0"/>
          <w:color w:val="auto"/>
          <w:sz w:val="32"/>
          <w:szCs w:val="32"/>
          <w:highlight w:val="none"/>
          <w:lang w:val="en-US" w:eastAsia="zh-CN"/>
        </w:rPr>
        <w:t>万元、占各项贷款比例</w:t>
      </w:r>
      <w:r>
        <w:rPr>
          <w:rFonts w:hint="default" w:ascii="Times New Roman" w:hAnsi="Times New Roman" w:eastAsia="仿宋_GB2312" w:cs="Times New Roman"/>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05</w:t>
      </w:r>
      <w:r>
        <w:rPr>
          <w:rFonts w:hint="eastAsia" w:ascii="仿宋_GB2312" w:hAnsi="仿宋_GB2312" w:eastAsia="仿宋_GB2312" w:cs="仿宋_GB2312"/>
          <w:b w:val="0"/>
          <w:bCs w:val="0"/>
          <w:color w:val="auto"/>
          <w:sz w:val="32"/>
          <w:szCs w:val="32"/>
          <w:highlight w:val="none"/>
          <w:lang w:val="en-US" w:eastAsia="zh-CN"/>
        </w:rPr>
        <w:t>%，绿色普惠贷款</w:t>
      </w:r>
      <w:r>
        <w:rPr>
          <w:rFonts w:hint="default" w:ascii="Times New Roman" w:hAnsi="Times New Roman" w:eastAsia="仿宋_GB2312" w:cs="Times New Roman"/>
          <w:b w:val="0"/>
          <w:bCs w:val="0"/>
          <w:color w:val="auto"/>
          <w:kern w:val="2"/>
          <w:sz w:val="32"/>
          <w:szCs w:val="32"/>
          <w:highlight w:val="none"/>
          <w:lang w:val="en-US" w:eastAsia="zh-CN" w:bidi="ar-SA"/>
        </w:rPr>
        <w:t>46199</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67</w:t>
      </w:r>
      <w:r>
        <w:rPr>
          <w:rFonts w:hint="eastAsia" w:ascii="仿宋_GB2312" w:hAnsi="仿宋_GB2312" w:eastAsia="仿宋_GB2312" w:cs="仿宋_GB2312"/>
          <w:b w:val="0"/>
          <w:bCs w:val="0"/>
          <w:color w:val="auto"/>
          <w:kern w:val="2"/>
          <w:sz w:val="32"/>
          <w:szCs w:val="32"/>
          <w:highlight w:val="none"/>
          <w:lang w:val="en-US" w:eastAsia="zh-CN" w:bidi="ar-SA"/>
        </w:rPr>
        <w:t>万元</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占各项贷款比例</w:t>
      </w:r>
      <w:r>
        <w:rPr>
          <w:rFonts w:hint="default" w:ascii="Times New Roman" w:hAnsi="Times New Roman" w:eastAsia="仿宋_GB2312" w:cs="Times New Roman"/>
          <w:b w:val="0"/>
          <w:bCs w:val="0"/>
          <w:color w:val="auto"/>
          <w:kern w:val="2"/>
          <w:sz w:val="32"/>
          <w:szCs w:val="32"/>
          <w:highlight w:val="none"/>
          <w:lang w:val="en-US" w:eastAsia="zh-CN" w:bidi="ar-SA"/>
        </w:rPr>
        <w:t>9</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02</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sz w:val="32"/>
          <w:szCs w:val="32"/>
          <w:highlight w:val="none"/>
          <w:lang w:val="en-US" w:eastAsia="zh-CN"/>
        </w:rPr>
        <w:t>有效支持辖内有机食用菌产业群项目、茶场经营以及关岭牛地理标志产业等。</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三、环境及绿色金融相关治理结构</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在习近平生态文明思想的指引下，本行深入贯彻落实新发展理念，把金融支持乡村绿色振兴、引导广大普惠群体践行绿色生产生活方式作为党建和业务的重要内容，以党建引领绿色普惠金融发展，强化党建工作和高质量发展有机统一，有效推动绿色发展成为转型发展的主色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b w:val="0"/>
          <w:bCs w:val="0"/>
          <w:color w:val="auto"/>
          <w:sz w:val="32"/>
          <w:szCs w:val="32"/>
          <w:lang w:val="en-US" w:eastAsia="zh-CN"/>
        </w:rPr>
      </w:pPr>
      <w:bookmarkStart w:id="6" w:name="_Toc17652_WPSOffice_Level2"/>
      <w:r>
        <w:rPr>
          <w:rFonts w:hint="eastAsia" w:ascii="楷体_GB2312" w:hAnsi="楷体_GB2312" w:eastAsia="楷体_GB2312" w:cs="楷体_GB2312"/>
          <w:b w:val="0"/>
          <w:bCs w:val="0"/>
          <w:color w:val="auto"/>
          <w:sz w:val="32"/>
          <w:szCs w:val="32"/>
          <w:lang w:val="en-US" w:eastAsia="zh-CN"/>
        </w:rPr>
        <w:t>（一）董事会层面</w:t>
      </w:r>
      <w:bookmarkEnd w:id="6"/>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行积极推进节约、环保、可持续发展等绿色金融理念与发展战略和经营管理相融合，制定绿色金融发展战略和目标，董事会审批听取高级管理层在绿色金融方面的工作报告，监督、评估本行绿色金融发展战略执行情况等。本行制定《关岭农商银行绿色金融发展战略规划》，围绕“业务结构绿色化转型”、“绿色金融产品创新”、“绿色‘五专’机制建设”、“气候、环境与社会风险管理”、“绿色价值观和企业文化建设”五条主线，明确提出五大主要发展目标，更好地促进地方经济结构优化升级和自身运营绿色转型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color w:val="auto"/>
          <w:sz w:val="32"/>
          <w:szCs w:val="32"/>
          <w:lang w:val="en-US" w:eastAsia="zh-CN"/>
        </w:rPr>
      </w:pPr>
      <w:bookmarkStart w:id="7" w:name="_Toc15517_WPSOffice_Level2"/>
      <w:r>
        <w:rPr>
          <w:rFonts w:hint="eastAsia" w:ascii="楷体_GB2312" w:hAnsi="楷体_GB2312" w:eastAsia="楷体_GB2312" w:cs="楷体_GB2312"/>
          <w:color w:val="auto"/>
          <w:sz w:val="32"/>
          <w:szCs w:val="32"/>
          <w:lang w:val="en-US" w:eastAsia="zh-CN"/>
        </w:rPr>
        <w:t>（二）高级管理层层面</w:t>
      </w:r>
      <w:bookmarkEnd w:id="7"/>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高级管理层根据董事会的决定，制定绿色信贷目标，建立相应机制和流程，明确职责和权限，负责督导绿色信贷战略的有效实施，每年度向董事会报告绿色信贷发展情况。明确一名高管人员负责牵头绿色信贷工作，组织开展并归口管理绿色信贷各项工作，加快推进绿色、低碳、循环经济建设，加强环境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color w:val="auto"/>
          <w:sz w:val="32"/>
          <w:szCs w:val="32"/>
          <w:lang w:val="en-US" w:eastAsia="zh-CN"/>
        </w:rPr>
      </w:pPr>
      <w:bookmarkStart w:id="8" w:name="_Toc7831_WPSOffice_Level2"/>
      <w:r>
        <w:rPr>
          <w:rFonts w:hint="eastAsia" w:ascii="楷体_GB2312" w:hAnsi="楷体_GB2312" w:eastAsia="楷体_GB2312" w:cs="楷体_GB2312"/>
          <w:color w:val="auto"/>
          <w:sz w:val="32"/>
          <w:szCs w:val="32"/>
          <w:lang w:val="en-US" w:eastAsia="zh-CN"/>
        </w:rPr>
        <w:t>（三）专业部门层面</w:t>
      </w:r>
      <w:bookmarkEnd w:id="8"/>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本行成立了以董事长为组长的绿色信贷工作领导小组，明确业务发展部为牵头部门，负责开展绿色信贷各项相关工作，在《关岭农商银行绿色信贷管理办法》中对相关机制和流程作出规定，明确各部门各岗位的职责权限。</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四、环境及绿色金融相关政策制度</w:t>
      </w:r>
    </w:p>
    <w:tbl>
      <w:tblPr>
        <w:tblStyle w:val="11"/>
        <w:tblW w:w="8473" w:type="dxa"/>
        <w:tblInd w:w="0" w:type="dxa"/>
        <w:shd w:val="clear" w:color="auto" w:fill="auto"/>
        <w:tblLayout w:type="fixed"/>
        <w:tblCellMar>
          <w:top w:w="0" w:type="dxa"/>
          <w:left w:w="0" w:type="dxa"/>
          <w:bottom w:w="0" w:type="dxa"/>
          <w:right w:w="0" w:type="dxa"/>
        </w:tblCellMar>
      </w:tblPr>
      <w:tblGrid>
        <w:gridCol w:w="1017"/>
        <w:gridCol w:w="7456"/>
      </w:tblGrid>
      <w:tr>
        <w:tblPrEx>
          <w:shd w:val="clear" w:color="auto" w:fill="auto"/>
          <w:tblCellMar>
            <w:top w:w="0" w:type="dxa"/>
            <w:left w:w="0" w:type="dxa"/>
            <w:bottom w:w="0" w:type="dxa"/>
            <w:right w:w="0" w:type="dxa"/>
          </w:tblCellMar>
        </w:tblPrEx>
        <w:trPr>
          <w:trHeight w:val="288" w:hRule="atLeast"/>
        </w:trPr>
        <w:tc>
          <w:tcPr>
            <w:tcW w:w="84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bookmarkStart w:id="9" w:name="_Toc26808_WPSOffice_Level2"/>
            <w:r>
              <w:rPr>
                <w:rFonts w:hint="eastAsia" w:ascii="宋体" w:hAnsi="宋体" w:eastAsia="宋体" w:cs="宋体"/>
                <w:i w:val="0"/>
                <w:color w:val="auto"/>
                <w:kern w:val="0"/>
                <w:sz w:val="22"/>
                <w:szCs w:val="22"/>
                <w:u w:val="none"/>
                <w:lang w:val="en-US" w:eastAsia="zh-CN" w:bidi="ar"/>
              </w:rPr>
              <w:t>关岭农商银行印发的绿色金融重要政策清单</w:t>
            </w:r>
          </w:p>
        </w:tc>
      </w:tr>
      <w:tr>
        <w:tblPrEx>
          <w:shd w:val="clear" w:color="auto" w:fill="auto"/>
          <w:tblCellMar>
            <w:top w:w="0" w:type="dxa"/>
            <w:left w:w="0" w:type="dxa"/>
            <w:bottom w:w="0" w:type="dxa"/>
            <w:right w:w="0" w:type="dxa"/>
          </w:tblCellMar>
        </w:tblPrEx>
        <w:trPr>
          <w:trHeight w:val="446"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序号</w:t>
            </w:r>
          </w:p>
        </w:tc>
        <w:tc>
          <w:tcPr>
            <w:tcW w:w="7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文件名称</w:t>
            </w:r>
          </w:p>
        </w:tc>
      </w:tr>
      <w:tr>
        <w:tblPrEx>
          <w:shd w:val="clear" w:color="auto" w:fill="auto"/>
          <w:tblCellMar>
            <w:top w:w="0" w:type="dxa"/>
            <w:left w:w="0" w:type="dxa"/>
            <w:bottom w:w="0" w:type="dxa"/>
            <w:right w:w="0" w:type="dxa"/>
          </w:tblCellMar>
        </w:tblPrEx>
        <w:trPr>
          <w:trHeight w:val="288"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7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《省联社办公室关于印发</w:t>
            </w:r>
            <w:r>
              <w:rPr>
                <w:rFonts w:hint="default" w:ascii="Times New Roman" w:hAnsi="Times New Roman" w:eastAsia="宋体" w:cs="Times New Roman"/>
                <w:i w:val="0"/>
                <w:color w:val="auto"/>
                <w:kern w:val="0"/>
                <w:sz w:val="16"/>
                <w:szCs w:val="16"/>
                <w:u w:val="none"/>
                <w:lang w:val="en-US" w:eastAsia="zh-CN" w:bidi="ar"/>
              </w:rPr>
              <w:t>&lt;</w:t>
            </w:r>
            <w:r>
              <w:rPr>
                <w:rFonts w:hint="eastAsia" w:ascii="宋体" w:hAnsi="宋体" w:eastAsia="宋体" w:cs="宋体"/>
                <w:i w:val="0"/>
                <w:color w:val="auto"/>
                <w:kern w:val="0"/>
                <w:sz w:val="16"/>
                <w:szCs w:val="16"/>
                <w:u w:val="none"/>
                <w:lang w:val="en-US" w:eastAsia="zh-CN" w:bidi="ar"/>
              </w:rPr>
              <w:t>贵州省农村信用社绿色信贷管理指引</w:t>
            </w:r>
            <w:r>
              <w:rPr>
                <w:rFonts w:hint="default" w:ascii="Times New Roman" w:hAnsi="Times New Roman" w:eastAsia="宋体" w:cs="Times New Roman"/>
                <w:i w:val="0"/>
                <w:color w:val="auto"/>
                <w:kern w:val="0"/>
                <w:sz w:val="16"/>
                <w:szCs w:val="16"/>
                <w:u w:val="none"/>
                <w:lang w:val="en-US" w:eastAsia="zh-CN" w:bidi="ar"/>
              </w:rPr>
              <w:t>&gt;</w:t>
            </w:r>
            <w:r>
              <w:rPr>
                <w:rFonts w:hint="eastAsia" w:ascii="宋体" w:hAnsi="宋体" w:eastAsia="宋体" w:cs="宋体"/>
                <w:i w:val="0"/>
                <w:color w:val="auto"/>
                <w:kern w:val="0"/>
                <w:sz w:val="16"/>
                <w:szCs w:val="16"/>
                <w:u w:val="none"/>
                <w:lang w:val="en-US" w:eastAsia="zh-CN" w:bidi="ar"/>
              </w:rPr>
              <w:t>的通知》（黔农信办发〔</w:t>
            </w:r>
            <w:r>
              <w:rPr>
                <w:rFonts w:hint="default" w:ascii="Times New Roman" w:hAnsi="Times New Roman" w:eastAsia="宋体" w:cs="Times New Roman"/>
                <w:i w:val="0"/>
                <w:color w:val="auto"/>
                <w:kern w:val="0"/>
                <w:sz w:val="16"/>
                <w:szCs w:val="16"/>
                <w:u w:val="none"/>
                <w:lang w:val="en-US" w:eastAsia="zh-CN" w:bidi="ar"/>
              </w:rPr>
              <w:t>2020</w:t>
            </w:r>
            <w:r>
              <w:rPr>
                <w:rFonts w:hint="eastAsia" w:ascii="宋体" w:hAnsi="宋体" w:eastAsia="宋体" w:cs="宋体"/>
                <w:i w:val="0"/>
                <w:color w:val="auto"/>
                <w:kern w:val="0"/>
                <w:sz w:val="16"/>
                <w:szCs w:val="16"/>
                <w:u w:val="none"/>
                <w:lang w:val="en-US" w:eastAsia="zh-CN" w:bidi="ar"/>
              </w:rPr>
              <w:t>〕</w:t>
            </w:r>
            <w:r>
              <w:rPr>
                <w:rFonts w:hint="default" w:ascii="Times New Roman" w:hAnsi="Times New Roman" w:eastAsia="宋体" w:cs="Times New Roman"/>
                <w:i w:val="0"/>
                <w:color w:val="auto"/>
                <w:kern w:val="0"/>
                <w:sz w:val="16"/>
                <w:szCs w:val="16"/>
                <w:u w:val="none"/>
                <w:lang w:val="en-US" w:eastAsia="zh-CN" w:bidi="ar"/>
              </w:rPr>
              <w:t>452</w:t>
            </w:r>
            <w:r>
              <w:rPr>
                <w:rFonts w:hint="eastAsia" w:ascii="宋体" w:hAnsi="宋体" w:eastAsia="宋体" w:cs="宋体"/>
                <w:i w:val="0"/>
                <w:color w:val="auto"/>
                <w:kern w:val="0"/>
                <w:sz w:val="16"/>
                <w:szCs w:val="16"/>
                <w:u w:val="none"/>
                <w:lang w:val="en-US" w:eastAsia="zh-CN" w:bidi="ar"/>
              </w:rPr>
              <w:t>号）</w:t>
            </w:r>
          </w:p>
        </w:tc>
      </w:tr>
      <w:tr>
        <w:tblPrEx>
          <w:shd w:val="clear" w:color="auto" w:fill="auto"/>
          <w:tblCellMar>
            <w:top w:w="0" w:type="dxa"/>
            <w:left w:w="0" w:type="dxa"/>
            <w:bottom w:w="0" w:type="dxa"/>
            <w:right w:w="0" w:type="dxa"/>
          </w:tblCellMar>
        </w:tblPrEx>
        <w:trPr>
          <w:trHeight w:val="408"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7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《省联社办公室关于印发贵州省农村信用社加强绿色金融建设助力碳达峰碳中和指导意见（</w:t>
            </w:r>
            <w:r>
              <w:rPr>
                <w:rFonts w:hint="default" w:ascii="Times New Roman" w:hAnsi="Times New Roman" w:eastAsia="宋体" w:cs="Times New Roman"/>
                <w:i w:val="0"/>
                <w:color w:val="auto"/>
                <w:kern w:val="0"/>
                <w:sz w:val="16"/>
                <w:szCs w:val="16"/>
                <w:u w:val="none"/>
                <w:lang w:val="en-US" w:eastAsia="zh-CN" w:bidi="ar"/>
              </w:rPr>
              <w:t>2021</w:t>
            </w:r>
            <w:r>
              <w:rPr>
                <w:rFonts w:hint="default" w:ascii="Times New Roman" w:hAnsi="Times New Roman" w:eastAsia="宋体" w:cs="Times New Roman"/>
                <w:i w:val="0"/>
                <w:color w:val="auto"/>
                <w:kern w:val="0"/>
                <w:sz w:val="16"/>
                <w:szCs w:val="16"/>
                <w:u w:val="none"/>
                <w:lang w:val="en-US" w:eastAsia="zh-CN" w:bidi="ar"/>
              </w:rPr>
              <w:t>-</w:t>
            </w:r>
            <w:r>
              <w:rPr>
                <w:rFonts w:hint="default" w:ascii="Times New Roman" w:hAnsi="Times New Roman" w:eastAsia="宋体" w:cs="Times New Roman"/>
                <w:i w:val="0"/>
                <w:color w:val="auto"/>
                <w:kern w:val="0"/>
                <w:sz w:val="16"/>
                <w:szCs w:val="16"/>
                <w:u w:val="none"/>
                <w:lang w:val="en-US" w:eastAsia="zh-CN" w:bidi="ar"/>
              </w:rPr>
              <w:t>2025</w:t>
            </w:r>
            <w:r>
              <w:rPr>
                <w:rFonts w:hint="eastAsia" w:ascii="宋体" w:hAnsi="宋体" w:eastAsia="宋体" w:cs="宋体"/>
                <w:i w:val="0"/>
                <w:color w:val="auto"/>
                <w:kern w:val="0"/>
                <w:sz w:val="16"/>
                <w:szCs w:val="16"/>
                <w:u w:val="none"/>
                <w:lang w:val="en-US" w:eastAsia="zh-CN" w:bidi="ar"/>
              </w:rPr>
              <w:t>年）的通知》（黔农信办发〔</w:t>
            </w:r>
            <w:r>
              <w:rPr>
                <w:rFonts w:hint="default" w:ascii="Times New Roman" w:hAnsi="Times New Roman" w:eastAsia="宋体" w:cs="Times New Roman"/>
                <w:i w:val="0"/>
                <w:color w:val="auto"/>
                <w:kern w:val="0"/>
                <w:sz w:val="16"/>
                <w:szCs w:val="16"/>
                <w:u w:val="none"/>
                <w:lang w:val="en-US" w:eastAsia="zh-CN" w:bidi="ar"/>
              </w:rPr>
              <w:t>2021</w:t>
            </w:r>
            <w:r>
              <w:rPr>
                <w:rFonts w:hint="eastAsia" w:ascii="宋体" w:hAnsi="宋体" w:eastAsia="宋体" w:cs="宋体"/>
                <w:i w:val="0"/>
                <w:color w:val="auto"/>
                <w:kern w:val="0"/>
                <w:sz w:val="16"/>
                <w:szCs w:val="16"/>
                <w:u w:val="none"/>
                <w:lang w:val="en-US" w:eastAsia="zh-CN" w:bidi="ar"/>
              </w:rPr>
              <w:t>〕</w:t>
            </w:r>
            <w:r>
              <w:rPr>
                <w:rFonts w:hint="default" w:ascii="Times New Roman" w:hAnsi="Times New Roman" w:eastAsia="宋体" w:cs="Times New Roman"/>
                <w:i w:val="0"/>
                <w:color w:val="auto"/>
                <w:kern w:val="0"/>
                <w:sz w:val="16"/>
                <w:szCs w:val="16"/>
                <w:u w:val="none"/>
                <w:lang w:val="en-US" w:eastAsia="zh-CN" w:bidi="ar"/>
              </w:rPr>
              <w:t>318</w:t>
            </w:r>
            <w:r>
              <w:rPr>
                <w:rFonts w:hint="eastAsia" w:ascii="宋体" w:hAnsi="宋体" w:eastAsia="宋体" w:cs="宋体"/>
                <w:i w:val="0"/>
                <w:color w:val="auto"/>
                <w:kern w:val="0"/>
                <w:sz w:val="16"/>
                <w:szCs w:val="16"/>
                <w:u w:val="none"/>
                <w:lang w:val="en-US" w:eastAsia="zh-CN" w:bidi="ar"/>
              </w:rPr>
              <w:t>号）</w:t>
            </w:r>
          </w:p>
        </w:tc>
      </w:tr>
      <w:tr>
        <w:tblPrEx>
          <w:shd w:val="clear" w:color="auto" w:fill="auto"/>
          <w:tblCellMar>
            <w:top w:w="0" w:type="dxa"/>
            <w:left w:w="0" w:type="dxa"/>
            <w:bottom w:w="0" w:type="dxa"/>
            <w:right w:w="0" w:type="dxa"/>
          </w:tblCellMar>
        </w:tblPrEx>
        <w:trPr>
          <w:trHeight w:val="288"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w:t>
            </w:r>
          </w:p>
        </w:tc>
        <w:tc>
          <w:tcPr>
            <w:tcW w:w="7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《中国人民银行贵州省分行关于开展</w:t>
            </w:r>
            <w:r>
              <w:rPr>
                <w:rFonts w:hint="default" w:ascii="Times New Roman" w:hAnsi="Times New Roman" w:eastAsia="宋体" w:cs="Times New Roman"/>
                <w:i w:val="0"/>
                <w:color w:val="auto"/>
                <w:kern w:val="0"/>
                <w:sz w:val="16"/>
                <w:szCs w:val="16"/>
                <w:u w:val="none"/>
                <w:lang w:val="en-US" w:eastAsia="zh-CN" w:bidi="ar"/>
              </w:rPr>
              <w:t>2023</w:t>
            </w:r>
            <w:r>
              <w:rPr>
                <w:rFonts w:hint="eastAsia" w:ascii="宋体" w:hAnsi="宋体" w:eastAsia="宋体" w:cs="宋体"/>
                <w:i w:val="0"/>
                <w:color w:val="auto"/>
                <w:kern w:val="0"/>
                <w:sz w:val="16"/>
                <w:szCs w:val="16"/>
                <w:u w:val="none"/>
                <w:lang w:val="en-US" w:eastAsia="zh-CN" w:bidi="ar"/>
              </w:rPr>
              <w:t>年度金融机构环境信息披露工作的通知》（贵银发〔</w:t>
            </w:r>
            <w:r>
              <w:rPr>
                <w:rFonts w:hint="default" w:ascii="Times New Roman" w:hAnsi="Times New Roman" w:eastAsia="宋体" w:cs="Times New Roman"/>
                <w:i w:val="0"/>
                <w:color w:val="auto"/>
                <w:kern w:val="0"/>
                <w:sz w:val="16"/>
                <w:szCs w:val="16"/>
                <w:u w:val="none"/>
                <w:lang w:val="en-US" w:eastAsia="zh-CN" w:bidi="ar"/>
              </w:rPr>
              <w:t>2024</w:t>
            </w:r>
            <w:r>
              <w:rPr>
                <w:rFonts w:hint="eastAsia" w:ascii="宋体" w:hAnsi="宋体" w:eastAsia="宋体" w:cs="宋体"/>
                <w:i w:val="0"/>
                <w:color w:val="auto"/>
                <w:kern w:val="0"/>
                <w:sz w:val="16"/>
                <w:szCs w:val="16"/>
                <w:u w:val="none"/>
                <w:lang w:val="en-US" w:eastAsia="zh-CN" w:bidi="ar"/>
              </w:rPr>
              <w:t>〕</w:t>
            </w:r>
            <w:r>
              <w:rPr>
                <w:rFonts w:hint="default" w:ascii="Times New Roman" w:hAnsi="Times New Roman" w:eastAsia="宋体" w:cs="Times New Roman"/>
                <w:i w:val="0"/>
                <w:color w:val="auto"/>
                <w:kern w:val="0"/>
                <w:sz w:val="16"/>
                <w:szCs w:val="16"/>
                <w:u w:val="none"/>
                <w:lang w:val="en-US" w:eastAsia="zh-CN" w:bidi="ar"/>
              </w:rPr>
              <w:t>13</w:t>
            </w:r>
            <w:r>
              <w:rPr>
                <w:rFonts w:hint="eastAsia" w:ascii="宋体" w:hAnsi="宋体" w:eastAsia="宋体" w:cs="宋体"/>
                <w:i w:val="0"/>
                <w:color w:val="auto"/>
                <w:kern w:val="0"/>
                <w:sz w:val="16"/>
                <w:szCs w:val="16"/>
                <w:u w:val="none"/>
                <w:lang w:val="en-US" w:eastAsia="zh-CN" w:bidi="ar"/>
              </w:rPr>
              <w:t>号）</w:t>
            </w:r>
          </w:p>
        </w:tc>
      </w:tr>
      <w:tr>
        <w:tblPrEx>
          <w:shd w:val="clear" w:color="auto" w:fill="auto"/>
          <w:tblCellMar>
            <w:top w:w="0" w:type="dxa"/>
            <w:left w:w="0" w:type="dxa"/>
            <w:bottom w:w="0" w:type="dxa"/>
            <w:right w:w="0" w:type="dxa"/>
          </w:tblCellMar>
        </w:tblPrEx>
        <w:trPr>
          <w:trHeight w:val="288"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w:t>
            </w:r>
          </w:p>
        </w:tc>
        <w:tc>
          <w:tcPr>
            <w:tcW w:w="7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《关岭农商银行办公室关于成立绿色金融工作领导小组的通知》（关农商办发〔</w:t>
            </w:r>
            <w:r>
              <w:rPr>
                <w:rFonts w:hint="default" w:ascii="Times New Roman" w:hAnsi="Times New Roman" w:eastAsia="宋体" w:cs="Times New Roman"/>
                <w:i w:val="0"/>
                <w:color w:val="auto"/>
                <w:kern w:val="0"/>
                <w:sz w:val="16"/>
                <w:szCs w:val="16"/>
                <w:u w:val="none"/>
                <w:lang w:val="en-US" w:eastAsia="zh-CN" w:bidi="ar"/>
              </w:rPr>
              <w:t>2023</w:t>
            </w:r>
            <w:r>
              <w:rPr>
                <w:rFonts w:hint="eastAsia" w:ascii="宋体" w:hAnsi="宋体" w:eastAsia="宋体" w:cs="宋体"/>
                <w:i w:val="0"/>
                <w:color w:val="auto"/>
                <w:kern w:val="0"/>
                <w:sz w:val="16"/>
                <w:szCs w:val="16"/>
                <w:u w:val="none"/>
                <w:lang w:val="en-US" w:eastAsia="zh-CN" w:bidi="ar"/>
              </w:rPr>
              <w:t>〕</w:t>
            </w:r>
            <w:r>
              <w:rPr>
                <w:rFonts w:hint="default" w:ascii="Times New Roman" w:hAnsi="Times New Roman" w:eastAsia="宋体" w:cs="Times New Roman"/>
                <w:i w:val="0"/>
                <w:color w:val="auto"/>
                <w:kern w:val="0"/>
                <w:sz w:val="16"/>
                <w:szCs w:val="16"/>
                <w:u w:val="none"/>
                <w:lang w:val="en-US" w:eastAsia="zh-CN" w:bidi="ar"/>
              </w:rPr>
              <w:t>193</w:t>
            </w:r>
            <w:r>
              <w:rPr>
                <w:rFonts w:hint="eastAsia" w:ascii="宋体" w:hAnsi="宋体" w:eastAsia="宋体" w:cs="宋体"/>
                <w:i w:val="0"/>
                <w:color w:val="auto"/>
                <w:kern w:val="0"/>
                <w:sz w:val="16"/>
                <w:szCs w:val="16"/>
                <w:u w:val="none"/>
                <w:lang w:val="en-US" w:eastAsia="zh-CN" w:bidi="ar"/>
              </w:rPr>
              <w:t>号）</w:t>
            </w:r>
          </w:p>
        </w:tc>
      </w:tr>
      <w:tr>
        <w:tblPrEx>
          <w:shd w:val="clear" w:color="auto" w:fill="auto"/>
          <w:tblCellMar>
            <w:top w:w="0" w:type="dxa"/>
            <w:left w:w="0" w:type="dxa"/>
            <w:bottom w:w="0" w:type="dxa"/>
            <w:right w:w="0" w:type="dxa"/>
          </w:tblCellMar>
        </w:tblPrEx>
        <w:trPr>
          <w:trHeight w:val="288"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w:t>
            </w:r>
          </w:p>
        </w:tc>
        <w:tc>
          <w:tcPr>
            <w:tcW w:w="7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《关岭农商银行绿色金融发展战略规划》（关农商办发〔</w:t>
            </w:r>
            <w:r>
              <w:rPr>
                <w:rFonts w:hint="default" w:ascii="Times New Roman" w:hAnsi="Times New Roman" w:eastAsia="宋体" w:cs="Times New Roman"/>
                <w:i w:val="0"/>
                <w:color w:val="auto"/>
                <w:kern w:val="0"/>
                <w:sz w:val="16"/>
                <w:szCs w:val="16"/>
                <w:u w:val="none"/>
                <w:lang w:val="en-US" w:eastAsia="zh-CN" w:bidi="ar"/>
              </w:rPr>
              <w:t>2021</w:t>
            </w:r>
            <w:r>
              <w:rPr>
                <w:rFonts w:hint="eastAsia" w:ascii="宋体" w:hAnsi="宋体" w:eastAsia="宋体" w:cs="宋体"/>
                <w:i w:val="0"/>
                <w:color w:val="auto"/>
                <w:kern w:val="0"/>
                <w:sz w:val="16"/>
                <w:szCs w:val="16"/>
                <w:u w:val="none"/>
                <w:lang w:val="en-US" w:eastAsia="zh-CN" w:bidi="ar"/>
              </w:rPr>
              <w:t>〕</w:t>
            </w:r>
            <w:r>
              <w:rPr>
                <w:rFonts w:hint="default" w:ascii="Times New Roman" w:hAnsi="Times New Roman" w:eastAsia="宋体" w:cs="Times New Roman"/>
                <w:i w:val="0"/>
                <w:color w:val="auto"/>
                <w:kern w:val="0"/>
                <w:sz w:val="16"/>
                <w:szCs w:val="16"/>
                <w:u w:val="none"/>
                <w:lang w:val="en-US" w:eastAsia="zh-CN" w:bidi="ar"/>
              </w:rPr>
              <w:t>317</w:t>
            </w:r>
            <w:r>
              <w:rPr>
                <w:rFonts w:hint="eastAsia" w:ascii="宋体" w:hAnsi="宋体" w:eastAsia="宋体" w:cs="宋体"/>
                <w:i w:val="0"/>
                <w:color w:val="auto"/>
                <w:kern w:val="0"/>
                <w:sz w:val="16"/>
                <w:szCs w:val="16"/>
                <w:u w:val="none"/>
                <w:lang w:val="en-US" w:eastAsia="zh-CN" w:bidi="ar"/>
              </w:rPr>
              <w:t>号）</w:t>
            </w:r>
          </w:p>
        </w:tc>
      </w:tr>
      <w:tr>
        <w:tblPrEx>
          <w:shd w:val="clear" w:color="auto" w:fill="auto"/>
          <w:tblCellMar>
            <w:top w:w="0" w:type="dxa"/>
            <w:left w:w="0" w:type="dxa"/>
            <w:bottom w:w="0" w:type="dxa"/>
            <w:right w:w="0" w:type="dxa"/>
          </w:tblCellMar>
        </w:tblPrEx>
        <w:trPr>
          <w:trHeight w:val="288"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w:t>
            </w:r>
          </w:p>
        </w:tc>
        <w:tc>
          <w:tcPr>
            <w:tcW w:w="7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《关岭农商银行绿色信贷管理办法》（关农商办发〔</w:t>
            </w:r>
            <w:r>
              <w:rPr>
                <w:rFonts w:hint="default" w:ascii="Times New Roman" w:hAnsi="Times New Roman" w:eastAsia="宋体" w:cs="Times New Roman"/>
                <w:i w:val="0"/>
                <w:color w:val="auto"/>
                <w:kern w:val="0"/>
                <w:sz w:val="16"/>
                <w:szCs w:val="16"/>
                <w:u w:val="none"/>
                <w:lang w:val="en-US" w:eastAsia="zh-CN" w:bidi="ar"/>
              </w:rPr>
              <w:t>2021</w:t>
            </w:r>
            <w:r>
              <w:rPr>
                <w:rFonts w:hint="eastAsia" w:ascii="宋体" w:hAnsi="宋体" w:eastAsia="宋体" w:cs="宋体"/>
                <w:i w:val="0"/>
                <w:color w:val="auto"/>
                <w:kern w:val="0"/>
                <w:sz w:val="16"/>
                <w:szCs w:val="16"/>
                <w:u w:val="none"/>
                <w:lang w:val="en-US" w:eastAsia="zh-CN" w:bidi="ar"/>
              </w:rPr>
              <w:t>〕</w:t>
            </w:r>
            <w:r>
              <w:rPr>
                <w:rFonts w:hint="default" w:ascii="Times New Roman" w:hAnsi="Times New Roman" w:eastAsia="宋体" w:cs="Times New Roman"/>
                <w:i w:val="0"/>
                <w:color w:val="auto"/>
                <w:kern w:val="0"/>
                <w:sz w:val="16"/>
                <w:szCs w:val="16"/>
                <w:u w:val="none"/>
                <w:lang w:val="en-US" w:eastAsia="zh-CN" w:bidi="ar"/>
              </w:rPr>
              <w:t>335</w:t>
            </w:r>
            <w:r>
              <w:rPr>
                <w:rFonts w:hint="eastAsia" w:ascii="宋体" w:hAnsi="宋体" w:eastAsia="宋体" w:cs="宋体"/>
                <w:i w:val="0"/>
                <w:color w:val="auto"/>
                <w:kern w:val="0"/>
                <w:sz w:val="16"/>
                <w:szCs w:val="16"/>
                <w:u w:val="none"/>
                <w:lang w:val="en-US" w:eastAsia="zh-CN" w:bidi="ar"/>
              </w:rPr>
              <w:t>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（一）制定战略规划</w:t>
      </w:r>
      <w:bookmarkEnd w:id="9"/>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本行制定了《关岭农商银行绿色金融发展战略规划》</w:t>
      </w:r>
      <w:r>
        <w:rPr>
          <w:rFonts w:hint="eastAsia" w:ascii="仿宋_GB2312" w:hAnsi="仿宋_GB2312" w:eastAsia="仿宋_GB2312" w:cs="仿宋_GB2312"/>
          <w:b w:val="0"/>
          <w:bCs w:val="0"/>
          <w:color w:val="auto"/>
          <w:sz w:val="32"/>
          <w:szCs w:val="32"/>
          <w:highlight w:val="none"/>
          <w:lang w:val="en-US" w:eastAsia="zh-CN"/>
        </w:rPr>
        <w:t>（关农商办发〔</w:t>
      </w:r>
      <w:r>
        <w:rPr>
          <w:rFonts w:hint="default" w:ascii="Times New Roman" w:hAnsi="Times New Roman" w:eastAsia="仿宋_GB2312" w:cs="Times New Roman"/>
          <w:b w:val="0"/>
          <w:bCs w:val="0"/>
          <w:color w:val="auto"/>
          <w:sz w:val="32"/>
          <w:szCs w:val="32"/>
          <w:highlight w:val="none"/>
          <w:lang w:val="en-US" w:eastAsia="zh-CN"/>
        </w:rPr>
        <w:t>2021</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317</w:t>
      </w:r>
      <w:r>
        <w:rPr>
          <w:rFonts w:hint="eastAsia" w:ascii="仿宋_GB2312" w:hAnsi="仿宋_GB2312" w:eastAsia="仿宋_GB2312" w:cs="仿宋_GB2312"/>
          <w:b w:val="0"/>
          <w:bCs w:val="0"/>
          <w:color w:val="auto"/>
          <w:sz w:val="32"/>
          <w:szCs w:val="32"/>
          <w:highlight w:val="none"/>
          <w:lang w:val="en-US" w:eastAsia="zh-CN"/>
        </w:rPr>
        <w:t>号）</w:t>
      </w:r>
      <w:r>
        <w:rPr>
          <w:rFonts w:hint="eastAsia" w:ascii="仿宋_GB2312" w:hAnsi="仿宋_GB2312" w:eastAsia="仿宋_GB2312" w:cs="仿宋_GB2312"/>
          <w:b w:val="0"/>
          <w:bCs w:val="0"/>
          <w:color w:val="auto"/>
          <w:sz w:val="32"/>
          <w:szCs w:val="32"/>
          <w:highlight w:val="none"/>
          <w:lang w:eastAsia="zh-CN"/>
        </w:rPr>
        <w:t>，围绕“业务结构绿色化转型”、“绿色金融产品创新”、“绿色‘五专’机制建设”、“气候、环境与社会风险管理”、“绿色价值观和企业文化建设”五条主线，提出五大主要发展目标，同时成立绿色信贷工作领导小组，负责开展绿色信贷各项相关工作，更好地促进地方经济结构优化升级和自身运营绿色转型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color w:val="auto"/>
          <w:sz w:val="32"/>
          <w:szCs w:val="32"/>
          <w:lang w:val="en-US" w:eastAsia="zh-CN"/>
        </w:rPr>
      </w:pPr>
      <w:bookmarkStart w:id="10" w:name="_Toc6491_WPSOffice_Level2"/>
      <w:r>
        <w:rPr>
          <w:rFonts w:hint="eastAsia" w:ascii="楷体_GB2312" w:hAnsi="楷体_GB2312" w:eastAsia="楷体_GB2312" w:cs="楷体_GB2312"/>
          <w:color w:val="auto"/>
          <w:sz w:val="32"/>
          <w:szCs w:val="32"/>
          <w:lang w:val="en-US" w:eastAsia="zh-CN"/>
        </w:rPr>
        <w:t>（二）制定绿色信贷管理</w:t>
      </w:r>
      <w:bookmarkEnd w:id="10"/>
      <w:r>
        <w:rPr>
          <w:rFonts w:hint="eastAsia" w:ascii="楷体_GB2312" w:hAnsi="楷体_GB2312" w:eastAsia="楷体_GB2312" w:cs="楷体_GB2312"/>
          <w:color w:val="auto"/>
          <w:sz w:val="32"/>
          <w:szCs w:val="32"/>
          <w:lang w:val="en-US" w:eastAsia="zh-CN"/>
        </w:rPr>
        <w:t>制度</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根据《贵州省农村信用社绿色信贷管理指引（暂行）》（黔农信办发〔</w:t>
      </w:r>
      <w:r>
        <w:rPr>
          <w:rFonts w:hint="default" w:ascii="Times New Roman" w:hAnsi="Times New Roman" w:eastAsia="仿宋_GB2312" w:cs="Times New Roman"/>
          <w:b w:val="0"/>
          <w:bCs w:val="0"/>
          <w:color w:val="auto"/>
          <w:sz w:val="32"/>
          <w:szCs w:val="32"/>
          <w:highlight w:val="none"/>
          <w:lang w:val="en-US" w:eastAsia="zh-CN"/>
        </w:rPr>
        <w:t>2020</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452</w:t>
      </w:r>
      <w:r>
        <w:rPr>
          <w:rFonts w:hint="eastAsia" w:ascii="仿宋_GB2312" w:hAnsi="仿宋_GB2312" w:eastAsia="仿宋_GB2312" w:cs="仿宋_GB2312"/>
          <w:b w:val="0"/>
          <w:bCs w:val="0"/>
          <w:color w:val="auto"/>
          <w:sz w:val="32"/>
          <w:szCs w:val="32"/>
          <w:highlight w:val="none"/>
          <w:lang w:val="en-US" w:eastAsia="zh-CN"/>
        </w:rPr>
        <w:t>号），本行结合实际情况制定了《关岭农商银行绿色信贷管理办法》（关农商办发〔</w:t>
      </w:r>
      <w:r>
        <w:rPr>
          <w:rFonts w:hint="default" w:ascii="Times New Roman" w:hAnsi="Times New Roman" w:eastAsia="仿宋_GB2312" w:cs="Times New Roman"/>
          <w:b w:val="0"/>
          <w:bCs w:val="0"/>
          <w:color w:val="auto"/>
          <w:sz w:val="32"/>
          <w:szCs w:val="32"/>
          <w:highlight w:val="none"/>
          <w:lang w:val="en-US" w:eastAsia="zh-CN"/>
        </w:rPr>
        <w:t>2021</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335</w:t>
      </w:r>
      <w:r>
        <w:rPr>
          <w:rFonts w:hint="eastAsia" w:ascii="仿宋_GB2312" w:hAnsi="仿宋_GB2312" w:eastAsia="仿宋_GB2312" w:cs="仿宋_GB2312"/>
          <w:b w:val="0"/>
          <w:bCs w:val="0"/>
          <w:color w:val="auto"/>
          <w:sz w:val="32"/>
          <w:szCs w:val="32"/>
          <w:highlight w:val="none"/>
          <w:lang w:val="en-US" w:eastAsia="zh-CN"/>
        </w:rPr>
        <w:t>号），积极投身于“绿色信贷”建设中，并由业务发展部牵头组织实施，其余部门、支行、小微、资保中心全力配合，实现信贷业务全流程管理，紧紧围绕贵州省“大扶贫”、“大数据”、“大生态”战略，引导信贷资金重点向绿色农业、</w:t>
      </w:r>
      <w:r>
        <w:rPr>
          <w:rFonts w:hint="eastAsia" w:ascii="仿宋_GB2312" w:hAnsi="仿宋_GB2312" w:eastAsia="仿宋_GB2312" w:cs="仿宋_GB2312"/>
          <w:b w:val="0"/>
          <w:bCs w:val="0"/>
          <w:color w:val="auto"/>
          <w:sz w:val="32"/>
          <w:szCs w:val="32"/>
          <w:highlight w:val="none"/>
          <w:lang w:eastAsia="zh-CN"/>
        </w:rPr>
        <w:t>生态林业、环保行业等领域倾斜。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（三）制定生态账户管理制度</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lang w:eastAsia="zh-CN"/>
        </w:rPr>
      </w:pP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rPr>
        <w:t>省联社办公室关于印发贵州省农村信用社“生态账户”优化运用实施方案的通知</w:t>
      </w:r>
      <w:r>
        <w:rPr>
          <w:rFonts w:hint="eastAsia" w:ascii="仿宋_GB2312" w:hAnsi="仿宋_GB2312" w:eastAsia="仿宋_GB2312" w:cs="仿宋_GB2312"/>
          <w:color w:val="auto"/>
          <w:sz w:val="32"/>
          <w:szCs w:val="32"/>
          <w:highlight w:val="none"/>
          <w:lang w:val="en-US" w:eastAsia="zh-CN"/>
        </w:rPr>
        <w:t>》，本行积极投身于“生态账户”运用建设，</w:t>
      </w:r>
      <w:r>
        <w:rPr>
          <w:rFonts w:hint="eastAsia" w:ascii="仿宋_GB2312" w:hAnsi="仿宋_GB2312" w:eastAsia="仿宋_GB2312" w:cs="仿宋_GB2312"/>
          <w:color w:val="auto"/>
          <w:sz w:val="32"/>
          <w:szCs w:val="32"/>
          <w:highlight w:val="none"/>
        </w:rPr>
        <w:t>紧紧围绕贵州省“大扶贫”、“大数据”、“大生态”战略，</w:t>
      </w:r>
      <w:r>
        <w:rPr>
          <w:rFonts w:hint="eastAsia" w:ascii="仿宋_GB2312" w:hAnsi="仿宋_GB2312" w:eastAsia="仿宋_GB2312" w:cs="仿宋_GB2312"/>
          <w:color w:val="auto"/>
          <w:sz w:val="32"/>
          <w:szCs w:val="32"/>
          <w:highlight w:val="none"/>
        </w:rPr>
        <w:t>引导信贷资金重点向生态资产、生态经营、生态生活、生态保护和生态金融等评价指标体系领域倾斜。</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b w:val="0"/>
          <w:bCs w:val="0"/>
          <w:color w:val="auto"/>
          <w:sz w:val="32"/>
          <w:szCs w:val="32"/>
          <w:highlight w:val="none"/>
          <w:lang w:val="en-US" w:eastAsia="zh-CN"/>
        </w:rPr>
        <w:t>根</w:t>
      </w:r>
      <w:r>
        <w:rPr>
          <w:rFonts w:hint="eastAsia" w:ascii="仿宋_GB2312" w:hAnsi="仿宋_GB2312" w:eastAsia="仿宋_GB2312" w:cs="仿宋_GB2312"/>
          <w:b w:val="0"/>
          <w:bCs w:val="0"/>
          <w:color w:val="auto"/>
          <w:sz w:val="32"/>
          <w:szCs w:val="32"/>
          <w:highlight w:val="none"/>
          <w:lang w:val="en-US" w:eastAsia="zh-CN"/>
        </w:rPr>
        <w:t>据</w:t>
      </w:r>
      <w:r>
        <w:rPr>
          <w:rFonts w:hint="eastAsia" w:ascii="仿宋_GB2312" w:hAnsi="仿宋_GB2312" w:eastAsia="仿宋_GB2312" w:cs="仿宋_GB2312"/>
          <w:b w:val="0"/>
          <w:bCs w:val="0"/>
          <w:color w:val="auto"/>
          <w:sz w:val="32"/>
          <w:szCs w:val="32"/>
          <w:highlight w:val="none"/>
          <w:lang w:eastAsia="zh-CN"/>
        </w:rPr>
        <w:t>《贵州省级绿色金融改革创新发展试点县建设工作实施方案》</w:t>
      </w:r>
      <w:r>
        <w:rPr>
          <w:rFonts w:hint="eastAsia" w:ascii="仿宋_GB2312" w:hAnsi="仿宋_GB2312" w:eastAsia="仿宋_GB2312" w:cs="仿宋_GB2312"/>
          <w:b w:val="0"/>
          <w:bCs w:val="0"/>
          <w:color w:val="auto"/>
          <w:sz w:val="32"/>
          <w:szCs w:val="32"/>
          <w:highlight w:val="none"/>
          <w:lang w:val="en-US" w:eastAsia="zh-CN"/>
        </w:rPr>
        <w:t>《贵州省农村信用社“生态账户”管理细则》等有关文件，</w:t>
      </w:r>
      <w:r>
        <w:rPr>
          <w:rFonts w:hint="eastAsia" w:ascii="仿宋_GB2312" w:hAnsi="仿宋_GB2312" w:eastAsia="仿宋_GB2312" w:cs="仿宋_GB2312"/>
          <w:b w:val="0"/>
          <w:bCs w:val="0"/>
          <w:color w:val="auto"/>
          <w:sz w:val="32"/>
          <w:szCs w:val="32"/>
          <w:highlight w:val="none"/>
          <w:lang w:eastAsia="zh-CN"/>
        </w:rPr>
        <w:t>结合县域实际制定《关岭农商银行生态账户管理办法》，</w:t>
      </w:r>
      <w:r>
        <w:rPr>
          <w:rFonts w:hint="eastAsia" w:ascii="仿宋_GB2312" w:hAnsi="仿宋_GB2312" w:eastAsia="仿宋_GB2312" w:cs="仿宋_GB2312"/>
          <w:color w:val="auto"/>
          <w:sz w:val="32"/>
          <w:szCs w:val="32"/>
          <w:highlight w:val="none"/>
          <w:lang w:eastAsia="zh-CN"/>
        </w:rPr>
        <w:t>包括生态账户的实施、审批、应用、评价、风险防控、责任追究、内部考核等，实现全流程规范管理。</w:t>
      </w:r>
    </w:p>
    <w:p>
      <w:pPr>
        <w:pStyle w:val="10"/>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60" w:lineRule="exact"/>
        <w:ind w:right="630" w:rightChars="300" w:firstLine="640" w:firstLineChars="200"/>
        <w:textAlignment w:val="auto"/>
        <w:outlineLvl w:val="1"/>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环境风险管理及机</w:t>
      </w:r>
      <w:bookmarkStart w:id="11" w:name="_Toc16762_WPSOffice_Level2"/>
      <w:r>
        <w:rPr>
          <w:rFonts w:hint="eastAsia" w:ascii="黑体" w:hAnsi="黑体" w:eastAsia="黑体" w:cs="黑体"/>
          <w:b w:val="0"/>
          <w:bCs w:val="0"/>
          <w:color w:val="auto"/>
          <w:sz w:val="32"/>
          <w:szCs w:val="32"/>
          <w:lang w:val="en-US" w:eastAsia="zh-CN"/>
        </w:rPr>
        <w:t>遇</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630" w:rightChars="300" w:firstLine="640" w:firstLineChars="200"/>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加强贷前准入管理</w:t>
      </w:r>
      <w:bookmarkEnd w:id="11"/>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加快推进信贷流程绿色化改造，将客户“绿色表现”纳入授信准入环节，防止客户以“洗绿”方式获得授信准入，主动前移信贷风控，实现信贷精准投放。在传统对公信贷业务财务和非财务分析的基础上，引入客户“绿色表现”调查，评估能源消费总量、碳排放量等指标，从原材料采购、生产制造、质量检测和销售运输等方面全流程评估客户的环境和社会表现，识别可能存在的环保、安全、健康等隐患；生产型企业重点关注其污染物排放、废弃物处理、能源消耗、环保设施运行、职业健康等方面情况；项目贷款重点关注项目环评审批、环保设施建设情况；对违反环保政策，可能对环境造成重大不利影响的客户和项目实行一票否决。</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630" w:rightChars="300" w:firstLine="640" w:firstLineChars="200"/>
        <w:textAlignment w:val="auto"/>
        <w:outlineLvl w:val="1"/>
        <w:rPr>
          <w:rFonts w:hint="eastAsia" w:ascii="楷体_GB2312" w:hAnsi="楷体_GB2312" w:eastAsia="楷体_GB2312" w:cs="楷体_GB2312"/>
          <w:b w:val="0"/>
          <w:bCs w:val="0"/>
          <w:color w:val="auto"/>
          <w:sz w:val="32"/>
          <w:szCs w:val="32"/>
          <w:lang w:eastAsia="zh-CN"/>
        </w:rPr>
      </w:pPr>
      <w:bookmarkStart w:id="12" w:name="_Toc15221_WPSOffice_Level2"/>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）强化贷中审查管理</w:t>
      </w:r>
      <w:bookmarkEnd w:id="12"/>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授信审查环节重点关注客户的环境和社会表现，对客户绿色信贷准入资格进行严格审查，对客户“碳行为”、“绿色表现”调查的合理性、准确性进行严格审查，持续关注客户在土地、健康、安全、生态保护、气候变化等方面的表现，有效防范客户环境与社会风险。</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630" w:rightChars="300" w:firstLine="640" w:firstLineChars="200"/>
        <w:textAlignment w:val="auto"/>
        <w:outlineLvl w:val="1"/>
        <w:rPr>
          <w:rFonts w:hint="eastAsia" w:ascii="楷体_GB2312" w:hAnsi="楷体_GB2312" w:eastAsia="楷体_GB2312" w:cs="楷体_GB2312"/>
          <w:b w:val="0"/>
          <w:bCs w:val="0"/>
          <w:color w:val="auto"/>
          <w:sz w:val="32"/>
          <w:szCs w:val="32"/>
          <w:lang w:eastAsia="zh-CN"/>
        </w:rPr>
      </w:pPr>
      <w:bookmarkStart w:id="13" w:name="_Toc13137_WPSOffice_Level2"/>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）落实贷后管理要求</w:t>
      </w:r>
      <w:bookmarkEnd w:id="13"/>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贷后管理阶段持续关注客户绿色表现情况及其他风险状况，重点关注可能影响授信安全的环境风险因素，通过非现场和现场检查，及时发现授信主体的潜在风险并发出预警风险提示，有效识别各类风险。在资产风险分类、准备计提、损失核销等方面及时做出调整。对于出现重大环境问题的，</w:t>
      </w:r>
      <w:r>
        <w:rPr>
          <w:rFonts w:hint="eastAsia" w:ascii="仿宋_GB2312" w:hAnsi="仿宋_GB2312" w:eastAsia="仿宋_GB2312" w:cs="仿宋_GB2312"/>
          <w:b w:val="0"/>
          <w:bCs w:val="0"/>
          <w:color w:val="auto"/>
          <w:sz w:val="32"/>
          <w:szCs w:val="32"/>
          <w:highlight w:val="none"/>
          <w:lang w:eastAsia="zh-CN"/>
        </w:rPr>
        <w:t>根据实际情况可要求借款人提前还款，并将该笔授信列入观察名单或划入问题授信。</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630" w:rightChars="300" w:firstLine="640" w:firstLineChars="200"/>
        <w:textAlignment w:val="auto"/>
        <w:outlineLvl w:val="1"/>
        <w:rPr>
          <w:rFonts w:hint="eastAsia" w:ascii="楷体_GB2312" w:hAnsi="楷体_GB2312" w:eastAsia="楷体_GB2312" w:cs="楷体_GB2312"/>
          <w:b w:val="0"/>
          <w:bCs w:val="0"/>
          <w:color w:val="auto"/>
          <w:sz w:val="32"/>
          <w:szCs w:val="32"/>
          <w:lang w:eastAsia="zh-CN"/>
        </w:rPr>
      </w:pPr>
      <w:bookmarkStart w:id="14" w:name="_Toc11071_WPSOffice_Level2"/>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）提高绿色金融合规经营管理能力</w:t>
      </w:r>
      <w:bookmarkEnd w:id="14"/>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加强绿色金融业务内控合规管理，将绿色金融政策制度执行、环境和社会风险管理情况等作为内控合规检查重要内容；绿色金融产品开发或现有产品重大升级，应按照“制度先行，内控优先”的原则，制定或更新产品规章制度和操作手册，审查评估产品的全面风险和内部控制状况，确定产品风险等级，明确风控措施，完善业务及监测、统计系统；围绕绿色信贷标准化识别与统计、环境社会效益测算、环境与社会风险评估管理等绿色金融发展重点工作，加强金融科技建设，有效减少绿色信贷识别、环境信息披露及环境风险管理等工作中产生的内控合规问题，提高绿色金融合规管理能力。</w:t>
      </w:r>
    </w:p>
    <w:p>
      <w:pPr>
        <w:pStyle w:val="10"/>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60" w:lineRule="exact"/>
        <w:ind w:right="630" w:rightChars="30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经营活动的环境影响</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rPr>
        <w:t>经营活动产生的资源消耗及其变化趋势</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630" w:rightChars="300"/>
        <w:jc w:val="center"/>
        <w:textAlignment w:val="auto"/>
        <w:rPr>
          <w:rFonts w:hint="eastAsia" w:ascii="仿宋_GB2312" w:hAnsi="仿宋_GB2312" w:eastAsia="仿宋_GB2312" w:cs="仿宋_GB2312"/>
          <w:b/>
          <w:bCs/>
          <w:color w:val="auto"/>
          <w:kern w:val="0"/>
          <w:sz w:val="32"/>
          <w:szCs w:val="44"/>
        </w:rPr>
      </w:pPr>
      <w:r>
        <w:rPr>
          <w:rFonts w:hint="default" w:ascii="Times New Roman" w:hAnsi="Times New Roman" w:eastAsia="仿宋_GB2312" w:cs="Times New Roman"/>
          <w:b/>
          <w:bCs/>
          <w:color w:val="auto"/>
          <w:kern w:val="0"/>
          <w:sz w:val="32"/>
          <w:szCs w:val="32"/>
        </w:rPr>
        <w:t>202</w:t>
      </w:r>
      <w:r>
        <w:rPr>
          <w:rFonts w:hint="default" w:ascii="Times New Roman" w:hAnsi="Times New Roman" w:eastAsia="仿宋_GB2312" w:cs="Times New Roman"/>
          <w:b/>
          <w:bCs/>
          <w:color w:val="auto"/>
          <w:kern w:val="0"/>
          <w:sz w:val="32"/>
          <w:szCs w:val="32"/>
          <w:lang w:val="en-US" w:eastAsia="zh-CN"/>
        </w:rPr>
        <w:t>3</w:t>
      </w:r>
      <w:r>
        <w:rPr>
          <w:rFonts w:hint="eastAsia" w:ascii="仿宋_GB2312" w:hAnsi="仿宋_GB2312" w:eastAsia="仿宋_GB2312" w:cs="仿宋_GB2312"/>
          <w:b/>
          <w:bCs/>
          <w:color w:val="auto"/>
          <w:kern w:val="0"/>
          <w:sz w:val="32"/>
          <w:szCs w:val="44"/>
        </w:rPr>
        <w:t>年度经营活动产生的自然资源消耗</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630" w:rightChars="300"/>
        <w:textAlignment w:val="auto"/>
        <w:rPr>
          <w:rFonts w:hint="eastAsia" w:ascii="宋体" w:hAnsi="宋体" w:cs="宋体"/>
          <w:b w:val="0"/>
          <w:bCs w:val="0"/>
          <w:color w:val="auto"/>
          <w:kern w:val="0"/>
          <w:sz w:val="28"/>
          <w:szCs w:val="40"/>
          <w:lang w:eastAsia="zh-CN"/>
        </w:rPr>
      </w:pPr>
      <w:r>
        <w:rPr>
          <w:rFonts w:hint="eastAsia" w:ascii="宋体" w:hAnsi="宋体" w:cs="宋体"/>
          <w:b w:val="0"/>
          <w:bCs w:val="0"/>
          <w:color w:val="auto"/>
          <w:kern w:val="0"/>
          <w:sz w:val="28"/>
          <w:szCs w:val="40"/>
          <w:lang w:eastAsia="zh-CN"/>
        </w:rPr>
        <w:t>计算公式：</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630" w:rightChars="300"/>
        <w:textAlignment w:val="auto"/>
        <w:rPr>
          <w:rFonts w:hint="eastAsia" w:ascii="宋体" w:hAnsi="宋体" w:cs="宋体"/>
          <w:b w:val="0"/>
          <w:bCs w:val="0"/>
          <w:color w:val="auto"/>
          <w:kern w:val="0"/>
          <w:sz w:val="28"/>
          <w:szCs w:val="40"/>
          <w:lang w:eastAsia="zh-CN"/>
        </w:rPr>
      </w:pPr>
      <w:r>
        <w:rPr>
          <w:rFonts w:hint="eastAsia"/>
          <w:color w:val="auto"/>
          <w:lang w:eastAsia="zh-CN"/>
        </w:rPr>
        <w:drawing>
          <wp:anchor distT="0" distB="0" distL="114300" distR="114300" simplePos="0" relativeHeight="251659264" behindDoc="0" locked="0" layoutInCell="1" allowOverlap="1">
            <wp:simplePos x="0" y="0"/>
            <wp:positionH relativeFrom="column">
              <wp:posOffset>-6985</wp:posOffset>
            </wp:positionH>
            <wp:positionV relativeFrom="paragraph">
              <wp:posOffset>135890</wp:posOffset>
            </wp:positionV>
            <wp:extent cx="5554345" cy="660400"/>
            <wp:effectExtent l="0" t="0" r="8255" b="6350"/>
            <wp:wrapTopAndBottom/>
            <wp:docPr id="3" name="图片 3" descr="捕获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捕获33333"/>
                    <pic:cNvPicPr>
                      <a:picLocks noChangeAspect="1"/>
                    </pic:cNvPicPr>
                  </pic:nvPicPr>
                  <pic:blipFill>
                    <a:blip r:embed="rId16"/>
                    <a:stretch>
                      <a:fillRect/>
                    </a:stretch>
                  </pic:blipFill>
                  <pic:spPr>
                    <a:xfrm>
                      <a:off x="0" y="0"/>
                      <a:ext cx="5554345" cy="660400"/>
                    </a:xfrm>
                    <a:prstGeom prst="rect">
                      <a:avLst/>
                    </a:prstGeom>
                  </pic:spPr>
                </pic:pic>
              </a:graphicData>
            </a:graphic>
          </wp:anchor>
        </w:drawing>
      </w:r>
    </w:p>
    <w:tbl>
      <w:tblPr>
        <w:tblStyle w:val="11"/>
        <w:tblW w:w="87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99"/>
        <w:gridCol w:w="1850"/>
        <w:gridCol w:w="1675"/>
        <w:gridCol w:w="2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2299"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b/>
                <w:i w:val="0"/>
                <w:color w:val="auto"/>
                <w:sz w:val="21"/>
                <w:szCs w:val="21"/>
                <w:u w:val="none"/>
              </w:rPr>
            </w:pPr>
            <w:bookmarkStart w:id="15" w:name="_Toc12833_WPSOffice_Level2"/>
            <w:r>
              <w:rPr>
                <w:rFonts w:hint="eastAsia" w:ascii="宋体" w:hAnsi="宋体" w:eastAsia="宋体" w:cs="宋体"/>
                <w:b/>
                <w:i w:val="0"/>
                <w:color w:val="auto"/>
                <w:kern w:val="0"/>
                <w:sz w:val="21"/>
                <w:szCs w:val="21"/>
                <w:u w:val="none"/>
                <w:lang w:val="en-US" w:eastAsia="zh-CN" w:bidi="ar"/>
              </w:rPr>
              <w:t>指标</w:t>
            </w:r>
          </w:p>
        </w:tc>
        <w:tc>
          <w:tcPr>
            <w:tcW w:w="1850"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1675"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2023</w:t>
            </w:r>
            <w:r>
              <w:rPr>
                <w:rFonts w:hint="eastAsia" w:ascii="宋体" w:hAnsi="宋体" w:eastAsia="宋体" w:cs="宋体"/>
                <w:b/>
                <w:i w:val="0"/>
                <w:color w:val="auto"/>
                <w:kern w:val="0"/>
                <w:sz w:val="21"/>
                <w:szCs w:val="21"/>
                <w:u w:val="none"/>
                <w:lang w:val="en-US" w:eastAsia="zh-CN" w:bidi="ar"/>
              </w:rPr>
              <w:t>年消耗量</w:t>
            </w:r>
          </w:p>
        </w:tc>
        <w:tc>
          <w:tcPr>
            <w:tcW w:w="291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2023</w:t>
            </w:r>
            <w:r>
              <w:rPr>
                <w:rFonts w:hint="eastAsia" w:ascii="宋体" w:hAnsi="宋体" w:eastAsia="宋体" w:cs="宋体"/>
                <w:b/>
                <w:i w:val="0"/>
                <w:color w:val="auto"/>
                <w:kern w:val="0"/>
                <w:sz w:val="21"/>
                <w:szCs w:val="21"/>
                <w:u w:val="none"/>
                <w:lang w:val="en-US" w:eastAsia="zh-CN" w:bidi="ar"/>
              </w:rPr>
              <w:t>年二氧化碳排放量（吨）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299"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Style w:val="21"/>
                <w:color w:val="auto"/>
                <w:lang w:val="en-US" w:eastAsia="zh-CN" w:bidi="ar"/>
              </w:rPr>
              <w:t>天然气</w:t>
            </w:r>
          </w:p>
        </w:tc>
        <w:tc>
          <w:tcPr>
            <w:tcW w:w="1850"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Style w:val="21"/>
                <w:color w:val="auto"/>
                <w:lang w:val="en-US" w:eastAsia="zh-CN" w:bidi="ar"/>
              </w:rPr>
              <w:t>立方米</w:t>
            </w:r>
          </w:p>
        </w:tc>
        <w:tc>
          <w:tcPr>
            <w:tcW w:w="1675" w:type="dxa"/>
            <w:tcBorders>
              <w:left w:val="single" w:color="000000" w:sz="12" w:space="0"/>
              <w:bottom w:val="single" w:color="000000" w:sz="12" w:space="0"/>
              <w:right w:val="single" w:color="000000" w:sz="12" w:space="0"/>
            </w:tcBorders>
            <w:shd w:val="clear" w:color="auto" w:fill="auto"/>
            <w:vAlign w:val="top"/>
          </w:tcPr>
          <w:p>
            <w:pPr>
              <w:numPr>
                <w:ilvl w:val="0"/>
                <w:numId w:val="0"/>
              </w:numPr>
              <w:ind w:left="0" w:leftChars="0"/>
              <w:jc w:val="both"/>
              <w:rPr>
                <w:rFonts w:hint="eastAsia" w:ascii="宋体" w:hAnsi="宋体" w:eastAsia="宋体" w:cs="宋体"/>
                <w:i w:val="0"/>
                <w:color w:val="auto"/>
                <w:sz w:val="21"/>
                <w:szCs w:val="21"/>
                <w:u w:val="none"/>
                <w:lang w:val="en-US" w:eastAsia="zh-CN"/>
              </w:rPr>
            </w:pPr>
            <w:r>
              <w:rPr>
                <w:rFonts w:hint="default" w:ascii="Times New Roman" w:hAnsi="Times New Roman" w:eastAsia="宋体" w:cs="Times New Roman"/>
                <w:i w:val="0"/>
                <w:color w:val="auto"/>
                <w:sz w:val="21"/>
                <w:szCs w:val="21"/>
                <w:u w:val="none"/>
                <w:lang w:val="en-US" w:eastAsia="zh-CN"/>
              </w:rPr>
              <w:t>0</w:t>
            </w:r>
          </w:p>
        </w:tc>
        <w:tc>
          <w:tcPr>
            <w:tcW w:w="2913"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299"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Style w:val="21"/>
                <w:color w:val="auto"/>
                <w:lang w:val="en-US" w:eastAsia="zh-CN" w:bidi="ar"/>
              </w:rPr>
              <w:t>液化石油气</w:t>
            </w:r>
          </w:p>
        </w:tc>
        <w:tc>
          <w:tcPr>
            <w:tcW w:w="1850"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Style w:val="21"/>
                <w:color w:val="auto"/>
                <w:lang w:val="en-US" w:eastAsia="zh-CN" w:bidi="ar"/>
              </w:rPr>
              <w:t>千克</w:t>
            </w:r>
          </w:p>
        </w:tc>
        <w:tc>
          <w:tcPr>
            <w:tcW w:w="1675"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lang w:val="en-US"/>
              </w:rPr>
            </w:pPr>
            <w:r>
              <w:rPr>
                <w:rFonts w:hint="default" w:ascii="Times New Roman" w:hAnsi="Times New Roman" w:eastAsia="宋体" w:cs="Times New Roman"/>
                <w:i w:val="0"/>
                <w:color w:val="auto"/>
                <w:kern w:val="0"/>
                <w:sz w:val="21"/>
                <w:szCs w:val="21"/>
                <w:u w:val="none"/>
                <w:lang w:val="en-US" w:eastAsia="zh-CN" w:bidi="ar"/>
              </w:rPr>
              <w:t>1031</w:t>
            </w:r>
            <w:r>
              <w:rPr>
                <w:rFonts w:hint="eastAsia" w:ascii="宋体" w:hAnsi="宋体" w:eastAsia="宋体" w:cs="宋体"/>
                <w:i w:val="0"/>
                <w:color w:val="auto"/>
                <w:kern w:val="0"/>
                <w:sz w:val="21"/>
                <w:szCs w:val="21"/>
                <w:u w:val="none"/>
                <w:lang w:val="en-US" w:eastAsia="zh-CN" w:bidi="ar"/>
              </w:rPr>
              <w:t>.</w:t>
            </w:r>
            <w:r>
              <w:rPr>
                <w:rFonts w:hint="default" w:ascii="Times New Roman" w:hAnsi="Times New Roman" w:eastAsia="宋体" w:cs="Times New Roman"/>
                <w:i w:val="0"/>
                <w:color w:val="auto"/>
                <w:kern w:val="0"/>
                <w:sz w:val="21"/>
                <w:szCs w:val="21"/>
                <w:u w:val="none"/>
                <w:lang w:val="en-US" w:eastAsia="zh-CN" w:bidi="ar"/>
              </w:rPr>
              <w:t>03</w:t>
            </w:r>
          </w:p>
        </w:tc>
        <w:tc>
          <w:tcPr>
            <w:tcW w:w="2913"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lang w:val="en-US" w:eastAsia="zh-CN"/>
              </w:rPr>
            </w:pPr>
            <w:r>
              <w:rPr>
                <w:rFonts w:hint="default" w:ascii="Times New Roman" w:hAnsi="Times New Roman" w:eastAsia="宋体" w:cs="Times New Roman"/>
                <w:i w:val="0"/>
                <w:color w:val="auto"/>
                <w:sz w:val="21"/>
                <w:szCs w:val="21"/>
                <w:u w:val="none"/>
                <w:lang w:val="en-US" w:eastAsia="zh-CN"/>
              </w:rPr>
              <w:t>3</w:t>
            </w:r>
            <w:r>
              <w:rPr>
                <w:rFonts w:hint="eastAsia" w:ascii="宋体" w:hAnsi="宋体" w:eastAsia="宋体" w:cs="宋体"/>
                <w:i w:val="0"/>
                <w:color w:val="auto"/>
                <w:sz w:val="21"/>
                <w:szCs w:val="21"/>
                <w:u w:val="none"/>
                <w:lang w:val="en-US" w:eastAsia="zh-CN"/>
              </w:rPr>
              <w:t>.</w:t>
            </w:r>
            <w:r>
              <w:rPr>
                <w:rFonts w:hint="default" w:ascii="Times New Roman" w:hAnsi="Times New Roman" w:eastAsia="宋体" w:cs="Times New Roman"/>
                <w:i w:val="0"/>
                <w:color w:val="auto"/>
                <w:sz w:val="21"/>
                <w:szCs w:val="21"/>
                <w:u w:val="none"/>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299"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Style w:val="21"/>
                <w:color w:val="auto"/>
                <w:lang w:val="en-US" w:eastAsia="zh-CN" w:bidi="ar"/>
              </w:rPr>
              <w:t>煤</w:t>
            </w:r>
          </w:p>
        </w:tc>
        <w:tc>
          <w:tcPr>
            <w:tcW w:w="1850"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Style w:val="21"/>
                <w:color w:val="auto"/>
                <w:lang w:val="en-US" w:eastAsia="zh-CN" w:bidi="ar"/>
              </w:rPr>
              <w:t>吨</w:t>
            </w:r>
          </w:p>
        </w:tc>
        <w:tc>
          <w:tcPr>
            <w:tcW w:w="1675" w:type="dxa"/>
            <w:tcBorders>
              <w:left w:val="single" w:color="000000" w:sz="12" w:space="0"/>
              <w:bottom w:val="single" w:color="000000" w:sz="12" w:space="0"/>
              <w:right w:val="single" w:color="000000" w:sz="12" w:space="0"/>
            </w:tcBorders>
            <w:shd w:val="clear" w:color="auto" w:fill="auto"/>
            <w:vAlign w:val="top"/>
          </w:tcPr>
          <w:p>
            <w:pPr>
              <w:numPr>
                <w:ilvl w:val="0"/>
                <w:numId w:val="0"/>
              </w:numPr>
              <w:ind w:left="0" w:leftChars="0"/>
              <w:jc w:val="both"/>
              <w:rPr>
                <w:rFonts w:hint="eastAsia" w:ascii="宋体" w:hAnsi="宋体" w:eastAsia="宋体" w:cs="宋体"/>
                <w:i w:val="0"/>
                <w:color w:val="auto"/>
                <w:sz w:val="21"/>
                <w:szCs w:val="21"/>
                <w:u w:val="none"/>
                <w:lang w:val="en-US" w:eastAsia="zh-CN"/>
              </w:rPr>
            </w:pPr>
            <w:r>
              <w:rPr>
                <w:rFonts w:hint="default" w:ascii="Times New Roman" w:hAnsi="Times New Roman" w:eastAsia="宋体" w:cs="Times New Roman"/>
                <w:i w:val="0"/>
                <w:color w:val="auto"/>
                <w:sz w:val="21"/>
                <w:szCs w:val="21"/>
                <w:u w:val="none"/>
                <w:lang w:val="en-US" w:eastAsia="zh-CN"/>
              </w:rPr>
              <w:t>0</w:t>
            </w:r>
          </w:p>
        </w:tc>
        <w:tc>
          <w:tcPr>
            <w:tcW w:w="2913"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299"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Style w:val="21"/>
                <w:color w:val="auto"/>
                <w:lang w:val="en-US" w:eastAsia="zh-CN" w:bidi="ar"/>
              </w:rPr>
              <w:t>公车用汽油</w:t>
            </w:r>
          </w:p>
        </w:tc>
        <w:tc>
          <w:tcPr>
            <w:tcW w:w="1850"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Style w:val="21"/>
                <w:color w:val="auto"/>
                <w:lang w:val="en-US" w:eastAsia="zh-CN" w:bidi="ar"/>
              </w:rPr>
              <w:t>升</w:t>
            </w:r>
          </w:p>
        </w:tc>
        <w:tc>
          <w:tcPr>
            <w:tcW w:w="1675"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color w:val="auto"/>
                <w:lang w:val="en-US"/>
              </w:rPr>
            </w:pPr>
            <w:r>
              <w:rPr>
                <w:rFonts w:hint="default" w:ascii="Times New Roman" w:hAnsi="Times New Roman" w:eastAsia="宋体" w:cs="Times New Roman"/>
                <w:i w:val="0"/>
                <w:color w:val="auto"/>
                <w:sz w:val="21"/>
                <w:szCs w:val="21"/>
                <w:u w:val="none"/>
                <w:lang w:val="en-US" w:eastAsia="zh-CN"/>
              </w:rPr>
              <w:t>18250</w:t>
            </w:r>
            <w:r>
              <w:rPr>
                <w:rFonts w:hint="eastAsia" w:ascii="宋体" w:hAnsi="宋体" w:eastAsia="宋体" w:cs="宋体"/>
                <w:i w:val="0"/>
                <w:color w:val="auto"/>
                <w:sz w:val="21"/>
                <w:szCs w:val="21"/>
                <w:u w:val="none"/>
                <w:lang w:val="en-US" w:eastAsia="zh-CN"/>
              </w:rPr>
              <w:t>.</w:t>
            </w:r>
            <w:r>
              <w:rPr>
                <w:rFonts w:hint="default" w:ascii="Times New Roman" w:hAnsi="Times New Roman" w:eastAsia="宋体" w:cs="Times New Roman"/>
                <w:i w:val="0"/>
                <w:color w:val="auto"/>
                <w:sz w:val="21"/>
                <w:szCs w:val="21"/>
                <w:u w:val="none"/>
                <w:lang w:val="en-US" w:eastAsia="zh-CN"/>
              </w:rPr>
              <w:t>68</w:t>
            </w:r>
          </w:p>
        </w:tc>
        <w:tc>
          <w:tcPr>
            <w:tcW w:w="2913"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lang w:val="en-US"/>
              </w:rPr>
            </w:pPr>
            <w:r>
              <w:rPr>
                <w:rFonts w:hint="default" w:ascii="Times New Roman" w:hAnsi="Times New Roman" w:eastAsia="宋体" w:cs="Times New Roman"/>
                <w:i w:val="0"/>
                <w:color w:val="auto"/>
                <w:kern w:val="0"/>
                <w:sz w:val="21"/>
                <w:szCs w:val="21"/>
                <w:u w:val="none"/>
                <w:lang w:val="en-US" w:eastAsia="zh-CN" w:bidi="ar"/>
              </w:rPr>
              <w:t>39</w:t>
            </w:r>
            <w:r>
              <w:rPr>
                <w:rFonts w:hint="eastAsia" w:ascii="宋体" w:hAnsi="宋体" w:eastAsia="宋体" w:cs="宋体"/>
                <w:i w:val="0"/>
                <w:color w:val="auto"/>
                <w:kern w:val="0"/>
                <w:sz w:val="21"/>
                <w:szCs w:val="21"/>
                <w:u w:val="none"/>
                <w:lang w:val="en-US" w:eastAsia="zh-CN" w:bidi="ar"/>
              </w:rPr>
              <w:t>.</w:t>
            </w:r>
            <w:r>
              <w:rPr>
                <w:rFonts w:hint="default" w:ascii="Times New Roman" w:hAnsi="Times New Roman" w:eastAsia="宋体" w:cs="Times New Roman"/>
                <w:i w:val="0"/>
                <w:color w:val="auto"/>
                <w:kern w:val="0"/>
                <w:sz w:val="21"/>
                <w:szCs w:val="21"/>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299"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Style w:val="21"/>
                <w:color w:val="auto"/>
                <w:lang w:val="en-US" w:eastAsia="zh-CN" w:bidi="ar"/>
              </w:rPr>
              <w:t>公车用柴油</w:t>
            </w:r>
          </w:p>
        </w:tc>
        <w:tc>
          <w:tcPr>
            <w:tcW w:w="1850"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Style w:val="21"/>
                <w:color w:val="auto"/>
                <w:lang w:val="en-US" w:eastAsia="zh-CN" w:bidi="ar"/>
              </w:rPr>
              <w:t>升</w:t>
            </w:r>
          </w:p>
        </w:tc>
        <w:tc>
          <w:tcPr>
            <w:tcW w:w="1675" w:type="dxa"/>
            <w:tcBorders>
              <w:left w:val="single" w:color="000000" w:sz="12" w:space="0"/>
              <w:bottom w:val="single" w:color="000000" w:sz="12" w:space="0"/>
              <w:right w:val="single" w:color="000000" w:sz="12" w:space="0"/>
            </w:tcBorders>
            <w:shd w:val="clear" w:color="auto" w:fill="auto"/>
            <w:vAlign w:val="top"/>
          </w:tcPr>
          <w:p>
            <w:pPr>
              <w:numPr>
                <w:ilvl w:val="0"/>
                <w:numId w:val="0"/>
              </w:numPr>
              <w:ind w:left="0" w:leftChars="0"/>
              <w:jc w:val="both"/>
              <w:rPr>
                <w:rFonts w:hint="eastAsia" w:ascii="宋体" w:hAnsi="宋体" w:eastAsia="宋体" w:cs="宋体"/>
                <w:i w:val="0"/>
                <w:color w:val="auto"/>
                <w:sz w:val="21"/>
                <w:szCs w:val="21"/>
                <w:u w:val="none"/>
                <w:lang w:val="en-US" w:eastAsia="zh-CN"/>
              </w:rPr>
            </w:pPr>
            <w:r>
              <w:rPr>
                <w:rFonts w:hint="default" w:ascii="Times New Roman" w:hAnsi="Times New Roman" w:eastAsia="宋体" w:cs="Times New Roman"/>
                <w:i w:val="0"/>
                <w:color w:val="auto"/>
                <w:sz w:val="21"/>
                <w:szCs w:val="21"/>
                <w:u w:val="none"/>
                <w:lang w:val="en-US" w:eastAsia="zh-CN"/>
              </w:rPr>
              <w:t>0</w:t>
            </w:r>
          </w:p>
        </w:tc>
        <w:tc>
          <w:tcPr>
            <w:tcW w:w="2913"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299"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Style w:val="21"/>
                <w:color w:val="auto"/>
                <w:lang w:val="en-US" w:eastAsia="zh-CN" w:bidi="ar"/>
              </w:rPr>
              <w:t>外购电力</w:t>
            </w:r>
          </w:p>
        </w:tc>
        <w:tc>
          <w:tcPr>
            <w:tcW w:w="1850"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Style w:val="21"/>
                <w:color w:val="auto"/>
                <w:lang w:val="en-US" w:eastAsia="zh-CN" w:bidi="ar"/>
              </w:rPr>
              <w:t>千瓦时</w:t>
            </w:r>
          </w:p>
        </w:tc>
        <w:tc>
          <w:tcPr>
            <w:tcW w:w="1675"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806146</w:t>
            </w:r>
            <w:r>
              <w:rPr>
                <w:rFonts w:hint="eastAsia" w:ascii="宋体" w:hAnsi="宋体" w:eastAsia="宋体" w:cs="宋体"/>
                <w:i w:val="0"/>
                <w:color w:val="auto"/>
                <w:kern w:val="0"/>
                <w:sz w:val="21"/>
                <w:szCs w:val="21"/>
                <w:u w:val="none"/>
                <w:lang w:val="en-US" w:eastAsia="zh-CN" w:bidi="ar"/>
              </w:rPr>
              <w:t>.</w:t>
            </w:r>
            <w:r>
              <w:rPr>
                <w:rFonts w:hint="default" w:ascii="Times New Roman" w:hAnsi="Times New Roman" w:eastAsia="宋体" w:cs="Times New Roman"/>
                <w:i w:val="0"/>
                <w:color w:val="auto"/>
                <w:kern w:val="0"/>
                <w:sz w:val="21"/>
                <w:szCs w:val="21"/>
                <w:u w:val="none"/>
                <w:lang w:val="en-US" w:eastAsia="zh-CN" w:bidi="ar"/>
              </w:rPr>
              <w:t>91</w:t>
            </w:r>
          </w:p>
        </w:tc>
        <w:tc>
          <w:tcPr>
            <w:tcW w:w="2913"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398</w:t>
            </w:r>
            <w:r>
              <w:rPr>
                <w:rFonts w:hint="eastAsia" w:ascii="宋体" w:hAnsi="宋体" w:eastAsia="宋体" w:cs="宋体"/>
                <w:i w:val="0"/>
                <w:color w:val="auto"/>
                <w:kern w:val="0"/>
                <w:sz w:val="21"/>
                <w:szCs w:val="21"/>
                <w:u w:val="none"/>
                <w:lang w:val="en-US" w:eastAsia="zh-CN" w:bidi="ar"/>
              </w:rPr>
              <w:t>.</w:t>
            </w:r>
            <w:r>
              <w:rPr>
                <w:rFonts w:hint="default" w:ascii="Times New Roman" w:hAnsi="Times New Roman" w:eastAsia="宋体" w:cs="Times New Roman"/>
                <w:i w:val="0"/>
                <w:color w:val="auto"/>
                <w:kern w:val="0"/>
                <w:sz w:val="21"/>
                <w:szCs w:val="21"/>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299"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Style w:val="21"/>
                <w:color w:val="auto"/>
                <w:lang w:val="en-US" w:eastAsia="zh-CN" w:bidi="ar"/>
              </w:rPr>
              <w:t>办公用水消耗</w:t>
            </w:r>
          </w:p>
        </w:tc>
        <w:tc>
          <w:tcPr>
            <w:tcW w:w="1850"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Style w:val="21"/>
                <w:color w:val="auto"/>
                <w:lang w:val="en-US" w:eastAsia="zh-CN" w:bidi="ar"/>
              </w:rPr>
              <w:t>吨</w:t>
            </w:r>
          </w:p>
        </w:tc>
        <w:tc>
          <w:tcPr>
            <w:tcW w:w="1675"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47143</w:t>
            </w:r>
            <w:r>
              <w:rPr>
                <w:rFonts w:hint="eastAsia" w:ascii="宋体" w:hAnsi="宋体" w:eastAsia="宋体" w:cs="宋体"/>
                <w:i w:val="0"/>
                <w:color w:val="auto"/>
                <w:kern w:val="0"/>
                <w:sz w:val="21"/>
                <w:szCs w:val="21"/>
                <w:u w:val="none"/>
                <w:lang w:val="en-US" w:eastAsia="zh-CN" w:bidi="ar"/>
              </w:rPr>
              <w:t>.</w:t>
            </w:r>
            <w:r>
              <w:rPr>
                <w:rFonts w:hint="default" w:ascii="Times New Roman" w:hAnsi="Times New Roman" w:eastAsia="宋体" w:cs="Times New Roman"/>
                <w:i w:val="0"/>
                <w:color w:val="auto"/>
                <w:kern w:val="0"/>
                <w:sz w:val="21"/>
                <w:szCs w:val="21"/>
                <w:u w:val="none"/>
                <w:lang w:val="en-US" w:eastAsia="zh-CN" w:bidi="ar"/>
              </w:rPr>
              <w:t>94</w:t>
            </w:r>
          </w:p>
        </w:tc>
        <w:tc>
          <w:tcPr>
            <w:tcW w:w="2913"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lang w:val="en-US"/>
              </w:rPr>
            </w:pPr>
            <w:r>
              <w:rPr>
                <w:rFonts w:hint="default" w:ascii="Times New Roman" w:hAnsi="Times New Roman" w:eastAsia="宋体" w:cs="Times New Roman"/>
                <w:i w:val="0"/>
                <w:color w:val="auto"/>
                <w:kern w:val="0"/>
                <w:sz w:val="21"/>
                <w:szCs w:val="21"/>
                <w:u w:val="none"/>
                <w:lang w:val="en-US" w:eastAsia="zh-CN" w:bidi="ar"/>
              </w:rPr>
              <w:t>87</w:t>
            </w:r>
            <w:r>
              <w:rPr>
                <w:rFonts w:hint="eastAsia" w:ascii="宋体" w:hAnsi="宋体" w:eastAsia="宋体" w:cs="宋体"/>
                <w:i w:val="0"/>
                <w:color w:val="auto"/>
                <w:kern w:val="0"/>
                <w:sz w:val="21"/>
                <w:szCs w:val="21"/>
                <w:u w:val="none"/>
                <w:lang w:val="en-US" w:eastAsia="zh-CN" w:bidi="ar"/>
              </w:rPr>
              <w:t>.</w:t>
            </w:r>
            <w:r>
              <w:rPr>
                <w:rFonts w:hint="default" w:ascii="Times New Roman" w:hAnsi="Times New Roman" w:eastAsia="宋体" w:cs="Times New Roman"/>
                <w:i w:val="0"/>
                <w:color w:val="auto"/>
                <w:kern w:val="0"/>
                <w:sz w:val="21"/>
                <w:szCs w:val="21"/>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299"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Style w:val="21"/>
                <w:color w:val="auto"/>
                <w:lang w:val="en-US" w:eastAsia="zh-CN" w:bidi="ar"/>
              </w:rPr>
              <w:t>办公用纸消耗量</w:t>
            </w:r>
          </w:p>
        </w:tc>
        <w:tc>
          <w:tcPr>
            <w:tcW w:w="1850"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Style w:val="21"/>
                <w:color w:val="auto"/>
                <w:lang w:val="en-US" w:eastAsia="zh-CN" w:bidi="ar"/>
              </w:rPr>
              <w:t>张</w:t>
            </w:r>
          </w:p>
        </w:tc>
        <w:tc>
          <w:tcPr>
            <w:tcW w:w="1675"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numPr>
                <w:ilvl w:val="0"/>
                <w:numId w:val="0"/>
              </w:numPr>
              <w:suppressLineNumbers w:val="0"/>
              <w:ind w:left="0" w:leftChars="0" w:right="630" w:rightChars="300"/>
              <w:jc w:val="both"/>
              <w:textAlignment w:val="top"/>
              <w:rPr>
                <w:rFonts w:hint="eastAsia" w:ascii="宋体" w:hAnsi="宋体" w:eastAsia="宋体" w:cs="宋体"/>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532010</w:t>
            </w:r>
            <w:r>
              <w:rPr>
                <w:rFonts w:hint="eastAsia" w:ascii="宋体" w:hAnsi="宋体" w:eastAsia="宋体" w:cs="宋体"/>
                <w:i w:val="0"/>
                <w:color w:val="auto"/>
                <w:kern w:val="0"/>
                <w:sz w:val="21"/>
                <w:szCs w:val="21"/>
                <w:u w:val="none"/>
                <w:lang w:val="en-US" w:eastAsia="zh-CN" w:bidi="ar"/>
              </w:rPr>
              <w:t>.</w:t>
            </w:r>
            <w:r>
              <w:rPr>
                <w:rFonts w:hint="default" w:ascii="Times New Roman" w:hAnsi="Times New Roman" w:eastAsia="宋体" w:cs="Times New Roman"/>
                <w:i w:val="0"/>
                <w:color w:val="auto"/>
                <w:kern w:val="0"/>
                <w:sz w:val="21"/>
                <w:szCs w:val="21"/>
                <w:u w:val="none"/>
                <w:lang w:val="en-US" w:eastAsia="zh-CN" w:bidi="ar"/>
              </w:rPr>
              <w:t>92</w:t>
            </w:r>
          </w:p>
        </w:tc>
        <w:tc>
          <w:tcPr>
            <w:tcW w:w="2913"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numPr>
                <w:ilvl w:val="0"/>
                <w:numId w:val="0"/>
              </w:numPr>
              <w:suppressLineNumbers w:val="0"/>
              <w:ind w:left="0" w:leftChars="0" w:right="630" w:rightChars="300"/>
              <w:jc w:val="both"/>
              <w:textAlignment w:val="center"/>
              <w:rPr>
                <w:rFonts w:hint="eastAsia" w:ascii="宋体" w:hAnsi="宋体" w:eastAsia="宋体" w:cs="宋体"/>
                <w:i w:val="0"/>
                <w:color w:val="auto"/>
                <w:sz w:val="22"/>
                <w:szCs w:val="22"/>
                <w:u w:val="none"/>
                <w:lang w:val="en-US"/>
              </w:rPr>
            </w:pPr>
            <w:r>
              <w:rPr>
                <w:rStyle w:val="21"/>
                <w:rFonts w:hint="default" w:ascii="Times New Roman" w:hAnsi="Times New Roman" w:eastAsia="宋体" w:cs="Times New Roman"/>
                <w:i w:val="0"/>
                <w:color w:val="auto"/>
                <w:lang w:val="en-US" w:eastAsia="zh-CN" w:bidi="ar"/>
              </w:rPr>
              <w:t>4</w:t>
            </w:r>
            <w:r>
              <w:rPr>
                <w:rStyle w:val="21"/>
                <w:rFonts w:hint="eastAsia" w:ascii="宋体" w:hAnsi="宋体" w:eastAsia="宋体" w:cs="宋体"/>
                <w:i w:val="0"/>
                <w:color w:val="auto"/>
                <w:lang w:val="en-US" w:eastAsia="zh-CN" w:bidi="ar"/>
              </w:rPr>
              <w:t>.</w:t>
            </w:r>
            <w:r>
              <w:rPr>
                <w:rStyle w:val="21"/>
                <w:rFonts w:hint="default" w:ascii="Times New Roman" w:hAnsi="Times New Roman" w:eastAsia="宋体" w:cs="Times New Roman"/>
                <w:i w:val="0"/>
                <w:color w:val="auto"/>
                <w:lang w:val="en-US" w:eastAsia="zh-CN" w:bidi="ar"/>
              </w:rPr>
              <w:t>09</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注：汽油的二氧化碳排放系数来自于《绿色信贷项目节能减排量测算指引》。外购电力排放系数来自于国家发改委公布的南方区域电网平均二氧化碳排放因子。办公用水和用纸的二氧化碳排放系数来自生态环境部环境规划院碳达峰碳中和研究中心《中国产品全生命周期温室气体排放系数集（</w:t>
      </w:r>
      <w:r>
        <w:rPr>
          <w:rFonts w:hint="default" w:ascii="Times New Roman" w:hAnsi="Times New Roman" w:eastAsia="仿宋_GB2312" w:cs="Times New Roman"/>
          <w:color w:val="auto"/>
          <w:kern w:val="0"/>
          <w:sz w:val="32"/>
          <w:szCs w:val="32"/>
        </w:rPr>
        <w:t>2022</w:t>
      </w:r>
      <w:r>
        <w:rPr>
          <w:rFonts w:hint="eastAsia" w:ascii="仿宋_GB2312" w:hAnsi="仿宋_GB2312" w:eastAsia="仿宋_GB2312" w:cs="仿宋_GB2312"/>
          <w:color w:val="auto"/>
          <w:kern w:val="0"/>
          <w:sz w:val="32"/>
          <w:szCs w:val="32"/>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6" w:name="_Toc21499_WPSOffice_Level2"/>
      <w:r>
        <w:rPr>
          <w:rFonts w:hint="eastAsia" w:ascii="楷体_GB2312" w:hAnsi="楷体_GB2312" w:eastAsia="楷体_GB2312" w:cs="楷体_GB2312"/>
          <w:b w:val="0"/>
          <w:bCs w:val="0"/>
          <w:color w:val="auto"/>
          <w:sz w:val="32"/>
          <w:szCs w:val="32"/>
          <w:lang w:val="en-US" w:eastAsia="zh-CN"/>
        </w:rPr>
        <w:t>（二）自身运营的环境</w:t>
      </w:r>
      <w:bookmarkEnd w:id="16"/>
      <w:r>
        <w:rPr>
          <w:rFonts w:hint="eastAsia" w:ascii="楷体_GB2312" w:hAnsi="楷体_GB2312" w:eastAsia="楷体_GB2312" w:cs="楷体_GB2312"/>
          <w:b w:val="0"/>
          <w:bCs w:val="0"/>
          <w:color w:val="auto"/>
          <w:sz w:val="32"/>
          <w:szCs w:val="32"/>
          <w:lang w:val="en-US" w:eastAsia="zh-CN"/>
        </w:rPr>
        <w:t>效益</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行认真落实贯彻党中央、国务院关于碳达峰、碳中和的重要决策部署，加强本行资源节约全过程管理，严格控制能源和资源消耗，持续提高能源使用效率，将资源节约和节能降碳融入到本行全员日常工作和服务全过程。本行不断强化节能低碳和环保宣传，逐步完善管理组织和工作机制，努力成为节约型银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eastAsia" w:ascii="仿宋_GB2312" w:hAnsi="仿宋_GB2312" w:eastAsia="仿宋_GB2312" w:cs="仿宋_GB2312"/>
          <w:b/>
          <w:bCs/>
          <w:color w:val="auto"/>
          <w:sz w:val="32"/>
          <w:szCs w:val="32"/>
          <w:lang w:eastAsia="zh-CN"/>
        </w:rPr>
      </w:pPr>
      <w:bookmarkStart w:id="17" w:name="_Toc7831_WPSOffice_Level3"/>
      <w:r>
        <w:rPr>
          <w:rFonts w:hint="eastAsia" w:ascii="仿宋_GB2312" w:hAnsi="仿宋_GB2312" w:eastAsia="仿宋_GB2312" w:cs="仿宋_GB2312"/>
          <w:b/>
          <w:bCs/>
          <w:color w:val="auto"/>
          <w:sz w:val="32"/>
          <w:szCs w:val="32"/>
          <w:lang w:eastAsia="zh-CN"/>
        </w:rPr>
        <w:t>积极推动绿色运营</w:t>
      </w:r>
      <w:bookmarkEnd w:id="17"/>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充分发挥金融科技优势，提升电子服务渠道功能。本行在经营网点安装智慧柜员机</w:t>
      </w:r>
      <w:r>
        <w:rPr>
          <w:rFonts w:hint="default" w:ascii="Times New Roman" w:hAnsi="Times New Roman" w:eastAsia="仿宋_GB2312" w:cs="Times New Roman"/>
          <w:b w:val="0"/>
          <w:bCs w:val="0"/>
          <w:color w:val="auto"/>
          <w:sz w:val="32"/>
          <w:szCs w:val="32"/>
          <w:highlight w:val="none"/>
          <w:lang w:eastAsia="zh-CN"/>
        </w:rPr>
        <w:t>20</w:t>
      </w:r>
      <w:r>
        <w:rPr>
          <w:rFonts w:hint="eastAsia" w:ascii="仿宋_GB2312" w:hAnsi="仿宋_GB2312" w:eastAsia="仿宋_GB2312" w:cs="仿宋_GB2312"/>
          <w:b w:val="0"/>
          <w:bCs w:val="0"/>
          <w:color w:val="auto"/>
          <w:sz w:val="32"/>
          <w:szCs w:val="32"/>
          <w:highlight w:val="none"/>
          <w:lang w:eastAsia="zh-CN"/>
        </w:rPr>
        <w:t>台、电子广告机</w:t>
      </w:r>
      <w:r>
        <w:rPr>
          <w:rFonts w:hint="default" w:ascii="Times New Roman" w:hAnsi="Times New Roman" w:eastAsia="仿宋_GB2312" w:cs="Times New Roman"/>
          <w:b w:val="0"/>
          <w:bCs w:val="0"/>
          <w:color w:val="auto"/>
          <w:sz w:val="32"/>
          <w:szCs w:val="32"/>
          <w:highlight w:val="none"/>
          <w:lang w:val="en-US" w:eastAsia="zh-CN"/>
        </w:rPr>
        <w:t>17</w:t>
      </w:r>
      <w:r>
        <w:rPr>
          <w:rFonts w:hint="eastAsia" w:ascii="仿宋_GB2312" w:hAnsi="仿宋_GB2312" w:eastAsia="仿宋_GB2312" w:cs="仿宋_GB2312"/>
          <w:b w:val="0"/>
          <w:bCs w:val="0"/>
          <w:color w:val="auto"/>
          <w:sz w:val="32"/>
          <w:szCs w:val="32"/>
          <w:highlight w:val="none"/>
          <w:lang w:val="en-US" w:eastAsia="zh-CN"/>
        </w:rPr>
        <w:t>台</w:t>
      </w:r>
      <w:r>
        <w:rPr>
          <w:rFonts w:hint="eastAsia" w:ascii="仿宋_GB2312" w:hAnsi="仿宋_GB2312" w:eastAsia="仿宋_GB2312" w:cs="仿宋_GB2312"/>
          <w:b w:val="0"/>
          <w:bCs w:val="0"/>
          <w:color w:val="auto"/>
          <w:sz w:val="32"/>
          <w:szCs w:val="32"/>
          <w:highlight w:val="none"/>
          <w:lang w:eastAsia="zh-CN"/>
        </w:rPr>
        <w:t>，构建“柜台+移动展业+智能机具”深度融合服务模式。提供银企余额对账等电子信息服务，不断完善网上银行、手机银行、自助设备等电子服务渠道功能，提升电子渠道的使用替代率。</w:t>
      </w:r>
      <w:r>
        <w:rPr>
          <w:rFonts w:hint="eastAsia" w:ascii="仿宋_GB2312" w:hAnsi="仿宋_GB2312" w:eastAsia="仿宋_GB2312" w:cs="仿宋_GB2312"/>
          <w:b w:val="0"/>
          <w:bCs w:val="0"/>
          <w:color w:val="auto"/>
          <w:sz w:val="32"/>
          <w:szCs w:val="32"/>
          <w:highlight w:val="none"/>
          <w:lang w:val="en-US" w:eastAsia="zh-CN"/>
        </w:rPr>
        <w:t>将银行业务转移至智能设备渠道办理，</w:t>
      </w:r>
      <w:r>
        <w:rPr>
          <w:rFonts w:hint="eastAsia" w:ascii="仿宋_GB2312" w:hAnsi="仿宋_GB2312" w:eastAsia="仿宋_GB2312" w:cs="仿宋_GB2312"/>
          <w:b w:val="0"/>
          <w:bCs w:val="0"/>
          <w:color w:val="auto"/>
          <w:sz w:val="32"/>
          <w:szCs w:val="32"/>
          <w:highlight w:val="none"/>
          <w:lang w:eastAsia="zh-CN"/>
        </w:rPr>
        <w:t>努力使客户通过足不出户的低碳方式便可享受到优质的金融服务，节省了大量纸张和人工</w:t>
      </w:r>
      <w:r>
        <w:rPr>
          <w:rFonts w:hint="eastAsia" w:ascii="仿宋_GB2312" w:hAnsi="仿宋_GB2312" w:eastAsia="仿宋_GB2312" w:cs="仿宋_GB2312"/>
          <w:b w:val="0"/>
          <w:bCs w:val="0"/>
          <w:color w:val="auto"/>
          <w:sz w:val="32"/>
          <w:szCs w:val="32"/>
          <w:highlight w:val="none"/>
          <w:lang w:val="en-US" w:eastAsia="zh-CN"/>
        </w:rPr>
        <w:t>成本</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利用科技和信息化手段节约资源，</w:t>
      </w:r>
      <w:r>
        <w:rPr>
          <w:rFonts w:hint="eastAsia" w:ascii="仿宋_GB2312" w:hAnsi="仿宋_GB2312" w:eastAsia="仿宋_GB2312" w:cs="仿宋_GB2312"/>
          <w:b w:val="0"/>
          <w:bCs w:val="0"/>
          <w:color w:val="auto"/>
          <w:sz w:val="32"/>
          <w:szCs w:val="32"/>
          <w:highlight w:val="none"/>
          <w:lang w:eastAsia="zh-CN"/>
        </w:rPr>
        <w:t>积极推动本行</w:t>
      </w:r>
      <w:r>
        <w:rPr>
          <w:rFonts w:hint="eastAsia" w:ascii="仿宋_GB2312" w:hAnsi="仿宋_GB2312" w:eastAsia="仿宋_GB2312" w:cs="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lang w:eastAsia="zh-CN"/>
        </w:rPr>
        <w:t>低碳</w:t>
      </w:r>
      <w:r>
        <w:rPr>
          <w:rFonts w:hint="eastAsia" w:ascii="仿宋_GB2312" w:hAnsi="仿宋_GB2312" w:eastAsia="仿宋_GB2312" w:cs="仿宋_GB2312"/>
          <w:b w:val="0"/>
          <w:bCs w:val="0"/>
          <w:color w:val="auto"/>
          <w:sz w:val="32"/>
          <w:szCs w:val="32"/>
          <w:highlight w:val="none"/>
          <w:lang w:val="en-US" w:eastAsia="zh-CN"/>
        </w:rPr>
        <w:t>环保和绿色化运营</w:t>
      </w:r>
      <w:r>
        <w:rPr>
          <w:rFonts w:hint="eastAsia" w:ascii="仿宋_GB2312" w:hAnsi="仿宋_GB2312" w:eastAsia="仿宋_GB2312" w:cs="仿宋_GB2312"/>
          <w:b w:val="0"/>
          <w:bCs w:val="0"/>
          <w:color w:val="auto"/>
          <w:sz w:val="32"/>
          <w:szCs w:val="32"/>
          <w:highlight w:val="none"/>
          <w:lang w:eastAsia="zh-CN"/>
        </w:rPr>
        <w:t>转型。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eastAsia"/>
          <w:color w:val="auto"/>
          <w:sz w:val="32"/>
          <w:szCs w:val="32"/>
          <w:lang w:val="en-US" w:eastAsia="zh-CN"/>
        </w:rPr>
      </w:pPr>
      <w:bookmarkStart w:id="18" w:name="_Toc26808_WPSOffice_Level3"/>
      <w:r>
        <w:rPr>
          <w:rFonts w:hint="eastAsia" w:ascii="仿宋_GB2312" w:hAnsi="仿宋_GB2312" w:eastAsia="仿宋_GB2312" w:cs="仿宋_GB2312"/>
          <w:b/>
          <w:bCs/>
          <w:color w:val="auto"/>
          <w:sz w:val="32"/>
          <w:szCs w:val="32"/>
          <w:lang w:eastAsia="zh-CN"/>
        </w:rPr>
        <w:t>积极推行绿色办公</w:t>
      </w:r>
      <w:bookmarkEnd w:id="18"/>
      <w:r>
        <w:rPr>
          <w:rFonts w:hint="eastAsia" w:ascii="仿宋_GB2312" w:hAnsi="仿宋_GB2312" w:eastAsia="仿宋_GB2312" w:cs="仿宋_GB2312"/>
          <w:b/>
          <w:bCs/>
          <w:color w:val="auto"/>
          <w:sz w:val="32"/>
          <w:szCs w:val="32"/>
          <w:lang w:val="en-US" w:eastAsia="zh-CN"/>
        </w:rPr>
        <w:t xml:space="preserve"> </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本行积极推行绿色办公，对行内员工倡导绿色理念，切实履行社会责任，践行绿色、可持续发展，每年清理全行固定资产和低值易耗品，确保循环利用，减少新增。全行自觉做到节约用水、节约用电、节约粮食三个节约，不断强化节约意识。夏季空调推荐定为不低于</w:t>
      </w:r>
      <w:r>
        <w:rPr>
          <w:rFonts w:hint="default" w:ascii="Times New Roman" w:hAnsi="Times New Roman" w:eastAsia="仿宋_GB2312" w:cs="Times New Roman"/>
          <w:b w:val="0"/>
          <w:bCs w:val="0"/>
          <w:color w:val="auto"/>
          <w:sz w:val="32"/>
          <w:szCs w:val="32"/>
          <w:highlight w:val="none"/>
          <w:lang w:eastAsia="zh-CN"/>
        </w:rPr>
        <w:t>26</w:t>
      </w:r>
      <w:r>
        <w:rPr>
          <w:rFonts w:hint="eastAsia" w:ascii="仿宋_GB2312" w:hAnsi="仿宋_GB2312" w:eastAsia="仿宋_GB2312" w:cs="仿宋_GB2312"/>
          <w:b w:val="0"/>
          <w:bCs w:val="0"/>
          <w:color w:val="auto"/>
          <w:sz w:val="32"/>
          <w:szCs w:val="32"/>
          <w:highlight w:val="none"/>
          <w:lang w:eastAsia="zh-CN"/>
        </w:rPr>
        <w:t>度、冬季不高于</w:t>
      </w:r>
      <w:r>
        <w:rPr>
          <w:rFonts w:hint="default" w:ascii="Times New Roman" w:hAnsi="Times New Roman" w:eastAsia="仿宋_GB2312"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lang w:val="en-US" w:eastAsia="zh-CN"/>
        </w:rPr>
        <w:t>度的</w:t>
      </w:r>
      <w:r>
        <w:rPr>
          <w:rFonts w:hint="eastAsia" w:ascii="仿宋_GB2312" w:hAnsi="仿宋_GB2312" w:eastAsia="仿宋_GB2312" w:cs="仿宋_GB2312"/>
          <w:b w:val="0"/>
          <w:bCs w:val="0"/>
          <w:color w:val="auto"/>
          <w:sz w:val="32"/>
          <w:szCs w:val="32"/>
          <w:highlight w:val="none"/>
          <w:lang w:eastAsia="zh-CN"/>
        </w:rPr>
        <w:t>温度控制标准，设置节约用电标识和室温控制标识。办公自动化设备尽量减少待机消耗，长时间不使用或下班时间应及时关闭电源，有效节约用电，合理使用光照，每日专人巡逻确保人走灯关。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eastAsia" w:ascii="仿宋_GB2312" w:hAnsi="仿宋_GB2312" w:eastAsia="仿宋_GB2312" w:cs="仿宋_GB2312"/>
          <w:b/>
          <w:bCs/>
          <w:color w:val="auto"/>
          <w:sz w:val="32"/>
          <w:szCs w:val="32"/>
          <w:lang w:eastAsia="zh-CN"/>
        </w:rPr>
      </w:pPr>
      <w:bookmarkStart w:id="19" w:name="_Toc6491_WPSOffice_Level3"/>
      <w:r>
        <w:rPr>
          <w:rFonts w:hint="eastAsia" w:ascii="仿宋_GB2312" w:hAnsi="仿宋_GB2312" w:eastAsia="仿宋_GB2312" w:cs="仿宋_GB2312"/>
          <w:b/>
          <w:bCs/>
          <w:color w:val="auto"/>
          <w:sz w:val="32"/>
          <w:szCs w:val="32"/>
          <w:lang w:eastAsia="zh-CN"/>
        </w:rPr>
        <w:t>积极倡导绿色出行</w:t>
      </w:r>
      <w:bookmarkEnd w:id="19"/>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加强公车管理，合理安排公务用车。建立公务用车审批登记制度，统一调配，提高车辆使用效率，减少出车频率，对用车半径进行限制，</w:t>
      </w:r>
      <w:r>
        <w:rPr>
          <w:rFonts w:hint="default" w:ascii="Times New Roman" w:hAnsi="Times New Roman" w:eastAsia="仿宋_GB2312" w:cs="Times New Roman"/>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val="en-US" w:eastAsia="zh-CN"/>
        </w:rPr>
        <w:t>公里范围内倡导公共交通出行</w:t>
      </w:r>
      <w:r>
        <w:rPr>
          <w:rFonts w:hint="eastAsia" w:ascii="仿宋_GB2312" w:hAnsi="仿宋_GB2312" w:eastAsia="仿宋_GB2312" w:cs="仿宋_GB2312"/>
          <w:b w:val="0"/>
          <w:bCs w:val="0"/>
          <w:color w:val="auto"/>
          <w:sz w:val="32"/>
          <w:szCs w:val="32"/>
          <w:highlight w:val="none"/>
          <w:lang w:eastAsia="zh-CN"/>
        </w:rPr>
        <w:t>。对购置车辆排量进行限制，购置车辆</w:t>
      </w:r>
      <w:r>
        <w:rPr>
          <w:rFonts w:hint="eastAsia" w:ascii="仿宋_GB2312" w:hAnsi="楷体" w:eastAsia="仿宋_GB2312"/>
          <w:color w:val="auto"/>
          <w:sz w:val="32"/>
          <w:szCs w:val="32"/>
          <w:highlight w:val="none"/>
        </w:rPr>
        <w:t>排气量</w:t>
      </w:r>
      <w:r>
        <w:rPr>
          <w:rFonts w:hint="default" w:ascii="Times New Roman" w:hAnsi="Times New Roman" w:eastAsia="仿宋_GB2312" w:cs="Times New Roman"/>
          <w:color w:val="auto"/>
          <w:sz w:val="32"/>
          <w:szCs w:val="32"/>
          <w:highlight w:val="none"/>
        </w:rPr>
        <w:t>1</w:t>
      </w:r>
      <w:r>
        <w:rPr>
          <w:rFonts w:hint="eastAsia" w:ascii="仿宋_GB2312" w:hAnsi="楷体" w:eastAsia="仿宋_GB2312"/>
          <w:color w:val="auto"/>
          <w:sz w:val="32"/>
          <w:szCs w:val="32"/>
          <w:highlight w:val="none"/>
        </w:rPr>
        <w:t>.</w:t>
      </w:r>
      <w:r>
        <w:rPr>
          <w:rFonts w:hint="default" w:ascii="Times New Roman" w:hAnsi="Times New Roman" w:eastAsia="仿宋_GB2312" w:cs="Times New Roman"/>
          <w:color w:val="auto"/>
          <w:sz w:val="32"/>
          <w:szCs w:val="32"/>
          <w:highlight w:val="none"/>
        </w:rPr>
        <w:t>8</w:t>
      </w:r>
      <w:r>
        <w:rPr>
          <w:rFonts w:hint="eastAsia" w:ascii="仿宋_GB2312" w:hAnsi="楷体" w:eastAsia="仿宋_GB2312"/>
          <w:color w:val="auto"/>
          <w:sz w:val="32"/>
          <w:szCs w:val="32"/>
          <w:highlight w:val="none"/>
        </w:rPr>
        <w:t>升（含）以下</w:t>
      </w:r>
      <w:r>
        <w:rPr>
          <w:rFonts w:hint="eastAsia" w:ascii="仿宋_GB2312" w:hAnsi="仿宋_GB2312" w:eastAsia="仿宋_GB2312" w:cs="仿宋_GB2312"/>
          <w:b w:val="0"/>
          <w:bCs w:val="0"/>
          <w:color w:val="auto"/>
          <w:sz w:val="32"/>
          <w:szCs w:val="32"/>
          <w:highlight w:val="none"/>
          <w:lang w:eastAsia="zh-CN"/>
        </w:rPr>
        <w:t>，积极推行绿色出行，倡导员工步行上下班或以公共交通方式出行，提倡员工购买使用新能源电动车，</w:t>
      </w:r>
      <w:r>
        <w:rPr>
          <w:rFonts w:hint="eastAsia" w:ascii="仿宋_GB2312" w:hAnsi="仿宋_GB2312" w:eastAsia="仿宋_GB2312" w:cs="仿宋_GB2312"/>
          <w:b w:val="0"/>
          <w:bCs w:val="0"/>
          <w:color w:val="auto"/>
          <w:sz w:val="32"/>
          <w:szCs w:val="32"/>
          <w:highlight w:val="none"/>
          <w:lang w:val="en-US" w:eastAsia="zh-CN"/>
        </w:rPr>
        <w:t>选择更加环保和健康的出行方式。</w:t>
      </w:r>
    </w:p>
    <w:bookmarkEnd w:id="15"/>
    <w:p>
      <w:pPr>
        <w:keepNext w:val="0"/>
        <w:keepLines w:val="0"/>
        <w:pageBreakBefore w:val="0"/>
        <w:numPr>
          <w:ilvl w:val="0"/>
          <w:numId w:val="0"/>
        </w:numPr>
        <w:kinsoku/>
        <w:wordWrap/>
        <w:overflowPunct/>
        <w:topLinePunct w:val="0"/>
        <w:autoSpaceDE/>
        <w:autoSpaceDN/>
        <w:bidi w:val="0"/>
        <w:spacing w:line="560" w:lineRule="exact"/>
        <w:ind w:right="630" w:rightChars="300" w:firstLine="640" w:firstLineChars="200"/>
        <w:textAlignment w:val="auto"/>
        <w:rPr>
          <w:rFonts w:hint="eastAsia" w:ascii="黑体" w:hAnsi="黑体" w:eastAsia="黑体" w:cs="黑体"/>
          <w:b w:val="0"/>
          <w:bCs w:val="0"/>
          <w:color w:val="auto"/>
          <w:sz w:val="32"/>
          <w:szCs w:val="32"/>
          <w:highlight w:val="yellow"/>
          <w:lang w:val="en-US" w:eastAsia="zh-CN"/>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投融资活动的环境影响</w:t>
      </w:r>
    </w:p>
    <w:p>
      <w:pPr>
        <w:keepNext w:val="0"/>
        <w:keepLines w:val="0"/>
        <w:pageBreakBefore w:val="0"/>
        <w:kinsoku/>
        <w:wordWrap/>
        <w:overflowPunct/>
        <w:topLinePunct w:val="0"/>
        <w:autoSpaceDE/>
        <w:autoSpaceDN/>
        <w:bidi w:val="0"/>
        <w:spacing w:line="560" w:lineRule="exact"/>
        <w:ind w:right="23" w:rightChars="11" w:firstLine="640" w:firstLineChars="20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b w:val="0"/>
          <w:bCs w:val="0"/>
          <w:color w:val="auto"/>
          <w:sz w:val="32"/>
          <w:szCs w:val="32"/>
          <w:highlight w:val="none"/>
          <w:lang w:val="en-US" w:eastAsia="zh-CN"/>
        </w:rPr>
        <w:t>2023</w:t>
      </w:r>
      <w:r>
        <w:rPr>
          <w:rFonts w:hint="eastAsia" w:ascii="仿宋_GB2312" w:hAnsi="仿宋_GB2312" w:eastAsia="仿宋_GB2312" w:cs="仿宋_GB2312"/>
          <w:b w:val="0"/>
          <w:bCs w:val="0"/>
          <w:color w:val="auto"/>
          <w:sz w:val="32"/>
          <w:szCs w:val="32"/>
          <w:highlight w:val="none"/>
          <w:lang w:val="en-US" w:eastAsia="zh-CN"/>
        </w:rPr>
        <w:t>年，</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本行</w:t>
      </w:r>
      <w:r>
        <w:rPr>
          <w:rFonts w:hint="eastAsia" w:ascii="仿宋_GB2312" w:hAnsi="仿宋_GB2312" w:eastAsia="仿宋_GB2312" w:cs="仿宋_GB2312"/>
          <w:b w:val="0"/>
          <w:bCs w:val="0"/>
          <w:color w:val="auto"/>
          <w:sz w:val="32"/>
          <w:szCs w:val="32"/>
          <w:highlight w:val="none"/>
          <w:lang w:eastAsia="zh-CN"/>
        </w:rPr>
        <w:t>各项贷款余额</w:t>
      </w:r>
      <w:r>
        <w:rPr>
          <w:rFonts w:hint="default" w:ascii="Times New Roman" w:hAnsi="Times New Roman" w:eastAsia="仿宋_GB2312" w:cs="Times New Roman"/>
          <w:b w:val="0"/>
          <w:bCs w:val="0"/>
          <w:color w:val="auto"/>
          <w:sz w:val="32"/>
          <w:szCs w:val="32"/>
          <w:highlight w:val="none"/>
          <w:lang w:val="en-US" w:eastAsia="zh-CN"/>
        </w:rPr>
        <w:t>41</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70</w:t>
      </w:r>
      <w:r>
        <w:rPr>
          <w:rFonts w:hint="eastAsia" w:ascii="仿宋_GB2312" w:hAnsi="仿宋_GB2312" w:eastAsia="仿宋_GB2312" w:cs="仿宋_GB2312"/>
          <w:b w:val="0"/>
          <w:bCs w:val="0"/>
          <w:color w:val="auto"/>
          <w:sz w:val="32"/>
          <w:szCs w:val="32"/>
          <w:highlight w:val="none"/>
          <w:lang w:val="en-US" w:eastAsia="zh-CN"/>
        </w:rPr>
        <w:t>亿元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其中，绿色普惠贷款</w:t>
      </w:r>
      <w:r>
        <w:rPr>
          <w:rFonts w:hint="default" w:ascii="Times New Roman" w:hAnsi="Times New Roman" w:eastAsia="仿宋_GB2312" w:cs="Times New Roman"/>
          <w:b w:val="0"/>
          <w:bCs w:val="0"/>
          <w:color w:val="auto"/>
          <w:kern w:val="2"/>
          <w:sz w:val="32"/>
          <w:szCs w:val="32"/>
          <w:highlight w:val="none"/>
          <w:lang w:val="en-US" w:eastAsia="zh-CN" w:bidi="ar-SA"/>
        </w:rPr>
        <w:t>4</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62</w:t>
      </w:r>
      <w:r>
        <w:rPr>
          <w:rFonts w:hint="eastAsia" w:ascii="仿宋_GB2312" w:hAnsi="仿宋_GB2312" w:eastAsia="仿宋_GB2312" w:cs="仿宋_GB2312"/>
          <w:b w:val="0"/>
          <w:bCs w:val="0"/>
          <w:color w:val="auto"/>
          <w:kern w:val="2"/>
          <w:sz w:val="32"/>
          <w:szCs w:val="32"/>
          <w:highlight w:val="none"/>
          <w:lang w:val="en-US" w:eastAsia="zh-CN" w:bidi="ar-SA"/>
        </w:rPr>
        <w:t>亿元</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占各项贷款比例</w:t>
      </w:r>
      <w:r>
        <w:rPr>
          <w:rFonts w:hint="default" w:ascii="Times New Roman" w:hAnsi="Times New Roman" w:eastAsia="仿宋_GB2312" w:cs="Times New Roman"/>
          <w:b w:val="0"/>
          <w:bCs w:val="0"/>
          <w:color w:val="auto"/>
          <w:kern w:val="2"/>
          <w:sz w:val="32"/>
          <w:szCs w:val="32"/>
          <w:highlight w:val="none"/>
          <w:lang w:val="en-US" w:eastAsia="zh-CN" w:bidi="ar-SA"/>
        </w:rPr>
        <w:t>9</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02</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sz w:val="32"/>
          <w:szCs w:val="32"/>
          <w:highlight w:val="none"/>
          <w:lang w:val="en-US" w:eastAsia="zh-CN"/>
        </w:rPr>
        <w:t>主要用于节能绿色</w:t>
      </w:r>
      <w:r>
        <w:rPr>
          <w:rFonts w:hint="eastAsia" w:ascii="仿宋_GB2312" w:hAnsi="仿宋_GB2312" w:eastAsia="仿宋_GB2312" w:cs="仿宋_GB2312"/>
          <w:b w:val="0"/>
          <w:bCs w:val="0"/>
          <w:color w:val="auto"/>
          <w:sz w:val="32"/>
          <w:szCs w:val="32"/>
          <w:highlight w:val="none"/>
          <w:lang w:val="en-US" w:eastAsia="zh-CN"/>
        </w:rPr>
        <w:t>环保产业、生态环境产业，有效支持辖内有机食用菌产业群项目、茶场经营以及关岭牛养殖产业等；</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本行已建立标识生态账户</w:t>
      </w:r>
      <w:r>
        <w:rPr>
          <w:rFonts w:hint="default" w:ascii="Times New Roman" w:hAnsi="Times New Roman" w:eastAsia="仿宋_GB2312" w:cs="Times New Roman"/>
          <w:b w:val="0"/>
          <w:bCs w:val="0"/>
          <w:color w:val="auto"/>
          <w:sz w:val="32"/>
          <w:szCs w:val="32"/>
          <w:highlight w:val="none"/>
          <w:lang w:val="en-US" w:eastAsia="zh-CN"/>
        </w:rPr>
        <w:t>5054</w:t>
      </w:r>
      <w:r>
        <w:rPr>
          <w:rFonts w:hint="eastAsia" w:ascii="仿宋_GB2312" w:hAnsi="仿宋_GB2312" w:eastAsia="仿宋_GB2312" w:cs="仿宋_GB2312"/>
          <w:b w:val="0"/>
          <w:bCs w:val="0"/>
          <w:color w:val="auto"/>
          <w:sz w:val="32"/>
          <w:szCs w:val="32"/>
          <w:highlight w:val="none"/>
          <w:lang w:val="en-US" w:eastAsia="zh-CN"/>
        </w:rPr>
        <w:t>户，从客户行为、账户生态属性及生态积分消耗运行方面引导客户积极参与绿色投融资活动；</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本行通过产品授信及渠道流</w:t>
      </w:r>
      <w:r>
        <w:rPr>
          <w:rFonts w:hint="eastAsia" w:ascii="仿宋_GB2312" w:hAnsi="仿宋_GB2312" w:eastAsia="仿宋_GB2312" w:cs="仿宋_GB2312"/>
          <w:color w:val="auto"/>
          <w:sz w:val="32"/>
          <w:szCs w:val="32"/>
          <w:highlight w:val="none"/>
          <w:lang w:val="en-US" w:eastAsia="zh-CN"/>
        </w:rPr>
        <w:t>程优化、创新。为提高新市民信贷服务水平，丰富线上绿色普惠信贷服务品种，降低信贷授信营销成本、实现绿色低碳授信，提高拓客效率、实现绿色低碳办贷，切实解决新市民的生产经营及消费</w:t>
      </w:r>
      <w:r>
        <w:rPr>
          <w:rFonts w:hint="eastAsia" w:ascii="仿宋_GB2312" w:hAnsi="仿宋_GB2312" w:eastAsia="仿宋_GB2312" w:cs="仿宋_GB2312"/>
          <w:color w:val="auto"/>
          <w:sz w:val="32"/>
          <w:szCs w:val="32"/>
          <w:highlight w:val="none"/>
          <w:lang w:val="en-US" w:eastAsia="zh-CN"/>
        </w:rPr>
        <w:t>资金需求，本行创设《新市民·低碳普惠贷》。聚焦外出</w:t>
      </w:r>
      <w:r>
        <w:rPr>
          <w:rFonts w:hint="eastAsia" w:ascii="仿宋_GB2312" w:hAnsi="仿宋_GB2312" w:eastAsia="仿宋_GB2312" w:cs="仿宋_GB2312"/>
          <w:color w:val="auto"/>
          <w:sz w:val="32"/>
          <w:szCs w:val="32"/>
          <w:highlight w:val="none"/>
          <w:lang w:val="en-US" w:eastAsia="zh-CN"/>
        </w:rPr>
        <w:t>务工新市民率先开展非现场、非接触式远程集中批量授信，实现低碳出行，无感授信，实现白名单批量导入客户</w:t>
      </w:r>
      <w:r>
        <w:rPr>
          <w:rFonts w:hint="default" w:ascii="Times New Roman" w:hAnsi="Times New Roman" w:eastAsia="仿宋_GB2312" w:cs="Times New Roman"/>
          <w:color w:val="auto"/>
          <w:sz w:val="32"/>
          <w:szCs w:val="32"/>
          <w:highlight w:val="none"/>
          <w:lang w:val="en-US" w:eastAsia="zh-CN"/>
        </w:rPr>
        <w:t>20061</w:t>
      </w:r>
      <w:r>
        <w:rPr>
          <w:rFonts w:hint="eastAsia" w:ascii="仿宋_GB2312" w:hAnsi="仿宋_GB2312" w:eastAsia="仿宋_GB2312" w:cs="仿宋_GB2312"/>
          <w:color w:val="auto"/>
          <w:sz w:val="32"/>
          <w:szCs w:val="32"/>
          <w:highlight w:val="none"/>
          <w:lang w:val="en-US" w:eastAsia="zh-CN"/>
        </w:rPr>
        <w:t>名，授信总额</w:t>
      </w:r>
      <w:r>
        <w:rPr>
          <w:rFonts w:hint="default" w:ascii="Times New Roman" w:hAnsi="Times New Roman" w:eastAsia="仿宋_GB2312" w:cs="Times New Roman"/>
          <w:color w:val="auto"/>
          <w:sz w:val="32"/>
          <w:szCs w:val="32"/>
          <w:highlight w:val="none"/>
          <w:lang w:val="en-US" w:eastAsia="zh-CN"/>
        </w:rPr>
        <w:t>76409</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en-US" w:eastAsia="zh-CN"/>
        </w:rPr>
        <w:t>万元，累计发放低碳普惠贷</w:t>
      </w:r>
      <w:r>
        <w:rPr>
          <w:rFonts w:hint="default" w:ascii="Times New Roman" w:hAnsi="Times New Roman" w:eastAsia="仿宋_GB2312" w:cs="Times New Roman"/>
          <w:color w:val="auto"/>
          <w:sz w:val="32"/>
          <w:szCs w:val="32"/>
          <w:highlight w:val="none"/>
          <w:lang w:val="en-US" w:eastAsia="zh-CN"/>
        </w:rPr>
        <w:t>1180</w:t>
      </w:r>
      <w:r>
        <w:rPr>
          <w:rFonts w:hint="eastAsia" w:ascii="仿宋_GB2312" w:hAnsi="仿宋_GB2312" w:eastAsia="仿宋_GB2312" w:cs="仿宋_GB2312"/>
          <w:color w:val="auto"/>
          <w:sz w:val="32"/>
          <w:szCs w:val="32"/>
          <w:highlight w:val="none"/>
          <w:lang w:val="en-US" w:eastAsia="zh-CN"/>
        </w:rPr>
        <w:t>户、贷款余额</w:t>
      </w:r>
      <w:r>
        <w:rPr>
          <w:rFonts w:hint="default" w:ascii="Times New Roman" w:hAnsi="Times New Roman" w:eastAsia="仿宋_GB2312" w:cs="Times New Roman"/>
          <w:color w:val="auto"/>
          <w:sz w:val="32"/>
          <w:szCs w:val="32"/>
          <w:highlight w:val="none"/>
          <w:lang w:val="en-US" w:eastAsia="zh-CN"/>
        </w:rPr>
        <w:t>4654</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color w:val="auto"/>
          <w:sz w:val="32"/>
          <w:szCs w:val="32"/>
          <w:highlight w:val="none"/>
          <w:lang w:val="en-US" w:eastAsia="zh-CN"/>
        </w:rPr>
        <w:t>以主题教育为契机，开展《探索提升线上贷款占比的方法路径 助力客户经理减负赋能》主题调研活动，通过不断加大线上贷款拓展及存量线下贷款转线上办贷的方式。</w:t>
      </w:r>
      <w:r>
        <w:rPr>
          <w:rFonts w:hint="default" w:ascii="Times New Roman" w:hAnsi="Times New Roman" w:eastAsia="仿宋_GB2312" w:cs="Times New Roman"/>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en-US" w:eastAsia="zh-CN"/>
        </w:rPr>
        <w:t>年实现黔农云APP线上信贷业务替代率较年初提升</w:t>
      </w:r>
      <w:r>
        <w:rPr>
          <w:rFonts w:hint="default" w:ascii="Times New Roman" w:hAnsi="Times New Roman" w:eastAsia="仿宋_GB2312" w:cs="Times New Roman"/>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87</w:t>
      </w:r>
      <w:r>
        <w:rPr>
          <w:rFonts w:hint="eastAsia" w:ascii="仿宋_GB2312" w:hAnsi="仿宋_GB2312" w:eastAsia="仿宋_GB2312" w:cs="仿宋_GB2312"/>
          <w:color w:val="auto"/>
          <w:sz w:val="32"/>
          <w:szCs w:val="32"/>
          <w:highlight w:val="none"/>
          <w:lang w:val="en-US" w:eastAsia="zh-CN"/>
        </w:rPr>
        <w:t>个百分点，提升至</w:t>
      </w:r>
      <w:r>
        <w:rPr>
          <w:rFonts w:hint="default" w:ascii="Times New Roman" w:hAnsi="Times New Roman" w:eastAsia="仿宋_GB2312" w:cs="Times New Roman"/>
          <w:color w:val="auto"/>
          <w:sz w:val="32"/>
          <w:szCs w:val="32"/>
          <w:highlight w:val="none"/>
          <w:lang w:val="en-US" w:eastAsia="zh-CN"/>
        </w:rPr>
        <w:t>90</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21</w:t>
      </w:r>
      <w:r>
        <w:rPr>
          <w:rFonts w:hint="eastAsia" w:ascii="仿宋_GB2312" w:hAnsi="仿宋_GB2312" w:eastAsia="仿宋_GB2312" w:cs="仿宋_GB2312"/>
          <w:color w:val="auto"/>
          <w:sz w:val="32"/>
          <w:szCs w:val="32"/>
          <w:highlight w:val="none"/>
          <w:lang w:val="en-US" w:eastAsia="zh-CN"/>
        </w:rPr>
        <w:t>%，有效降低客户线下办贷的时间成本、节约线下办贷的纸张、墨粉等办公耗材。</w:t>
      </w:r>
    </w:p>
    <w:p>
      <w:pPr>
        <w:keepNext w:val="0"/>
        <w:keepLines w:val="0"/>
        <w:pageBreakBefore w:val="0"/>
        <w:numPr>
          <w:ilvl w:val="0"/>
          <w:numId w:val="0"/>
        </w:numPr>
        <w:kinsoku/>
        <w:wordWrap/>
        <w:overflowPunct/>
        <w:topLinePunct w:val="0"/>
        <w:autoSpaceDE/>
        <w:autoSpaceDN/>
        <w:bidi w:val="0"/>
        <w:spacing w:line="560" w:lineRule="exact"/>
        <w:ind w:right="630" w:rightChars="30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八、绿色金融创新做法及成果</w:t>
      </w:r>
    </w:p>
    <w:p>
      <w:pPr>
        <w:pStyle w:val="2"/>
        <w:keepNext w:val="0"/>
        <w:keepLines w:val="0"/>
        <w:pageBreakBefore w:val="0"/>
        <w:widowControl w:val="0"/>
        <w:tabs>
          <w:tab w:val="left" w:pos="4830"/>
        </w:tabs>
        <w:kinsoku/>
        <w:wordWrap/>
        <w:overflowPunct/>
        <w:topLinePunct w:val="0"/>
        <w:autoSpaceDE/>
        <w:autoSpaceDN/>
        <w:bidi w:val="0"/>
        <w:adjustRightInd/>
        <w:snapToGrid/>
        <w:spacing w:after="0"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lang w:val="en-US" w:eastAsia="zh-CN"/>
        </w:rPr>
      </w:pPr>
      <w:bookmarkStart w:id="20" w:name="_Toc31952_WPSOffice_Level2"/>
      <w:r>
        <w:rPr>
          <w:rFonts w:hint="eastAsia" w:ascii="楷体_GB2312" w:hAnsi="楷体_GB2312" w:eastAsia="楷体_GB2312" w:cs="楷体_GB2312"/>
          <w:b w:val="0"/>
          <w:bCs w:val="0"/>
          <w:color w:val="auto"/>
          <w:sz w:val="32"/>
          <w:szCs w:val="32"/>
          <w:lang w:val="en-US" w:eastAsia="zh-CN"/>
        </w:rPr>
        <w:t>（一）传统产品无差别化支持</w:t>
      </w:r>
      <w:bookmarkEnd w:id="20"/>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行按照省联社一级产品开设的个人信贷产品包括致富通系列、易贷通系列、小微通、绿贷通系列等，公司信贷产品包括流动资金贷款、固定资产贷款等，此类传统产品对绿色普惠主体提供无差别化信贷支持，只要该信贷主体的生产经营或消费行为符合某产品管理办法规定条件，即可使用该产品对客户提供绿色普惠金融支持。</w:t>
      </w:r>
    </w:p>
    <w:p>
      <w:pPr>
        <w:pStyle w:val="2"/>
        <w:keepNext w:val="0"/>
        <w:keepLines w:val="0"/>
        <w:pageBreakBefore w:val="0"/>
        <w:widowControl w:val="0"/>
        <w:tabs>
          <w:tab w:val="left" w:pos="4830"/>
        </w:tabs>
        <w:kinsoku/>
        <w:wordWrap/>
        <w:overflowPunct/>
        <w:topLinePunct w:val="0"/>
        <w:autoSpaceDE/>
        <w:autoSpaceDN/>
        <w:bidi w:val="0"/>
        <w:adjustRightInd/>
        <w:snapToGrid/>
        <w:spacing w:after="0"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lang w:val="en-US" w:eastAsia="zh-CN"/>
        </w:rPr>
      </w:pPr>
      <w:bookmarkStart w:id="21" w:name="_Toc19205_WPSOffice_Level2"/>
      <w:r>
        <w:rPr>
          <w:rFonts w:hint="eastAsia" w:ascii="楷体_GB2312" w:hAnsi="楷体_GB2312" w:eastAsia="楷体_GB2312" w:cs="楷体_GB2312"/>
          <w:b w:val="0"/>
          <w:bCs w:val="0"/>
          <w:color w:val="auto"/>
          <w:sz w:val="32"/>
          <w:szCs w:val="32"/>
          <w:lang w:val="en-US" w:eastAsia="zh-CN"/>
        </w:rPr>
        <w:t>（二）特设产品专项支持</w:t>
      </w:r>
      <w:bookmarkEnd w:id="21"/>
    </w:p>
    <w:p>
      <w:pPr>
        <w:pStyle w:val="2"/>
        <w:keepNext w:val="0"/>
        <w:keepLines w:val="0"/>
        <w:pageBreakBefore w:val="0"/>
        <w:widowControl w:val="0"/>
        <w:tabs>
          <w:tab w:val="left" w:pos="4830"/>
        </w:tabs>
        <w:kinsoku/>
        <w:wordWrap/>
        <w:overflowPunct/>
        <w:topLinePunct w:val="0"/>
        <w:autoSpaceDE/>
        <w:autoSpaceDN/>
        <w:bidi w:val="0"/>
        <w:adjustRightInd/>
        <w:snapToGrid/>
        <w:spacing w:after="0" w:line="560" w:lineRule="exact"/>
        <w:ind w:left="0" w:leftChars="0" w:firstLine="643" w:firstLineChars="200"/>
        <w:textAlignment w:val="auto"/>
        <w:outlineLvl w:val="2"/>
        <w:rPr>
          <w:rFonts w:hint="eastAsia" w:ascii="仿宋_GB2312" w:hAnsi="仿宋_GB2312" w:eastAsia="仿宋_GB2312" w:cs="仿宋_GB2312"/>
          <w:b/>
          <w:bCs/>
          <w:color w:val="auto"/>
          <w:sz w:val="32"/>
          <w:szCs w:val="32"/>
          <w:lang w:val="en-US" w:eastAsia="zh-CN"/>
        </w:rPr>
      </w:pPr>
      <w:bookmarkStart w:id="22" w:name="_Toc17652_WPSOffice_Level3"/>
      <w:r>
        <w:rPr>
          <w:rFonts w:hint="eastAsia" w:ascii="仿宋_GB2312" w:hAnsi="仿宋_GB2312" w:eastAsia="仿宋_GB2312" w:cs="仿宋_GB2312"/>
          <w:b/>
          <w:bCs/>
          <w:color w:val="auto"/>
          <w:sz w:val="32"/>
          <w:szCs w:val="32"/>
          <w:lang w:val="en-US" w:eastAsia="zh-CN"/>
        </w:rPr>
        <w:t>绿贷通系列</w:t>
      </w:r>
      <w:bookmarkEnd w:id="22"/>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行特设绿色普惠系列专项信贷产品-绿贷通系列，下设一是“绿贷通·犇牛贷”，向符合条件的“关岭牛”养殖主体发放与“关岭牛”日常饲养有关的绿色贷款，提高金融服务与市场主体需求适配度，加强对小微企业及种养大户的金融产品和服务的丰富及创新；二是“绿贷通·普惠贴息贷”，向符合条件的经营主体发放用于有关生产经营的线下绿色普惠贷款。截至</w:t>
      </w:r>
      <w:r>
        <w:rPr>
          <w:rFonts w:hint="default" w:ascii="Times New Roman" w:hAnsi="Times New Roman" w:eastAsia="仿宋_GB2312" w:cs="Times New Roman"/>
          <w:b w:val="0"/>
          <w:bCs w:val="0"/>
          <w:color w:val="auto"/>
          <w:sz w:val="32"/>
          <w:szCs w:val="32"/>
          <w:highlight w:val="none"/>
          <w:lang w:val="en-US" w:eastAsia="zh-CN"/>
        </w:rPr>
        <w:t>2023</w:t>
      </w:r>
      <w:r>
        <w:rPr>
          <w:rFonts w:hint="eastAsia" w:ascii="仿宋_GB2312" w:hAnsi="仿宋_GB2312" w:eastAsia="仿宋_GB2312" w:cs="仿宋_GB2312"/>
          <w:b w:val="0"/>
          <w:bCs w:val="0"/>
          <w:color w:val="auto"/>
          <w:sz w:val="32"/>
          <w:szCs w:val="32"/>
          <w:highlight w:val="none"/>
          <w:lang w:val="en-US" w:eastAsia="zh-CN"/>
        </w:rPr>
        <w:t>年末，新增“绿贷通·犇牛贷”</w:t>
      </w:r>
      <w:r>
        <w:rPr>
          <w:rFonts w:hint="default" w:ascii="Times New Roman" w:hAnsi="Times New Roman" w:eastAsia="仿宋_GB2312" w:cs="Times New Roman"/>
          <w:b w:val="0"/>
          <w:bCs w:val="0"/>
          <w:color w:val="auto"/>
          <w:sz w:val="32"/>
          <w:szCs w:val="32"/>
          <w:highlight w:val="none"/>
          <w:lang w:val="en-US" w:eastAsia="zh-CN"/>
        </w:rPr>
        <w:t>255</w:t>
      </w:r>
      <w:r>
        <w:rPr>
          <w:rFonts w:hint="eastAsia" w:ascii="仿宋_GB2312" w:hAnsi="仿宋_GB2312" w:eastAsia="仿宋_GB2312" w:cs="仿宋_GB2312"/>
          <w:b w:val="0"/>
          <w:bCs w:val="0"/>
          <w:color w:val="auto"/>
          <w:sz w:val="32"/>
          <w:szCs w:val="32"/>
          <w:highlight w:val="none"/>
          <w:lang w:val="en-US" w:eastAsia="zh-CN"/>
        </w:rPr>
        <w:t>户、</w:t>
      </w:r>
      <w:r>
        <w:rPr>
          <w:rFonts w:hint="default" w:ascii="Times New Roman" w:hAnsi="Times New Roman" w:eastAsia="仿宋_GB2312" w:cs="Times New Roman"/>
          <w:b w:val="0"/>
          <w:bCs/>
          <w:color w:val="auto"/>
          <w:sz w:val="32"/>
          <w:szCs w:val="32"/>
          <w:highlight w:val="none"/>
          <w:lang w:val="en-US" w:eastAsia="zh-CN"/>
        </w:rPr>
        <w:t>3927</w:t>
      </w:r>
      <w:r>
        <w:rPr>
          <w:rFonts w:hint="eastAsia" w:ascii="仿宋_GB2312" w:hAnsi="仿宋_GB2312" w:eastAsia="仿宋_GB2312" w:cs="仿宋_GB2312"/>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04</w:t>
      </w:r>
      <w:r>
        <w:rPr>
          <w:rFonts w:hint="eastAsia" w:ascii="仿宋_GB2312" w:hAnsi="仿宋_GB2312" w:eastAsia="仿宋_GB2312" w:cs="仿宋_GB2312"/>
          <w:b w:val="0"/>
          <w:bCs w:val="0"/>
          <w:color w:val="auto"/>
          <w:sz w:val="32"/>
          <w:szCs w:val="32"/>
          <w:highlight w:val="none"/>
          <w:lang w:val="en-US" w:eastAsia="zh-CN"/>
        </w:rPr>
        <w:t>万元，新增“绿贷通·普惠贴息贷”</w:t>
      </w:r>
      <w:r>
        <w:rPr>
          <w:rFonts w:hint="default" w:ascii="Times New Roman" w:hAnsi="Times New Roman" w:eastAsia="仿宋_GB2312" w:cs="Times New Roman"/>
          <w:b w:val="0"/>
          <w:bCs w:val="0"/>
          <w:color w:val="auto"/>
          <w:sz w:val="32"/>
          <w:szCs w:val="32"/>
          <w:highlight w:val="none"/>
          <w:lang w:val="en-US" w:eastAsia="zh-CN"/>
        </w:rPr>
        <w:t>322</w:t>
      </w:r>
      <w:r>
        <w:rPr>
          <w:rFonts w:hint="eastAsia" w:ascii="仿宋_GB2312" w:hAnsi="仿宋_GB2312" w:eastAsia="仿宋_GB2312" w:cs="仿宋_GB2312"/>
          <w:b w:val="0"/>
          <w:bCs w:val="0"/>
          <w:color w:val="auto"/>
          <w:sz w:val="32"/>
          <w:szCs w:val="32"/>
          <w:highlight w:val="none"/>
          <w:lang w:val="en-US" w:eastAsia="zh-CN"/>
        </w:rPr>
        <w:t>户、</w:t>
      </w:r>
      <w:r>
        <w:rPr>
          <w:rFonts w:hint="default" w:ascii="Times New Roman" w:hAnsi="Times New Roman" w:eastAsia="仿宋_GB2312" w:cs="Times New Roman"/>
          <w:b w:val="0"/>
          <w:bCs/>
          <w:color w:val="auto"/>
          <w:sz w:val="32"/>
          <w:szCs w:val="32"/>
          <w:highlight w:val="none"/>
          <w:lang w:val="en-US" w:eastAsia="zh-CN"/>
        </w:rPr>
        <w:t>4399</w:t>
      </w:r>
      <w:r>
        <w:rPr>
          <w:rFonts w:hint="eastAsia" w:ascii="仿宋_GB2312" w:eastAsia="仿宋_GB2312"/>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15</w:t>
      </w:r>
      <w:r>
        <w:rPr>
          <w:rFonts w:hint="eastAsia" w:ascii="仿宋_GB2312" w:hAnsi="仿宋_GB2312" w:eastAsia="仿宋_GB2312" w:cs="仿宋_GB2312"/>
          <w:b w:val="0"/>
          <w:bCs w:val="0"/>
          <w:color w:val="auto"/>
          <w:sz w:val="32"/>
          <w:szCs w:val="32"/>
          <w:highlight w:val="none"/>
          <w:lang w:val="en-US" w:eastAsia="zh-CN"/>
        </w:rPr>
        <w:t>万元。</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本行“绿贷通·犇牛贷”助力“关岭牛”产业发展，向县域乡村振兴重点产业及时注入金融活水，得到县委县政府及人民银行的高度认可。《贵州改革》公众号</w:t>
      </w:r>
      <w:r>
        <w:rPr>
          <w:rFonts w:hint="default" w:ascii="Times New Roman" w:hAnsi="Times New Roman" w:eastAsia="仿宋_GB2312" w:cs="Times New Roman"/>
          <w:b w:val="0"/>
          <w:bCs w:val="0"/>
          <w:color w:val="auto"/>
          <w:sz w:val="32"/>
          <w:szCs w:val="32"/>
          <w:highlight w:val="none"/>
          <w:lang w:val="en-US" w:eastAsia="zh-CN"/>
        </w:rPr>
        <w:t>2023</w:t>
      </w:r>
      <w:r>
        <w:rPr>
          <w:rFonts w:hint="eastAsia" w:ascii="仿宋_GB2312" w:hAnsi="仿宋_GB2312" w:eastAsia="仿宋_GB2312" w:cs="仿宋_GB2312"/>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val="en-US" w:eastAsia="zh-CN"/>
        </w:rPr>
        <w:t>月</w:t>
      </w:r>
      <w:r>
        <w:rPr>
          <w:rFonts w:hint="default" w:ascii="Times New Roman" w:hAnsi="Times New Roman" w:eastAsia="仿宋_GB2312" w:cs="Times New Roman"/>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val="en-US" w:eastAsia="zh-CN"/>
        </w:rPr>
        <w:t>日更新工作动态，其中提到：“关岭县三举措打造绿色金融改革创新试点县……二是拓展绿色金融产品，推出‘再贷款+绿色普惠金融’模式，加大绿色农业产业信贷投放，辖内银行根据央行货币政策再贷款工具创设‘绿贷通·犇牛贷’绿色信贷产品，突破以资产及收入为主的传统授信评级方式，降低融资成本，推动‘关岭牛’产业链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hAnsi="仿宋_GB2312" w:eastAsia="仿宋_GB2312" w:cs="仿宋_GB2312"/>
          <w:b/>
          <w:bCs/>
          <w:color w:val="auto"/>
          <w:sz w:val="32"/>
          <w:szCs w:val="32"/>
          <w:highlight w:val="none"/>
          <w:lang w:eastAsia="zh-CN"/>
        </w:rPr>
      </w:pPr>
      <w:bookmarkStart w:id="23" w:name="_Toc15517_WPSOffice_Level3"/>
      <w:r>
        <w:rPr>
          <w:rFonts w:hint="eastAsia" w:ascii="仿宋_GB2312" w:hAnsi="仿宋_GB2312" w:eastAsia="仿宋_GB2312" w:cs="仿宋_GB2312"/>
          <w:b/>
          <w:bCs/>
          <w:color w:val="auto"/>
          <w:sz w:val="32"/>
          <w:szCs w:val="32"/>
          <w:highlight w:val="none"/>
          <w:lang w:eastAsia="zh-CN"/>
        </w:rPr>
        <w:t>光伏贷</w:t>
      </w:r>
      <w:bookmarkEnd w:id="23"/>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yellow"/>
          <w:lang w:val="en-US" w:eastAsia="zh-CN"/>
        </w:rPr>
      </w:pPr>
      <w:r>
        <w:rPr>
          <w:rFonts w:hint="eastAsia" w:ascii="仿宋_GB2312" w:hAnsi="仿宋_GB2312" w:eastAsia="仿宋_GB2312" w:cs="仿宋_GB2312"/>
          <w:b w:val="0"/>
          <w:bCs w:val="0"/>
          <w:color w:val="auto"/>
          <w:sz w:val="32"/>
          <w:szCs w:val="32"/>
          <w:highlight w:val="none"/>
          <w:lang w:val="en-US" w:eastAsia="zh-CN"/>
        </w:rPr>
        <w:t>为支持县域光伏扶贫工程，本行围绕县政府精准扶贫新能源“光伏扶贫”项目特点，创新打造“光伏贷”贷款产品，为达到光照条件的辖内</w:t>
      </w:r>
      <w:r>
        <w:rPr>
          <w:rFonts w:hint="default" w:ascii="Times New Roman" w:hAnsi="Times New Roman" w:eastAsia="仿宋_GB2312" w:cs="Times New Roman"/>
          <w:b w:val="0"/>
          <w:bCs w:val="0"/>
          <w:color w:val="auto"/>
          <w:sz w:val="32"/>
          <w:szCs w:val="32"/>
          <w:highlight w:val="none"/>
          <w:lang w:val="en-US" w:eastAsia="zh-CN"/>
        </w:rPr>
        <w:t>2014</w:t>
      </w:r>
      <w:r>
        <w:rPr>
          <w:rFonts w:hint="eastAsia" w:ascii="仿宋_GB2312" w:hAnsi="仿宋_GB2312" w:eastAsia="仿宋_GB2312" w:cs="仿宋_GB2312"/>
          <w:b w:val="0"/>
          <w:bCs w:val="0"/>
          <w:color w:val="auto"/>
          <w:sz w:val="32"/>
          <w:szCs w:val="32"/>
          <w:highlight w:val="none"/>
          <w:lang w:val="en-US" w:eastAsia="zh-CN"/>
        </w:rPr>
        <w:t>年以来的建档立卡贫困户办理光伏贷款，用于购买光伏发电设备，推动辖内发电行业发展，降低传统发电行业对环境的负影响。截至</w:t>
      </w:r>
      <w:r>
        <w:rPr>
          <w:rFonts w:hint="default" w:ascii="Times New Roman" w:hAnsi="Times New Roman" w:eastAsia="仿宋_GB2312" w:cs="Times New Roman"/>
          <w:b w:val="0"/>
          <w:bCs w:val="0"/>
          <w:color w:val="auto"/>
          <w:sz w:val="32"/>
          <w:szCs w:val="32"/>
          <w:highlight w:val="none"/>
          <w:lang w:val="en-US" w:eastAsia="zh-CN"/>
        </w:rPr>
        <w:t>2023</w:t>
      </w:r>
      <w:r>
        <w:rPr>
          <w:rFonts w:hint="eastAsia" w:ascii="仿宋_GB2312" w:hAnsi="仿宋_GB2312" w:eastAsia="仿宋_GB2312" w:cs="仿宋_GB2312"/>
          <w:b w:val="0"/>
          <w:bCs w:val="0"/>
          <w:color w:val="auto"/>
          <w:sz w:val="32"/>
          <w:szCs w:val="32"/>
          <w:highlight w:val="none"/>
          <w:lang w:val="en-US" w:eastAsia="zh-CN"/>
        </w:rPr>
        <w:t>年末，本行累计发放光伏贷</w:t>
      </w:r>
      <w:r>
        <w:rPr>
          <w:rFonts w:hint="default" w:ascii="Times New Roman" w:hAnsi="Times New Roman" w:eastAsia="仿宋_GB2312" w:cs="Times New Roman"/>
          <w:b w:val="0"/>
          <w:bCs w:val="0"/>
          <w:color w:val="auto"/>
          <w:sz w:val="32"/>
          <w:szCs w:val="32"/>
          <w:highlight w:val="none"/>
          <w:lang w:val="en-US" w:eastAsia="zh-CN"/>
        </w:rPr>
        <w:t>1314</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03</w:t>
      </w:r>
      <w:r>
        <w:rPr>
          <w:rFonts w:hint="eastAsia" w:ascii="仿宋_GB2312" w:hAnsi="仿宋_GB2312" w:eastAsia="仿宋_GB2312" w:cs="仿宋_GB2312"/>
          <w:b w:val="0"/>
          <w:bCs w:val="0"/>
          <w:color w:val="auto"/>
          <w:sz w:val="32"/>
          <w:szCs w:val="32"/>
          <w:highlight w:val="none"/>
          <w:lang w:val="en-US" w:eastAsia="zh-CN"/>
        </w:rPr>
        <w:t>万元，</w:t>
      </w:r>
      <w:r>
        <w:rPr>
          <w:rFonts w:hint="eastAsia" w:ascii="仿宋_GB2312" w:hAnsi="仿宋_GB2312" w:eastAsia="仿宋_GB2312" w:cs="仿宋_GB2312"/>
          <w:b w:val="0"/>
          <w:bCs/>
          <w:color w:val="auto"/>
          <w:sz w:val="32"/>
          <w:szCs w:val="32"/>
          <w:highlight w:val="none"/>
          <w:lang w:val="en-US" w:eastAsia="zh-CN"/>
        </w:rPr>
        <w:t>现有贷款余额</w:t>
      </w:r>
      <w:r>
        <w:rPr>
          <w:rFonts w:hint="default" w:ascii="Times New Roman" w:hAnsi="Times New Roman" w:eastAsia="仿宋_GB2312" w:cs="Times New Roman"/>
          <w:b w:val="0"/>
          <w:bCs/>
          <w:color w:val="auto"/>
          <w:sz w:val="32"/>
          <w:szCs w:val="32"/>
          <w:highlight w:val="none"/>
          <w:lang w:val="en-US" w:eastAsia="zh-CN"/>
        </w:rPr>
        <w:t>678</w:t>
      </w:r>
      <w:r>
        <w:rPr>
          <w:rFonts w:hint="eastAsia" w:ascii="仿宋_GB2312" w:hAnsi="仿宋_GB2312" w:eastAsia="仿宋_GB2312" w:cs="仿宋_GB2312"/>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05</w:t>
      </w:r>
      <w:r>
        <w:rPr>
          <w:rFonts w:hint="eastAsia" w:ascii="仿宋_GB2312" w:hAnsi="仿宋_GB2312" w:eastAsia="仿宋_GB2312" w:cs="仿宋_GB2312"/>
          <w:b w:val="0"/>
          <w:bCs/>
          <w:color w:val="auto"/>
          <w:sz w:val="32"/>
          <w:szCs w:val="32"/>
          <w:highlight w:val="none"/>
          <w:lang w:val="en-US" w:eastAsia="zh-CN"/>
        </w:rPr>
        <w:t>万元，目前该类贷款无逾期及不良。</w:t>
      </w:r>
    </w:p>
    <w:p>
      <w:pPr>
        <w:jc w:val="center"/>
        <w:outlineLvl w:val="1"/>
        <w:rPr>
          <w:rFonts w:asciiTheme="minorEastAsia" w:hAnsiTheme="minorEastAsia"/>
          <w:b w:val="0"/>
          <w:bCs w:val="0"/>
          <w:color w:val="auto"/>
          <w:sz w:val="28"/>
          <w:szCs w:val="28"/>
        </w:rPr>
      </w:pPr>
      <w:bookmarkStart w:id="24" w:name="_Toc11416_WPSOffice_Level2"/>
      <w:r>
        <w:rPr>
          <w:rFonts w:hint="default" w:ascii="Times New Roman" w:hAnsi="Times New Roman" w:cs="Times New Roman"/>
          <w:b w:val="0"/>
          <w:bCs w:val="0"/>
          <w:color w:val="auto"/>
          <w:sz w:val="28"/>
          <w:szCs w:val="28"/>
        </w:rPr>
        <w:t>202</w:t>
      </w:r>
      <w:r>
        <w:rPr>
          <w:rFonts w:hint="default" w:ascii="Times New Roman" w:hAnsi="Times New Roman" w:cs="Times New Roman"/>
          <w:b w:val="0"/>
          <w:bCs w:val="0"/>
          <w:color w:val="auto"/>
          <w:sz w:val="28"/>
          <w:szCs w:val="28"/>
          <w:lang w:val="en-US" w:eastAsia="zh-CN"/>
        </w:rPr>
        <w:t>3</w:t>
      </w:r>
      <w:r>
        <w:rPr>
          <w:rFonts w:hint="eastAsia" w:asciiTheme="minorEastAsia" w:hAnsiTheme="minorEastAsia"/>
          <w:b w:val="0"/>
          <w:bCs w:val="0"/>
          <w:color w:val="auto"/>
          <w:sz w:val="28"/>
          <w:szCs w:val="28"/>
        </w:rPr>
        <w:t>年绿色</w:t>
      </w:r>
      <w:r>
        <w:rPr>
          <w:rFonts w:hint="eastAsia" w:asciiTheme="minorEastAsia" w:hAnsiTheme="minorEastAsia"/>
          <w:b w:val="0"/>
          <w:bCs w:val="0"/>
          <w:color w:val="auto"/>
          <w:sz w:val="28"/>
          <w:szCs w:val="28"/>
          <w:lang w:eastAsia="zh-CN"/>
        </w:rPr>
        <w:t>普惠</w:t>
      </w:r>
      <w:r>
        <w:rPr>
          <w:rFonts w:hint="eastAsia" w:asciiTheme="minorEastAsia" w:hAnsiTheme="minorEastAsia"/>
          <w:b w:val="0"/>
          <w:bCs w:val="0"/>
          <w:color w:val="auto"/>
          <w:sz w:val="28"/>
          <w:szCs w:val="28"/>
        </w:rPr>
        <w:t>贷款投放情况概览</w:t>
      </w:r>
      <w:bookmarkEnd w:id="24"/>
    </w:p>
    <w:tbl>
      <w:tblPr>
        <w:tblStyle w:val="12"/>
        <w:tblW w:w="8556" w:type="dxa"/>
        <w:tblInd w:w="17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32"/>
        <w:gridCol w:w="2328"/>
        <w:gridCol w:w="27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trPr>
        <w:tc>
          <w:tcPr>
            <w:tcW w:w="3432" w:type="dxa"/>
          </w:tcPr>
          <w:p>
            <w:pPr>
              <w:jc w:val="center"/>
              <w:rPr>
                <w:rFonts w:asciiTheme="minorEastAsia" w:hAnsiTheme="minorEastAsia"/>
                <w:b w:val="0"/>
                <w:bCs w:val="0"/>
                <w:color w:val="auto"/>
                <w:szCs w:val="21"/>
              </w:rPr>
            </w:pPr>
            <w:r>
              <w:rPr>
                <w:rFonts w:asciiTheme="minorEastAsia" w:hAnsiTheme="minorEastAsia"/>
                <w:b w:val="0"/>
                <w:bCs w:val="0"/>
                <w:color w:val="auto"/>
                <w:szCs w:val="21"/>
              </w:rPr>
              <w:t>指标名称</w:t>
            </w:r>
          </w:p>
        </w:tc>
        <w:tc>
          <w:tcPr>
            <w:tcW w:w="2328" w:type="dxa"/>
          </w:tcPr>
          <w:p>
            <w:pPr>
              <w:jc w:val="center"/>
              <w:rPr>
                <w:rFonts w:asciiTheme="minorEastAsia" w:hAnsiTheme="minorEastAsia"/>
                <w:b w:val="0"/>
                <w:bCs w:val="0"/>
                <w:color w:val="auto"/>
                <w:szCs w:val="21"/>
              </w:rPr>
            </w:pPr>
            <w:r>
              <w:rPr>
                <w:rFonts w:hint="eastAsia" w:asciiTheme="minorEastAsia" w:hAnsiTheme="minorEastAsia"/>
                <w:b w:val="0"/>
                <w:bCs w:val="0"/>
                <w:color w:val="auto"/>
                <w:szCs w:val="21"/>
              </w:rPr>
              <w:t>指标</w:t>
            </w:r>
            <w:r>
              <w:rPr>
                <w:rFonts w:asciiTheme="minorEastAsia" w:hAnsiTheme="minorEastAsia"/>
                <w:b w:val="0"/>
                <w:bCs w:val="0"/>
                <w:color w:val="auto"/>
                <w:szCs w:val="21"/>
              </w:rPr>
              <w:t>值</w:t>
            </w:r>
          </w:p>
        </w:tc>
        <w:tc>
          <w:tcPr>
            <w:tcW w:w="2796" w:type="dxa"/>
          </w:tcPr>
          <w:p>
            <w:pPr>
              <w:jc w:val="center"/>
              <w:rPr>
                <w:rFonts w:asciiTheme="minorEastAsia" w:hAnsiTheme="minorEastAsia"/>
                <w:b w:val="0"/>
                <w:bCs w:val="0"/>
                <w:color w:val="auto"/>
                <w:szCs w:val="21"/>
              </w:rPr>
            </w:pPr>
            <w:r>
              <w:rPr>
                <w:rFonts w:asciiTheme="minorEastAsia" w:hAnsiTheme="minorEastAsia"/>
                <w:b w:val="0"/>
                <w:bCs w:val="0"/>
                <w:color w:val="auto"/>
                <w:szCs w:val="21"/>
              </w:rPr>
              <w:t>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32" w:type="dxa"/>
          </w:tcPr>
          <w:p>
            <w:pPr>
              <w:jc w:val="center"/>
              <w:rPr>
                <w:rFonts w:asciiTheme="minorEastAsia" w:hAnsiTheme="minorEastAsia"/>
                <w:b w:val="0"/>
                <w:bCs w:val="0"/>
                <w:color w:val="auto"/>
                <w:szCs w:val="21"/>
              </w:rPr>
            </w:pPr>
            <w:r>
              <w:rPr>
                <w:rFonts w:asciiTheme="minorEastAsia" w:hAnsiTheme="minorEastAsia"/>
                <w:b w:val="0"/>
                <w:bCs w:val="0"/>
                <w:color w:val="auto"/>
                <w:szCs w:val="21"/>
              </w:rPr>
              <w:t>绿色</w:t>
            </w:r>
            <w:r>
              <w:rPr>
                <w:rFonts w:hint="eastAsia" w:asciiTheme="minorEastAsia" w:hAnsiTheme="minorEastAsia"/>
                <w:b w:val="0"/>
                <w:bCs w:val="0"/>
                <w:color w:val="auto"/>
                <w:szCs w:val="21"/>
                <w:lang w:eastAsia="zh-CN"/>
              </w:rPr>
              <w:t>普惠</w:t>
            </w:r>
            <w:r>
              <w:rPr>
                <w:rFonts w:asciiTheme="minorEastAsia" w:hAnsiTheme="minorEastAsia"/>
                <w:b w:val="0"/>
                <w:bCs w:val="0"/>
                <w:color w:val="auto"/>
                <w:szCs w:val="21"/>
              </w:rPr>
              <w:t>贷款余额</w:t>
            </w:r>
          </w:p>
        </w:tc>
        <w:tc>
          <w:tcPr>
            <w:tcW w:w="2328" w:type="dxa"/>
          </w:tcPr>
          <w:p>
            <w:pPr>
              <w:jc w:val="center"/>
              <w:rPr>
                <w:rFonts w:hint="default" w:asciiTheme="minorEastAsia" w:hAnsiTheme="minorEastAsia" w:eastAsiaTheme="minorEastAsia"/>
                <w:b w:val="0"/>
                <w:bCs w:val="0"/>
                <w:color w:val="auto"/>
                <w:szCs w:val="21"/>
                <w:lang w:val="en-US" w:eastAsia="zh-CN"/>
              </w:rPr>
            </w:pPr>
            <w:r>
              <w:rPr>
                <w:rFonts w:hint="default" w:ascii="Times New Roman" w:hAnsi="Times New Roman" w:cs="Times New Roman"/>
                <w:b w:val="0"/>
                <w:bCs w:val="0"/>
                <w:color w:val="auto"/>
                <w:szCs w:val="21"/>
                <w:lang w:val="en-US" w:eastAsia="zh-CN"/>
              </w:rPr>
              <w:t>4</w:t>
            </w:r>
            <w:r>
              <w:rPr>
                <w:rFonts w:hint="eastAsia" w:asciiTheme="minorEastAsia" w:hAnsiTheme="minorEastAsia"/>
                <w:b w:val="0"/>
                <w:bCs w:val="0"/>
                <w:color w:val="auto"/>
                <w:szCs w:val="21"/>
                <w:lang w:val="en-US" w:eastAsia="zh-CN"/>
              </w:rPr>
              <w:t>.</w:t>
            </w:r>
            <w:r>
              <w:rPr>
                <w:rFonts w:hint="default" w:ascii="Times New Roman" w:hAnsi="Times New Roman" w:cs="Times New Roman"/>
                <w:b w:val="0"/>
                <w:bCs w:val="0"/>
                <w:color w:val="auto"/>
                <w:szCs w:val="21"/>
                <w:lang w:val="en-US" w:eastAsia="zh-CN"/>
              </w:rPr>
              <w:t>62</w:t>
            </w:r>
          </w:p>
        </w:tc>
        <w:tc>
          <w:tcPr>
            <w:tcW w:w="2796" w:type="dxa"/>
          </w:tcPr>
          <w:p>
            <w:pPr>
              <w:jc w:val="center"/>
              <w:rPr>
                <w:rFonts w:asciiTheme="minorEastAsia" w:hAnsiTheme="minorEastAsia"/>
                <w:b w:val="0"/>
                <w:bCs w:val="0"/>
                <w:color w:val="auto"/>
                <w:szCs w:val="21"/>
              </w:rPr>
            </w:pPr>
            <w:r>
              <w:rPr>
                <w:rFonts w:asciiTheme="minorEastAsia" w:hAnsiTheme="minorEastAsia"/>
                <w:b w:val="0"/>
                <w:bCs w:val="0"/>
                <w:color w:val="auto"/>
                <w:szCs w:val="21"/>
              </w:rPr>
              <w:t>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432" w:type="dxa"/>
          </w:tcPr>
          <w:p>
            <w:pPr>
              <w:jc w:val="center"/>
              <w:rPr>
                <w:rFonts w:asciiTheme="minorEastAsia" w:hAnsiTheme="minorEastAsia"/>
                <w:b w:val="0"/>
                <w:bCs w:val="0"/>
                <w:color w:val="auto"/>
                <w:szCs w:val="21"/>
              </w:rPr>
            </w:pPr>
            <w:r>
              <w:rPr>
                <w:rFonts w:asciiTheme="minorEastAsia" w:hAnsiTheme="minorEastAsia"/>
                <w:b w:val="0"/>
                <w:bCs w:val="0"/>
                <w:color w:val="auto"/>
                <w:szCs w:val="21"/>
              </w:rPr>
              <w:t>绿色</w:t>
            </w:r>
            <w:r>
              <w:rPr>
                <w:rFonts w:hint="eastAsia" w:asciiTheme="minorEastAsia" w:hAnsiTheme="minorEastAsia"/>
                <w:b w:val="0"/>
                <w:bCs w:val="0"/>
                <w:color w:val="auto"/>
                <w:szCs w:val="21"/>
                <w:lang w:eastAsia="zh-CN"/>
              </w:rPr>
              <w:t>普惠</w:t>
            </w:r>
            <w:r>
              <w:rPr>
                <w:rFonts w:asciiTheme="minorEastAsia" w:hAnsiTheme="minorEastAsia"/>
                <w:b w:val="0"/>
                <w:bCs w:val="0"/>
                <w:color w:val="auto"/>
                <w:szCs w:val="21"/>
              </w:rPr>
              <w:t>贷款</w:t>
            </w:r>
            <w:r>
              <w:rPr>
                <w:rFonts w:hint="eastAsia" w:asciiTheme="minorEastAsia" w:hAnsiTheme="minorEastAsia"/>
                <w:b w:val="0"/>
                <w:bCs w:val="0"/>
                <w:color w:val="auto"/>
                <w:szCs w:val="21"/>
              </w:rPr>
              <w:t>占比</w:t>
            </w:r>
          </w:p>
        </w:tc>
        <w:tc>
          <w:tcPr>
            <w:tcW w:w="2328" w:type="dxa"/>
          </w:tcPr>
          <w:p>
            <w:pPr>
              <w:jc w:val="center"/>
              <w:rPr>
                <w:rFonts w:hint="default" w:asciiTheme="minorEastAsia" w:hAnsiTheme="minorEastAsia" w:eastAsiaTheme="minorEastAsia"/>
                <w:b w:val="0"/>
                <w:bCs w:val="0"/>
                <w:color w:val="auto"/>
                <w:szCs w:val="21"/>
                <w:lang w:val="en-US" w:eastAsia="zh-CN"/>
              </w:rPr>
            </w:pPr>
            <w:r>
              <w:rPr>
                <w:rFonts w:hint="default" w:ascii="Times New Roman" w:hAnsi="Times New Roman" w:cs="Times New Roman"/>
                <w:b w:val="0"/>
                <w:bCs w:val="0"/>
                <w:color w:val="auto"/>
                <w:szCs w:val="21"/>
                <w:lang w:val="en-US" w:eastAsia="zh-CN"/>
              </w:rPr>
              <w:t>9</w:t>
            </w:r>
            <w:r>
              <w:rPr>
                <w:rFonts w:hint="eastAsia" w:asciiTheme="minorEastAsia" w:hAnsiTheme="minorEastAsia"/>
                <w:b w:val="0"/>
                <w:bCs w:val="0"/>
                <w:color w:val="auto"/>
                <w:szCs w:val="21"/>
                <w:lang w:val="en-US" w:eastAsia="zh-CN"/>
              </w:rPr>
              <w:t>.</w:t>
            </w:r>
            <w:r>
              <w:rPr>
                <w:rFonts w:hint="default" w:ascii="Times New Roman" w:hAnsi="Times New Roman" w:cs="Times New Roman"/>
                <w:b w:val="0"/>
                <w:bCs w:val="0"/>
                <w:color w:val="auto"/>
                <w:szCs w:val="21"/>
                <w:lang w:val="en-US" w:eastAsia="zh-CN"/>
              </w:rPr>
              <w:t>02</w:t>
            </w:r>
          </w:p>
        </w:tc>
        <w:tc>
          <w:tcPr>
            <w:tcW w:w="2796" w:type="dxa"/>
          </w:tcPr>
          <w:p>
            <w:pPr>
              <w:jc w:val="center"/>
              <w:rPr>
                <w:rFonts w:asciiTheme="minorEastAsia" w:hAnsiTheme="minorEastAsia"/>
                <w:b w:val="0"/>
                <w:bCs w:val="0"/>
                <w:color w:val="auto"/>
                <w:szCs w:val="21"/>
              </w:rPr>
            </w:pPr>
            <w:r>
              <w:rPr>
                <w:rFonts w:hint="eastAsia" w:asciiTheme="minorEastAsia" w:hAnsiTheme="minorEastAsia"/>
                <w:b w:val="0"/>
                <w:bCs w:val="0"/>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32" w:type="dxa"/>
          </w:tcPr>
          <w:p>
            <w:pPr>
              <w:jc w:val="center"/>
              <w:rPr>
                <w:rFonts w:asciiTheme="minorEastAsia" w:hAnsiTheme="minorEastAsia"/>
                <w:b w:val="0"/>
                <w:bCs w:val="0"/>
                <w:color w:val="auto"/>
                <w:szCs w:val="21"/>
              </w:rPr>
            </w:pPr>
            <w:r>
              <w:rPr>
                <w:rFonts w:asciiTheme="minorEastAsia" w:hAnsiTheme="minorEastAsia"/>
                <w:b w:val="0"/>
                <w:bCs w:val="0"/>
                <w:color w:val="auto"/>
                <w:szCs w:val="21"/>
              </w:rPr>
              <w:t>绿色</w:t>
            </w:r>
            <w:r>
              <w:rPr>
                <w:rFonts w:hint="eastAsia" w:asciiTheme="minorEastAsia" w:hAnsiTheme="minorEastAsia"/>
                <w:b w:val="0"/>
                <w:bCs w:val="0"/>
                <w:color w:val="auto"/>
                <w:szCs w:val="21"/>
                <w:lang w:eastAsia="zh-CN"/>
              </w:rPr>
              <w:t>普惠</w:t>
            </w:r>
            <w:r>
              <w:rPr>
                <w:rFonts w:asciiTheme="minorEastAsia" w:hAnsiTheme="minorEastAsia"/>
                <w:b w:val="0"/>
                <w:bCs w:val="0"/>
                <w:color w:val="auto"/>
                <w:szCs w:val="21"/>
              </w:rPr>
              <w:t>贷款客户数量</w:t>
            </w:r>
          </w:p>
        </w:tc>
        <w:tc>
          <w:tcPr>
            <w:tcW w:w="2328" w:type="dxa"/>
          </w:tcPr>
          <w:p>
            <w:pPr>
              <w:jc w:val="center"/>
              <w:rPr>
                <w:rFonts w:hint="default" w:asciiTheme="minorEastAsia" w:hAnsiTheme="minorEastAsia" w:eastAsiaTheme="minorEastAsia"/>
                <w:b w:val="0"/>
                <w:bCs w:val="0"/>
                <w:color w:val="auto"/>
                <w:szCs w:val="21"/>
                <w:lang w:val="en-US" w:eastAsia="zh-CN"/>
              </w:rPr>
            </w:pPr>
            <w:r>
              <w:rPr>
                <w:rFonts w:hint="default" w:ascii="Times New Roman" w:hAnsi="Times New Roman" w:cs="Times New Roman"/>
                <w:b w:val="0"/>
                <w:bCs w:val="0"/>
                <w:color w:val="auto"/>
                <w:szCs w:val="21"/>
                <w:highlight w:val="none"/>
                <w:lang w:val="en-US" w:eastAsia="zh-CN"/>
              </w:rPr>
              <w:t>7126</w:t>
            </w:r>
          </w:p>
        </w:tc>
        <w:tc>
          <w:tcPr>
            <w:tcW w:w="2796" w:type="dxa"/>
          </w:tcPr>
          <w:p>
            <w:pPr>
              <w:jc w:val="center"/>
              <w:rPr>
                <w:rFonts w:asciiTheme="minorEastAsia" w:hAnsiTheme="minorEastAsia"/>
                <w:b w:val="0"/>
                <w:bCs w:val="0"/>
                <w:color w:val="auto"/>
                <w:szCs w:val="21"/>
              </w:rPr>
            </w:pPr>
            <w:r>
              <w:rPr>
                <w:rFonts w:asciiTheme="minorEastAsia" w:hAnsiTheme="minorEastAsia"/>
                <w:b w:val="0"/>
                <w:bCs w:val="0"/>
                <w:color w:val="auto"/>
                <w:szCs w:val="21"/>
              </w:rPr>
              <w:t>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630" w:rightChars="30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九、</w:t>
      </w:r>
      <w:r>
        <w:rPr>
          <w:rFonts w:hint="eastAsia" w:ascii="黑体" w:hAnsi="黑体" w:eastAsia="黑体" w:cs="黑体"/>
          <w:b w:val="0"/>
          <w:bCs w:val="0"/>
          <w:color w:val="auto"/>
          <w:sz w:val="32"/>
          <w:szCs w:val="32"/>
        </w:rPr>
        <w:t>支持普惠主体及中小企业绿色发展情况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2"/>
          <w:sz w:val="32"/>
          <w:szCs w:val="32"/>
          <w:highlight w:val="none"/>
          <w:lang w:val="en-US" w:eastAsia="zh-CN" w:bidi="ar-SA"/>
        </w:rPr>
        <w:t>按照中央和省政府经济工作会议精神，聚焦贵州农信服务实体经济战略部署，以金融服务实体经济为根本宗旨，通过优化制度流程，完善组织架构，创新绿色金融服务，进一步提升中小微绿色金融发展服务质效。</w:t>
      </w:r>
      <w:r>
        <w:rPr>
          <w:rFonts w:hint="default" w:ascii="Times New Roman" w:hAnsi="Times New Roman" w:eastAsia="仿宋_GB2312" w:cs="Times New Roman"/>
          <w:b w:val="0"/>
          <w:bCs w:val="0"/>
          <w:color w:val="auto"/>
          <w:kern w:val="2"/>
          <w:sz w:val="32"/>
          <w:szCs w:val="32"/>
          <w:highlight w:val="none"/>
          <w:lang w:val="en-US" w:eastAsia="zh-CN" w:bidi="ar-SA"/>
        </w:rPr>
        <w:t>2023</w:t>
      </w:r>
      <w:r>
        <w:rPr>
          <w:rFonts w:hint="eastAsia" w:ascii="仿宋_GB2312" w:hAnsi="仿宋_GB2312" w:eastAsia="仿宋_GB2312" w:cs="仿宋_GB2312"/>
          <w:b w:val="0"/>
          <w:bCs w:val="0"/>
          <w:color w:val="auto"/>
          <w:kern w:val="2"/>
          <w:sz w:val="32"/>
          <w:szCs w:val="32"/>
          <w:highlight w:val="none"/>
          <w:lang w:val="en-US" w:eastAsia="zh-CN" w:bidi="ar-SA"/>
        </w:rPr>
        <w:t>年，贵州农信全面建成绿色普惠金融架构体系，从标准、制度、业务、产品、机构、系统等方面打出“组合拳”，让绿色金融更多关注普惠群体，让普惠金融更好支持普惠群体绿色发展。在省联社统一安排部署下，本行积极开展绿色普惠金融工作，截至</w:t>
      </w:r>
      <w:r>
        <w:rPr>
          <w:rFonts w:hint="default" w:ascii="Times New Roman" w:hAnsi="Times New Roman" w:eastAsia="仿宋_GB2312" w:cs="Times New Roman"/>
          <w:b w:val="0"/>
          <w:bCs w:val="0"/>
          <w:color w:val="auto"/>
          <w:kern w:val="2"/>
          <w:sz w:val="32"/>
          <w:szCs w:val="32"/>
          <w:highlight w:val="none"/>
          <w:lang w:val="en-US" w:eastAsia="zh-CN" w:bidi="ar-SA"/>
        </w:rPr>
        <w:t>2023</w:t>
      </w:r>
      <w:r>
        <w:rPr>
          <w:rFonts w:hint="eastAsia" w:ascii="仿宋_GB2312" w:hAnsi="仿宋_GB2312" w:eastAsia="仿宋_GB2312" w:cs="仿宋_GB2312"/>
          <w:b w:val="0"/>
          <w:bCs w:val="0"/>
          <w:color w:val="auto"/>
          <w:kern w:val="2"/>
          <w:sz w:val="32"/>
          <w:szCs w:val="32"/>
          <w:highlight w:val="none"/>
          <w:lang w:val="en-US" w:eastAsia="zh-CN" w:bidi="ar-SA"/>
        </w:rPr>
        <w:t>年</w:t>
      </w:r>
      <w:r>
        <w:rPr>
          <w:rFonts w:hint="default" w:ascii="Times New Roman" w:hAnsi="Times New Roman" w:eastAsia="仿宋_GB2312" w:cs="Times New Roman"/>
          <w:b w:val="0"/>
          <w:bCs w:val="0"/>
          <w:color w:val="auto"/>
          <w:kern w:val="2"/>
          <w:sz w:val="32"/>
          <w:szCs w:val="32"/>
          <w:highlight w:val="none"/>
          <w:lang w:val="en-US" w:eastAsia="zh-CN" w:bidi="ar-SA"/>
        </w:rPr>
        <w:t>12</w:t>
      </w:r>
      <w:r>
        <w:rPr>
          <w:rFonts w:hint="eastAsia" w:ascii="仿宋_GB2312" w:hAnsi="仿宋_GB2312" w:eastAsia="仿宋_GB2312" w:cs="仿宋_GB2312"/>
          <w:b w:val="0"/>
          <w:bCs w:val="0"/>
          <w:color w:val="auto"/>
          <w:kern w:val="2"/>
          <w:sz w:val="32"/>
          <w:szCs w:val="32"/>
          <w:highlight w:val="none"/>
          <w:lang w:val="en-US" w:eastAsia="zh-CN" w:bidi="ar-SA"/>
        </w:rPr>
        <w:t>月末，关岭农商银行绿色普惠贷款余额</w:t>
      </w:r>
      <w:r>
        <w:rPr>
          <w:rFonts w:hint="default" w:ascii="Times New Roman" w:hAnsi="Times New Roman" w:eastAsia="仿宋_GB2312" w:cs="Times New Roman"/>
          <w:b w:val="0"/>
          <w:bCs w:val="0"/>
          <w:color w:val="auto"/>
          <w:kern w:val="2"/>
          <w:sz w:val="32"/>
          <w:szCs w:val="32"/>
          <w:highlight w:val="none"/>
          <w:lang w:val="en-US" w:eastAsia="zh-CN" w:bidi="ar-SA"/>
        </w:rPr>
        <w:t>46199</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67</w:t>
      </w:r>
      <w:r>
        <w:rPr>
          <w:rFonts w:hint="eastAsia" w:ascii="仿宋_GB2312" w:hAnsi="仿宋_GB2312" w:eastAsia="仿宋_GB2312" w:cs="仿宋_GB2312"/>
          <w:b w:val="0"/>
          <w:bCs w:val="0"/>
          <w:color w:val="auto"/>
          <w:kern w:val="2"/>
          <w:sz w:val="32"/>
          <w:szCs w:val="32"/>
          <w:highlight w:val="none"/>
          <w:lang w:val="en-US" w:eastAsia="zh-CN" w:bidi="ar-SA"/>
        </w:rPr>
        <w:t>万元，占各项贷款比例</w:t>
      </w:r>
      <w:r>
        <w:rPr>
          <w:rFonts w:hint="default" w:ascii="Times New Roman" w:hAnsi="Times New Roman" w:eastAsia="仿宋_GB2312" w:cs="Times New Roman"/>
          <w:b w:val="0"/>
          <w:bCs w:val="0"/>
          <w:color w:val="auto"/>
          <w:kern w:val="2"/>
          <w:sz w:val="32"/>
          <w:szCs w:val="32"/>
          <w:highlight w:val="none"/>
          <w:lang w:val="en-US" w:eastAsia="zh-CN" w:bidi="ar-SA"/>
        </w:rPr>
        <w:t>9</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02</w:t>
      </w:r>
      <w:r>
        <w:rPr>
          <w:rFonts w:hint="eastAsia" w:ascii="仿宋_GB2312" w:hAnsi="仿宋_GB2312" w:eastAsia="仿宋_GB2312" w:cs="仿宋_GB2312"/>
          <w:b w:val="0"/>
          <w:bCs w:val="0"/>
          <w:color w:val="auto"/>
          <w:kern w:val="2"/>
          <w:sz w:val="32"/>
          <w:szCs w:val="32"/>
          <w:highlight w:val="none"/>
          <w:lang w:val="en-US" w:eastAsia="zh-CN" w:bidi="ar-SA"/>
        </w:rPr>
        <w:t>%，惠及客户</w:t>
      </w:r>
      <w:r>
        <w:rPr>
          <w:rFonts w:hint="default" w:ascii="Times New Roman" w:hAnsi="Times New Roman" w:eastAsia="仿宋_GB2312" w:cs="Times New Roman"/>
          <w:b w:val="0"/>
          <w:bCs w:val="0"/>
          <w:color w:val="auto"/>
          <w:kern w:val="2"/>
          <w:sz w:val="32"/>
          <w:szCs w:val="32"/>
          <w:highlight w:val="none"/>
          <w:lang w:val="en-US" w:eastAsia="zh-CN" w:bidi="ar-SA"/>
        </w:rPr>
        <w:t>7126</w:t>
      </w:r>
      <w:r>
        <w:rPr>
          <w:rFonts w:hint="eastAsia" w:ascii="仿宋_GB2312" w:hAnsi="仿宋_GB2312" w:eastAsia="仿宋_GB2312" w:cs="仿宋_GB2312"/>
          <w:b w:val="0"/>
          <w:bCs w:val="0"/>
          <w:color w:val="auto"/>
          <w:kern w:val="2"/>
          <w:sz w:val="32"/>
          <w:szCs w:val="32"/>
          <w:highlight w:val="none"/>
          <w:lang w:val="en-US" w:eastAsia="zh-CN" w:bidi="ar-SA"/>
        </w:rPr>
        <w:t>户，信贷资金主要为水产品养殖生产、农业产业链绿色低碳转型、农业绿色服务、农业绿色生产、农业面源污染防治和产地环境保护、农业生态保护修复、农业资源保护和利用等多元化投向，增量扩面成效明显。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630" w:rightChars="30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十、数据梳理、校验及保护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hAnsiTheme="minorHAnsi" w:cstheme="minorBidi"/>
          <w:b w:val="0"/>
          <w:bCs w:val="0"/>
          <w:color w:val="auto"/>
          <w:kern w:val="2"/>
          <w:sz w:val="32"/>
          <w:szCs w:val="32"/>
          <w:highlight w:val="none"/>
          <w:lang w:val="en-US" w:eastAsia="zh-CN" w:bidi="ar-SA"/>
        </w:rPr>
      </w:pPr>
      <w:r>
        <w:rPr>
          <w:rFonts w:hint="eastAsia" w:ascii="仿宋_GB2312" w:eastAsia="仿宋_GB2312" w:hAnsiTheme="minorHAnsi" w:cstheme="minorBidi"/>
          <w:b w:val="0"/>
          <w:bCs w:val="0"/>
          <w:color w:val="auto"/>
          <w:kern w:val="2"/>
          <w:sz w:val="32"/>
          <w:szCs w:val="32"/>
          <w:highlight w:val="none"/>
          <w:lang w:val="en-US" w:eastAsia="zh-CN" w:bidi="ar-SA"/>
        </w:rPr>
        <w:t>本行制定了《关岭农商银行董事会信息科技管理委员会工作细则》《关岭农商银行信息科技突发事件应急预案》《关岭农商银行无线网络安全管理规程》《关岭农商银行网络安全设备管理规程》《关岭农商银行信息系统生产数据安全管理规程》《关岭农商银行信息系统生产数据安全管理规程》等一系列内控管理制度，明确了全行信息科技治理架构和董事会、高级管理层的职责，建立了信息科技“三道防线”，规范行内重要信息系统突发事件应急预案，有效预防、及时控制和最大限度地消除信息系统安全运行各类突发事件的危害和影响，提高信息科技治理的处置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hAnsiTheme="minorHAnsi" w:cstheme="minorBidi"/>
          <w:b w:val="0"/>
          <w:bCs w:val="0"/>
          <w:color w:val="auto"/>
          <w:kern w:val="2"/>
          <w:sz w:val="32"/>
          <w:szCs w:val="32"/>
          <w:highlight w:val="none"/>
          <w:lang w:val="en-US" w:eastAsia="zh-CN" w:bidi="ar-SA"/>
        </w:rPr>
      </w:pPr>
      <w:r>
        <w:rPr>
          <w:rFonts w:hint="eastAsia" w:ascii="仿宋_GB2312" w:eastAsia="仿宋_GB2312" w:hAnsiTheme="minorHAnsi" w:cstheme="minorBidi"/>
          <w:b w:val="0"/>
          <w:bCs w:val="0"/>
          <w:color w:val="auto"/>
          <w:kern w:val="2"/>
          <w:sz w:val="32"/>
          <w:szCs w:val="32"/>
          <w:highlight w:val="none"/>
          <w:lang w:val="en-US" w:eastAsia="zh-CN" w:bidi="ar-SA"/>
        </w:rPr>
        <w:t>本行通过多重举措进一步提升本行信息安全管理水平，守住信息安全底线。统一采购安装深信服防病毒软件，在所有内网电脑进行安装部署。内网终端禁用U盘，在杀毒软件策略中增加定时扫描的频率，病毒查杀扫描频次为每周一次，并于每月定期进行全盘扫描，同时加强终端的漏洞扫描修复工作。多措并举，遏制病毒木马的蔓延，确保网络安全。数据安全管理办法中要求各操作员密码长度应不少于</w:t>
      </w:r>
      <w:r>
        <w:rPr>
          <w:rFonts w:hint="default" w:ascii="Times New Roman" w:hAnsi="Times New Roman" w:eastAsia="仿宋_GB2312" w:cs="Times New Roman"/>
          <w:b w:val="0"/>
          <w:bCs w:val="0"/>
          <w:color w:val="auto"/>
          <w:kern w:val="2"/>
          <w:sz w:val="32"/>
          <w:szCs w:val="32"/>
          <w:highlight w:val="none"/>
          <w:lang w:val="en-US" w:eastAsia="zh-CN" w:bidi="ar-SA"/>
        </w:rPr>
        <w:t>8</w:t>
      </w:r>
      <w:r>
        <w:rPr>
          <w:rFonts w:hint="eastAsia" w:ascii="仿宋_GB2312" w:eastAsia="仿宋_GB2312" w:hAnsiTheme="minorHAnsi" w:cstheme="minorBidi"/>
          <w:b w:val="0"/>
          <w:bCs w:val="0"/>
          <w:color w:val="auto"/>
          <w:kern w:val="2"/>
          <w:sz w:val="32"/>
          <w:szCs w:val="32"/>
          <w:highlight w:val="none"/>
          <w:lang w:val="en-US" w:eastAsia="zh-CN" w:bidi="ar-SA"/>
        </w:rPr>
        <w:t>位，密码应包含大写字母、小写字母、数字及特殊符号中的三项及以上类别，密码应至少</w:t>
      </w:r>
      <w:r>
        <w:rPr>
          <w:rFonts w:hint="default" w:ascii="Times New Roman" w:hAnsi="Times New Roman" w:eastAsia="仿宋_GB2312" w:cs="Times New Roman"/>
          <w:b w:val="0"/>
          <w:bCs w:val="0"/>
          <w:color w:val="auto"/>
          <w:kern w:val="2"/>
          <w:sz w:val="32"/>
          <w:szCs w:val="32"/>
          <w:highlight w:val="none"/>
          <w:lang w:val="en-US" w:eastAsia="zh-CN" w:bidi="ar-SA"/>
        </w:rPr>
        <w:t>90</w:t>
      </w:r>
      <w:r>
        <w:rPr>
          <w:rFonts w:hint="eastAsia" w:ascii="仿宋_GB2312" w:eastAsia="仿宋_GB2312" w:hAnsiTheme="minorHAnsi" w:cstheme="minorBidi"/>
          <w:b w:val="0"/>
          <w:bCs w:val="0"/>
          <w:color w:val="auto"/>
          <w:kern w:val="2"/>
          <w:sz w:val="32"/>
          <w:szCs w:val="32"/>
          <w:highlight w:val="none"/>
          <w:lang w:val="en-US" w:eastAsia="zh-CN" w:bidi="ar-SA"/>
        </w:rPr>
        <w:t>天修改一次，避免使用初始密码，限制连续登录次数不大于</w:t>
      </w:r>
      <w:r>
        <w:rPr>
          <w:rFonts w:hint="default" w:ascii="Times New Roman" w:hAnsi="Times New Roman" w:eastAsia="仿宋_GB2312" w:cs="Times New Roman"/>
          <w:b w:val="0"/>
          <w:bCs w:val="0"/>
          <w:color w:val="auto"/>
          <w:kern w:val="2"/>
          <w:sz w:val="32"/>
          <w:szCs w:val="32"/>
          <w:highlight w:val="none"/>
          <w:lang w:val="en-US" w:eastAsia="zh-CN" w:bidi="ar-SA"/>
        </w:rPr>
        <w:t>5</w:t>
      </w:r>
      <w:r>
        <w:rPr>
          <w:rFonts w:hint="eastAsia" w:ascii="仿宋_GB2312" w:eastAsia="仿宋_GB2312" w:hAnsiTheme="minorHAnsi" w:cstheme="minorBidi"/>
          <w:b w:val="0"/>
          <w:bCs w:val="0"/>
          <w:color w:val="auto"/>
          <w:kern w:val="2"/>
          <w:sz w:val="32"/>
          <w:szCs w:val="32"/>
          <w:highlight w:val="none"/>
          <w:lang w:val="en-US" w:eastAsia="zh-CN" w:bidi="ar-SA"/>
        </w:rPr>
        <w:t>次，网络应使用SSH方式来代替Telnet进行远程管理，用户账户最小化授权等。</w:t>
      </w:r>
      <w:permStart w:id="0" w:edGrp="everyone"/>
      <w:permEnd w:id="0"/>
      <w:bookmarkStart w:id="25" w:name="_GoBack"/>
      <w:bookmarkEnd w:id="25"/>
    </w:p>
    <w:p>
      <w:pPr>
        <w:pStyle w:val="2"/>
        <w:numPr>
          <w:ilvl w:val="0"/>
          <w:numId w:val="0"/>
        </w:numPr>
        <w:ind w:right="630" w:rightChars="300"/>
        <w:rPr>
          <w:color w:val="auto"/>
        </w:rPr>
      </w:pPr>
    </w:p>
    <w:sectPr>
      <w:footerReference r:id="rId13" w:type="default"/>
      <w:footerReference r:id="rId14" w:type="even"/>
      <w:pgSz w:w="11906" w:h="16838"/>
      <w:pgMar w:top="2098" w:right="1474" w:bottom="1984" w:left="1587" w:header="851" w:footer="1588"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right="630"/>
      </w:pPr>
      <w:r>
        <w:separator/>
      </w:r>
    </w:p>
  </w:endnote>
  <w:endnote w:type="continuationSeparator" w:id="1">
    <w:p>
      <w:pPr>
        <w:ind w:right="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Old English Text MT">
    <w:panose1 w:val="03040902040508030806"/>
    <w:charset w:val="00"/>
    <w:family w:val="auto"/>
    <w:pitch w:val="default"/>
    <w:sig w:usb0="00000003" w:usb1="00000000" w:usb2="00000000" w:usb3="00000000" w:csb0="20000001" w:csb1="00000000"/>
  </w:font>
  <w:font w:name="华文琥珀">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Bahnschrift Condensed">
    <w:panose1 w:val="020B0502040204020203"/>
    <w:charset w:val="00"/>
    <w:family w:val="auto"/>
    <w:pitch w:val="default"/>
    <w:sig w:usb0="800002C7" w:usb1="00000002" w:usb2="00000000" w:usb3="00000000" w:csb0="2000019F" w:csb1="00000000"/>
  </w:font>
  <w:font w:name="Monotype Corsiva">
    <w:panose1 w:val="03010101010201010101"/>
    <w:charset w:val="00"/>
    <w:family w:val="auto"/>
    <w:pitch w:val="default"/>
    <w:sig w:usb0="00000287" w:usb1="00000000" w:usb2="00000000" w:usb3="00000000" w:csb0="2000009F" w:csb1="DFD70000"/>
  </w:font>
  <w:font w:name="OCR A Extended">
    <w:panose1 w:val="02010509020102010303"/>
    <w:charset w:val="00"/>
    <w:family w:val="auto"/>
    <w:pitch w:val="default"/>
    <w:sig w:usb0="00000003" w:usb1="00000000" w:usb2="00000000" w:usb3="00000000" w:csb0="20000001" w:csb1="00000000"/>
  </w:font>
  <w:font w:name="Sitka Text">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3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right="630"/>
                            <w:jc w:val="both"/>
                          </w:pPr>
                        </w:p>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ind w:right="630"/>
                      <w:jc w:val="both"/>
                    </w:pPr>
                  </w:p>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30"/>
    </w:pPr>
  </w:p>
  <w:p>
    <w:pPr>
      <w:pStyle w:val="8"/>
      <w:ind w:right="6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3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right="630"/>
                            <w:jc w:val="right"/>
                          </w:pPr>
                        </w:p>
                        <w:p>
                          <w:pPr>
                            <w:pStyle w:val="2"/>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pPr>
                      <w:pStyle w:val="8"/>
                      <w:ind w:right="630"/>
                      <w:jc w:val="right"/>
                    </w:pPr>
                  </w:p>
                  <w:p>
                    <w:pPr>
                      <w:pStyle w:val="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30"/>
    </w:pPr>
  </w:p>
  <w:p>
    <w:pPr>
      <w:pStyle w:val="8"/>
      <w:ind w:right="6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3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3812633"/>
                            <w:docPartObj>
                              <w:docPartGallery w:val="autotext"/>
                            </w:docPartObj>
                          </w:sdtPr>
                          <w:sdtContent>
                            <w:p>
                              <w:pPr>
                                <w:pStyle w:val="8"/>
                                <w:ind w:right="630"/>
                                <w:jc w:val="right"/>
                              </w:pPr>
                            </w:p>
                          </w:sdtContent>
                        </w:sdt>
                        <w:p>
                          <w:pPr>
                            <w:pStyle w:val="2"/>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NDkccBAACZ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GNDkccBAACZAwAADgAAAAAAAAABACAAAAAeAQAAZHJzL2Uyb0RvYy54&#10;bWxQSwUGAAAAAAYABgBZAQAAVwUAAAAA&#10;">
              <v:fill on="f" focussize="0,0"/>
              <v:stroke on="f"/>
              <v:imagedata o:title=""/>
              <o:lock v:ext="edit" aspectratio="f"/>
              <v:textbox inset="0mm,0mm,0mm,0mm" style="mso-fit-shape-to-text:t;">
                <w:txbxContent>
                  <w:sdt>
                    <w:sdtPr>
                      <w:id w:val="23812633"/>
                      <w:docPartObj>
                        <w:docPartGallery w:val="autotext"/>
                      </w:docPartObj>
                    </w:sdtPr>
                    <w:sdtContent>
                      <w:p>
                        <w:pPr>
                          <w:pStyle w:val="8"/>
                          <w:ind w:right="630"/>
                          <w:jc w:val="right"/>
                        </w:pPr>
                      </w:p>
                    </w:sdtContent>
                  </w:sdt>
                  <w:p>
                    <w:pPr>
                      <w:pStyle w:val="2"/>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30"/>
    </w:pPr>
  </w:p>
  <w:p>
    <w:pPr>
      <w:pStyle w:val="8"/>
      <w:ind w:right="6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right="630"/>
      </w:pPr>
      <w:r>
        <w:separator/>
      </w:r>
    </w:p>
  </w:footnote>
  <w:footnote w:type="continuationSeparator" w:id="1">
    <w:p>
      <w:pPr>
        <w:ind w:right="6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right="6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right="6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6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sTRkTXb8o9coKxZjLLjxy1J0wM=" w:salt="mF+M/bS40P3ytwm6kw3Z8A=="/>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1.76.22.99/sys/attachment/sys_att_main/jg_service.jsp"/>
  </w:docVars>
  <w:rsids>
    <w:rsidRoot w:val="00DD6A2F"/>
    <w:rsid w:val="000644A5"/>
    <w:rsid w:val="000A19C8"/>
    <w:rsid w:val="000B4BFD"/>
    <w:rsid w:val="000B5B67"/>
    <w:rsid w:val="00211551"/>
    <w:rsid w:val="002F36C0"/>
    <w:rsid w:val="003052E9"/>
    <w:rsid w:val="003C2E96"/>
    <w:rsid w:val="004077D1"/>
    <w:rsid w:val="00442B36"/>
    <w:rsid w:val="0046401E"/>
    <w:rsid w:val="00632243"/>
    <w:rsid w:val="00660A71"/>
    <w:rsid w:val="00661FA6"/>
    <w:rsid w:val="00684E40"/>
    <w:rsid w:val="00692F81"/>
    <w:rsid w:val="006B7B1F"/>
    <w:rsid w:val="007705C7"/>
    <w:rsid w:val="00771A48"/>
    <w:rsid w:val="008E398B"/>
    <w:rsid w:val="00931603"/>
    <w:rsid w:val="009C2950"/>
    <w:rsid w:val="00A4796E"/>
    <w:rsid w:val="00A52FBA"/>
    <w:rsid w:val="00AE0571"/>
    <w:rsid w:val="00B001A8"/>
    <w:rsid w:val="00B13F8F"/>
    <w:rsid w:val="00B55D38"/>
    <w:rsid w:val="00BD04AD"/>
    <w:rsid w:val="00C15868"/>
    <w:rsid w:val="00C21DB9"/>
    <w:rsid w:val="00C3740C"/>
    <w:rsid w:val="00D85FEB"/>
    <w:rsid w:val="00DD6A2F"/>
    <w:rsid w:val="00DE640E"/>
    <w:rsid w:val="00DF7F7D"/>
    <w:rsid w:val="00E302EE"/>
    <w:rsid w:val="00E44E7A"/>
    <w:rsid w:val="00E56178"/>
    <w:rsid w:val="00EA248F"/>
    <w:rsid w:val="00EE38FC"/>
    <w:rsid w:val="00EF4518"/>
    <w:rsid w:val="00F63E6A"/>
    <w:rsid w:val="00FA12A1"/>
    <w:rsid w:val="00FF5490"/>
    <w:rsid w:val="0110592E"/>
    <w:rsid w:val="03B257AE"/>
    <w:rsid w:val="03F32B51"/>
    <w:rsid w:val="0461142D"/>
    <w:rsid w:val="055278B4"/>
    <w:rsid w:val="07FF7A09"/>
    <w:rsid w:val="084C1B06"/>
    <w:rsid w:val="097636BA"/>
    <w:rsid w:val="0AE114F6"/>
    <w:rsid w:val="0B3A6CB0"/>
    <w:rsid w:val="0B6C39EA"/>
    <w:rsid w:val="0B87560F"/>
    <w:rsid w:val="0DB9753E"/>
    <w:rsid w:val="107D0E43"/>
    <w:rsid w:val="12B1477B"/>
    <w:rsid w:val="15955BE2"/>
    <w:rsid w:val="164B25DB"/>
    <w:rsid w:val="176D6DFB"/>
    <w:rsid w:val="186C2CF3"/>
    <w:rsid w:val="1A57012A"/>
    <w:rsid w:val="1BB86FA6"/>
    <w:rsid w:val="1C1312A3"/>
    <w:rsid w:val="1D576BC8"/>
    <w:rsid w:val="1D7A0F7B"/>
    <w:rsid w:val="1DC403F9"/>
    <w:rsid w:val="1F6E2696"/>
    <w:rsid w:val="1F9B44C7"/>
    <w:rsid w:val="1F9F06A2"/>
    <w:rsid w:val="208B18B9"/>
    <w:rsid w:val="20B01CCF"/>
    <w:rsid w:val="22754532"/>
    <w:rsid w:val="23680E44"/>
    <w:rsid w:val="25DC7B6F"/>
    <w:rsid w:val="26691E6B"/>
    <w:rsid w:val="27655D0C"/>
    <w:rsid w:val="27BF18EB"/>
    <w:rsid w:val="27F12BA5"/>
    <w:rsid w:val="284C79B8"/>
    <w:rsid w:val="28B5153C"/>
    <w:rsid w:val="29562BE2"/>
    <w:rsid w:val="2AAB43AD"/>
    <w:rsid w:val="2C7F0D45"/>
    <w:rsid w:val="2C917430"/>
    <w:rsid w:val="2D4F04EB"/>
    <w:rsid w:val="2E5D76F9"/>
    <w:rsid w:val="2E6E6A91"/>
    <w:rsid w:val="307E4192"/>
    <w:rsid w:val="31C56ECE"/>
    <w:rsid w:val="31E4687A"/>
    <w:rsid w:val="32AA784C"/>
    <w:rsid w:val="32D4661A"/>
    <w:rsid w:val="33474FFE"/>
    <w:rsid w:val="34F35BA7"/>
    <w:rsid w:val="35A51A95"/>
    <w:rsid w:val="369E6941"/>
    <w:rsid w:val="375673DB"/>
    <w:rsid w:val="38306B4D"/>
    <w:rsid w:val="38E70281"/>
    <w:rsid w:val="3A316AD7"/>
    <w:rsid w:val="3C74464C"/>
    <w:rsid w:val="3D263D3A"/>
    <w:rsid w:val="3DFE5B68"/>
    <w:rsid w:val="3F0B5C5C"/>
    <w:rsid w:val="40CD51AF"/>
    <w:rsid w:val="42454B4D"/>
    <w:rsid w:val="427F6B77"/>
    <w:rsid w:val="42CA4C64"/>
    <w:rsid w:val="43AF7E27"/>
    <w:rsid w:val="47BA6BB7"/>
    <w:rsid w:val="48130BE6"/>
    <w:rsid w:val="4A473F7E"/>
    <w:rsid w:val="4B807434"/>
    <w:rsid w:val="4CD82364"/>
    <w:rsid w:val="5474379C"/>
    <w:rsid w:val="5684349C"/>
    <w:rsid w:val="5A1B0793"/>
    <w:rsid w:val="5B0061B1"/>
    <w:rsid w:val="5B3B0A06"/>
    <w:rsid w:val="5C017EA1"/>
    <w:rsid w:val="5C1F5CB3"/>
    <w:rsid w:val="5C6C5180"/>
    <w:rsid w:val="5C930EA4"/>
    <w:rsid w:val="5D8D6E2D"/>
    <w:rsid w:val="61C46F2A"/>
    <w:rsid w:val="62564741"/>
    <w:rsid w:val="6410294D"/>
    <w:rsid w:val="680B2800"/>
    <w:rsid w:val="69432E46"/>
    <w:rsid w:val="69D41C47"/>
    <w:rsid w:val="6BD45DFB"/>
    <w:rsid w:val="6D036A15"/>
    <w:rsid w:val="6DCA0A78"/>
    <w:rsid w:val="6EC123AE"/>
    <w:rsid w:val="6EC762FB"/>
    <w:rsid w:val="6EDD16B1"/>
    <w:rsid w:val="706D6626"/>
    <w:rsid w:val="70B8477C"/>
    <w:rsid w:val="7193360F"/>
    <w:rsid w:val="71E52395"/>
    <w:rsid w:val="768E4234"/>
    <w:rsid w:val="790C5C96"/>
    <w:rsid w:val="7B3C669A"/>
    <w:rsid w:val="7BFD71CF"/>
    <w:rsid w:val="7C3204D7"/>
    <w:rsid w:val="7D983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iPriority="39" w:semiHidden="0"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right="300" w:rightChars="30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6">
    <w:name w:val="toc 8"/>
    <w:basedOn w:val="1"/>
    <w:next w:val="1"/>
    <w:unhideWhenUsed/>
    <w:qFormat/>
    <w:uiPriority w:val="39"/>
    <w:pPr>
      <w:ind w:left="2940" w:leftChars="1400"/>
    </w:pPr>
  </w:style>
  <w:style w:type="paragraph" w:styleId="7">
    <w:name w:val="Body Text Indent 2"/>
    <w:basedOn w:val="1"/>
    <w:unhideWhenUsed/>
    <w:qFormat/>
    <w:uiPriority w:val="99"/>
    <w:pPr>
      <w:ind w:firstLine="630"/>
    </w:pPr>
    <w:rPr>
      <w:b/>
      <w:sz w:val="32"/>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table" w:styleId="12">
    <w:name w:val="Table Grid"/>
    <w:basedOn w:val="11"/>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页眉 Char"/>
    <w:basedOn w:val="13"/>
    <w:link w:val="9"/>
    <w:semiHidden/>
    <w:qFormat/>
    <w:uiPriority w:val="99"/>
    <w:rPr>
      <w:sz w:val="18"/>
      <w:szCs w:val="18"/>
    </w:rPr>
  </w:style>
  <w:style w:type="character" w:customStyle="1" w:styleId="15">
    <w:name w:val="页脚 Char"/>
    <w:basedOn w:val="13"/>
    <w:link w:val="8"/>
    <w:qFormat/>
    <w:uiPriority w:val="99"/>
    <w:rPr>
      <w:sz w:val="18"/>
      <w:szCs w:val="18"/>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 w:type="paragraph" w:customStyle="1" w:styleId="19">
    <w:name w:val="正文-公1"/>
    <w:basedOn w:val="20"/>
    <w:next w:val="6"/>
    <w:qFormat/>
    <w:uiPriority w:val="0"/>
    <w:pPr>
      <w:ind w:firstLine="200" w:firstLineChars="200"/>
    </w:p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9"/>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1">
    <w:name w:val="font01"/>
    <w:basedOn w:val="13"/>
    <w:qFormat/>
    <w:uiPriority w:val="0"/>
    <w:rPr>
      <w:rFonts w:hint="eastAsia" w:ascii="宋体" w:hAnsi="宋体" w:eastAsia="宋体" w:cs="宋体"/>
      <w:color w:val="000000"/>
      <w:sz w:val="21"/>
      <w:szCs w:val="21"/>
      <w:u w:val="none"/>
    </w:rPr>
  </w:style>
  <w:style w:type="character" w:customStyle="1" w:styleId="22">
    <w:name w:val="font11"/>
    <w:basedOn w:val="1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4cddc9e-6f80-4a65-aa3b-7e652dd0e4d1}"/>
        <w:style w:val=""/>
        <w:category>
          <w:name w:val="常规"/>
          <w:gallery w:val="placeholder"/>
        </w:category>
        <w:types>
          <w:type w:val="bbPlcHdr"/>
        </w:types>
        <w:behaviors>
          <w:behavior w:val="content"/>
        </w:behaviors>
        <w:description w:val=""/>
        <w:guid w:val="{64cddc9e-6f80-4a65-aa3b-7e652dd0e4d1}"/>
      </w:docPartPr>
      <w:docPartBody>
        <w:p>
          <w:r>
            <w:rPr>
              <w:color w:val="808080"/>
            </w:rPr>
            <w:t>单击此处输入文字。</w:t>
          </w:r>
        </w:p>
      </w:docPartBody>
    </w:docPart>
    <w:docPart>
      <w:docPartPr>
        <w:name w:val="{6afa639b-657a-4e8e-ad60-138ebc3a4556}"/>
        <w:style w:val=""/>
        <w:category>
          <w:name w:val="常规"/>
          <w:gallery w:val="placeholder"/>
        </w:category>
        <w:types>
          <w:type w:val="bbPlcHdr"/>
        </w:types>
        <w:behaviors>
          <w:behavior w:val="content"/>
        </w:behaviors>
        <w:description w:val=""/>
        <w:guid w:val="{6afa639b-657a-4e8e-ad60-138ebc3a4556}"/>
      </w:docPartPr>
      <w:docPartBody>
        <w:p>
          <w:r>
            <w:rPr>
              <w:color w:val="808080"/>
            </w:rPr>
            <w:t>单击此处输入文字。</w:t>
          </w:r>
        </w:p>
      </w:docPartBody>
    </w:docPart>
    <w:docPart>
      <w:docPartPr>
        <w:name w:val="{3ed1882e-b066-42ea-92b4-140b9beb32d3}"/>
        <w:style w:val=""/>
        <w:category>
          <w:name w:val="常规"/>
          <w:gallery w:val="placeholder"/>
        </w:category>
        <w:types>
          <w:type w:val="bbPlcHdr"/>
        </w:types>
        <w:behaviors>
          <w:behavior w:val="content"/>
        </w:behaviors>
        <w:description w:val=""/>
        <w:guid w:val="{3ed1882e-b066-42ea-92b4-140b9beb32d3}"/>
      </w:docPartPr>
      <w:docPartBody>
        <w:p>
          <w:r>
            <w:rPr>
              <w:color w:val="808080"/>
            </w:rPr>
            <w:t>单击此处输入文字。</w:t>
          </w:r>
        </w:p>
      </w:docPartBody>
    </w:docPart>
    <w:docPart>
      <w:docPartPr>
        <w:name w:val="{0a9691fc-a477-4e1a-8eea-dc3b4ebd2292}"/>
        <w:style w:val=""/>
        <w:category>
          <w:name w:val="常规"/>
          <w:gallery w:val="placeholder"/>
        </w:category>
        <w:types>
          <w:type w:val="bbPlcHdr"/>
        </w:types>
        <w:behaviors>
          <w:behavior w:val="content"/>
        </w:behaviors>
        <w:description w:val=""/>
        <w:guid w:val="{0a9691fc-a477-4e1a-8eea-dc3b4ebd2292}"/>
      </w:docPartPr>
      <w:docPartBody>
        <w:p>
          <w:r>
            <w:rPr>
              <w:color w:val="808080"/>
            </w:rPr>
            <w:t>单击此处输入文字。</w:t>
          </w:r>
        </w:p>
      </w:docPartBody>
    </w:docPart>
    <w:docPart>
      <w:docPartPr>
        <w:name w:val="{c7b1300d-7273-4c5d-9945-1a651524393b}"/>
        <w:style w:val=""/>
        <w:category>
          <w:name w:val="常规"/>
          <w:gallery w:val="placeholder"/>
        </w:category>
        <w:types>
          <w:type w:val="bbPlcHdr"/>
        </w:types>
        <w:behaviors>
          <w:behavior w:val="content"/>
        </w:behaviors>
        <w:description w:val=""/>
        <w:guid w:val="{c7b1300d-7273-4c5d-9945-1a651524393b}"/>
      </w:docPartPr>
      <w:docPartBody>
        <w:p>
          <w:r>
            <w:rPr>
              <w:color w:val="808080"/>
            </w:rPr>
            <w:t>单击此处输入文字。</w:t>
          </w:r>
        </w:p>
      </w:docPartBody>
    </w:docPart>
    <w:docPart>
      <w:docPartPr>
        <w:name w:val="{1a25cf9a-a1bc-45c1-a214-d447f9688344}"/>
        <w:style w:val=""/>
        <w:category>
          <w:name w:val="常规"/>
          <w:gallery w:val="placeholder"/>
        </w:category>
        <w:types>
          <w:type w:val="bbPlcHdr"/>
        </w:types>
        <w:behaviors>
          <w:behavior w:val="content"/>
        </w:behaviors>
        <w:description w:val=""/>
        <w:guid w:val="{1a25cf9a-a1bc-45c1-a214-d447f9688344}"/>
      </w:docPartPr>
      <w:docPartBody>
        <w:p>
          <w:r>
            <w:rPr>
              <w:color w:val="808080"/>
            </w:rPr>
            <w:t>单击此处输入文字。</w:t>
          </w:r>
        </w:p>
      </w:docPartBody>
    </w:docPart>
    <w:docPart>
      <w:docPartPr>
        <w:name w:val="{27946dd1-310c-4eb2-8e6f-286ace314f5b}"/>
        <w:style w:val=""/>
        <w:category>
          <w:name w:val="常规"/>
          <w:gallery w:val="placeholder"/>
        </w:category>
        <w:types>
          <w:type w:val="bbPlcHdr"/>
        </w:types>
        <w:behaviors>
          <w:behavior w:val="content"/>
        </w:behaviors>
        <w:description w:val=""/>
        <w:guid w:val="{27946dd1-310c-4eb2-8e6f-286ace314f5b}"/>
      </w:docPartPr>
      <w:docPartBody>
        <w:p>
          <w:r>
            <w:rPr>
              <w:color w:val="808080"/>
            </w:rPr>
            <w:t>单击此处输入文字。</w:t>
          </w:r>
        </w:p>
      </w:docPartBody>
    </w:docPart>
    <w:docPart>
      <w:docPartPr>
        <w:name w:val="{d0f2e804-6d0d-4922-8a88-ebdd69e9fc09}"/>
        <w:style w:val=""/>
        <w:category>
          <w:name w:val="常规"/>
          <w:gallery w:val="placeholder"/>
        </w:category>
        <w:types>
          <w:type w:val="bbPlcHdr"/>
        </w:types>
        <w:behaviors>
          <w:behavior w:val="content"/>
        </w:behaviors>
        <w:description w:val=""/>
        <w:guid w:val="{d0f2e804-6d0d-4922-8a88-ebdd69e9fc09}"/>
      </w:docPartPr>
      <w:docPartBody>
        <w:p>
          <w:r>
            <w:rPr>
              <w:color w:val="808080"/>
            </w:rPr>
            <w:t>单击此处输入文字。</w:t>
          </w:r>
        </w:p>
      </w:docPartBody>
    </w:docPart>
    <w:docPart>
      <w:docPartPr>
        <w:name w:val="{e0835118-d495-4260-9b10-99f2a1cf6247}"/>
        <w:style w:val=""/>
        <w:category>
          <w:name w:val="常规"/>
          <w:gallery w:val="placeholder"/>
        </w:category>
        <w:types>
          <w:type w:val="bbPlcHdr"/>
        </w:types>
        <w:behaviors>
          <w:behavior w:val="content"/>
        </w:behaviors>
        <w:description w:val=""/>
        <w:guid w:val="{e0835118-d495-4260-9b10-99f2a1cf6247}"/>
      </w:docPartPr>
      <w:docPartBody>
        <w:p>
          <w:r>
            <w:rPr>
              <w:color w:val="808080"/>
            </w:rPr>
            <w:t>单击此处输入文字。</w:t>
          </w:r>
        </w:p>
      </w:docPartBody>
    </w:docPart>
    <w:docPart>
      <w:docPartPr>
        <w:name w:val="{1c87f3e6-0fc2-4f2d-adeb-8910fdbf24c7}"/>
        <w:style w:val=""/>
        <w:category>
          <w:name w:val="常规"/>
          <w:gallery w:val="placeholder"/>
        </w:category>
        <w:types>
          <w:type w:val="bbPlcHdr"/>
        </w:types>
        <w:behaviors>
          <w:behavior w:val="content"/>
        </w:behaviors>
        <w:description w:val=""/>
        <w:guid w:val="{1c87f3e6-0fc2-4f2d-adeb-8910fdbf24c7}"/>
      </w:docPartPr>
      <w:docPartBody>
        <w:p>
          <w:r>
            <w:rPr>
              <w:color w:val="808080"/>
            </w:rPr>
            <w:t>单击此处输入文字。</w:t>
          </w:r>
        </w:p>
      </w:docPartBody>
    </w:docPart>
    <w:docPart>
      <w:docPartPr>
        <w:name w:val="{a566709f-9b3d-4972-afef-3e1b51d55475}"/>
        <w:style w:val=""/>
        <w:category>
          <w:name w:val="常规"/>
          <w:gallery w:val="placeholder"/>
        </w:category>
        <w:types>
          <w:type w:val="bbPlcHdr"/>
        </w:types>
        <w:behaviors>
          <w:behavior w:val="content"/>
        </w:behaviors>
        <w:description w:val=""/>
        <w:guid w:val="{a566709f-9b3d-4972-afef-3e1b51d55475}"/>
      </w:docPartPr>
      <w:docPartBody>
        <w:p>
          <w:r>
            <w:rPr>
              <w:color w:val="808080"/>
            </w:rPr>
            <w:t>单击此处输入文字。</w:t>
          </w:r>
        </w:p>
      </w:docPartBody>
    </w:docPart>
    <w:docPart>
      <w:docPartPr>
        <w:name w:val="{753b87f4-d429-4233-bf24-2e2e0f039c9c}"/>
        <w:style w:val=""/>
        <w:category>
          <w:name w:val="常规"/>
          <w:gallery w:val="placeholder"/>
        </w:category>
        <w:types>
          <w:type w:val="bbPlcHdr"/>
        </w:types>
        <w:behaviors>
          <w:behavior w:val="content"/>
        </w:behaviors>
        <w:description w:val=""/>
        <w:guid w:val="{753b87f4-d429-4233-bf24-2e2e0f039c9c}"/>
      </w:docPartPr>
      <w:docPartBody>
        <w:p>
          <w:r>
            <w:rPr>
              <w:color w:val="808080"/>
            </w:rPr>
            <w:t>单击此处输入文字。</w:t>
          </w:r>
        </w:p>
      </w:docPartBody>
    </w:docPart>
    <w:docPart>
      <w:docPartPr>
        <w:name w:val="{b4df177d-a35d-4fa0-ba35-79eea4cac281}"/>
        <w:style w:val=""/>
        <w:category>
          <w:name w:val="常规"/>
          <w:gallery w:val="placeholder"/>
        </w:category>
        <w:types>
          <w:type w:val="bbPlcHdr"/>
        </w:types>
        <w:behaviors>
          <w:behavior w:val="content"/>
        </w:behaviors>
        <w:description w:val=""/>
        <w:guid w:val="{b4df177d-a35d-4fa0-ba35-79eea4cac281}"/>
      </w:docPartPr>
      <w:docPartBody>
        <w:p>
          <w:r>
            <w:rPr>
              <w:color w:val="808080"/>
            </w:rPr>
            <w:t>单击此处输入文字。</w:t>
          </w:r>
        </w:p>
      </w:docPartBody>
    </w:docPart>
    <w:docPart>
      <w:docPartPr>
        <w:name w:val="{2fea56f5-bba3-40a6-8940-324f4d97b6ae}"/>
        <w:style w:val=""/>
        <w:category>
          <w:name w:val="常规"/>
          <w:gallery w:val="placeholder"/>
        </w:category>
        <w:types>
          <w:type w:val="bbPlcHdr"/>
        </w:types>
        <w:behaviors>
          <w:behavior w:val="content"/>
        </w:behaviors>
        <w:description w:val=""/>
        <w:guid w:val="{2fea56f5-bba3-40a6-8940-324f4d97b6ae}"/>
      </w:docPartPr>
      <w:docPartBody>
        <w:p>
          <w:r>
            <w:rPr>
              <w:color w:val="808080"/>
            </w:rPr>
            <w:t>单击此处输入文字。</w:t>
          </w:r>
        </w:p>
      </w:docPartBody>
    </w:docPart>
    <w:docPart>
      <w:docPartPr>
        <w:name w:val="{3bcd4f8b-a2ad-4e6a-8e9b-4c9cc5e7fe51}"/>
        <w:style w:val=""/>
        <w:category>
          <w:name w:val="常规"/>
          <w:gallery w:val="placeholder"/>
        </w:category>
        <w:types>
          <w:type w:val="bbPlcHdr"/>
        </w:types>
        <w:behaviors>
          <w:behavior w:val="content"/>
        </w:behaviors>
        <w:description w:val=""/>
        <w:guid w:val="{3bcd4f8b-a2ad-4e6a-8e9b-4c9cc5e7fe51}"/>
      </w:docPartPr>
      <w:docPartBody>
        <w:p>
          <w:r>
            <w:rPr>
              <w:color w:val="808080"/>
            </w:rPr>
            <w:t>单击此处输入文字。</w:t>
          </w:r>
        </w:p>
      </w:docPartBody>
    </w:docPart>
    <w:docPart>
      <w:docPartPr>
        <w:name w:val="{4f619e4d-3c94-445a-b2ab-73e97278b061}"/>
        <w:style w:val=""/>
        <w:category>
          <w:name w:val="常规"/>
          <w:gallery w:val="placeholder"/>
        </w:category>
        <w:types>
          <w:type w:val="bbPlcHdr"/>
        </w:types>
        <w:behaviors>
          <w:behavior w:val="content"/>
        </w:behaviors>
        <w:description w:val=""/>
        <w:guid w:val="{4f619e4d-3c94-445a-b2ab-73e97278b061}"/>
      </w:docPartPr>
      <w:docPartBody>
        <w:p>
          <w:r>
            <w:rPr>
              <w:color w:val="808080"/>
            </w:rPr>
            <w:t>单击此处输入文字。</w:t>
          </w:r>
        </w:p>
      </w:docPartBody>
    </w:docPart>
    <w:docPart>
      <w:docPartPr>
        <w:name w:val="{737bcd13-f95b-4c86-ad7d-0c1f09672dc5}"/>
        <w:style w:val=""/>
        <w:category>
          <w:name w:val="常规"/>
          <w:gallery w:val="placeholder"/>
        </w:category>
        <w:types>
          <w:type w:val="bbPlcHdr"/>
        </w:types>
        <w:behaviors>
          <w:behavior w:val="content"/>
        </w:behaviors>
        <w:description w:val=""/>
        <w:guid w:val="{737bcd13-f95b-4c86-ad7d-0c1f09672dc5}"/>
      </w:docPartPr>
      <w:docPartBody>
        <w:p>
          <w:r>
            <w:rPr>
              <w:color w:val="808080"/>
            </w:rPr>
            <w:t>单击此处输入文字。</w:t>
          </w:r>
        </w:p>
      </w:docPartBody>
    </w:docPart>
    <w:docPart>
      <w:docPartPr>
        <w:name w:val="{b4042c2b-9dee-4f1b-8de3-44b5c2880fec}"/>
        <w:style w:val=""/>
        <w:category>
          <w:name w:val="常规"/>
          <w:gallery w:val="placeholder"/>
        </w:category>
        <w:types>
          <w:type w:val="bbPlcHdr"/>
        </w:types>
        <w:behaviors>
          <w:behavior w:val="content"/>
        </w:behaviors>
        <w:description w:val=""/>
        <w:guid w:val="{b4042c2b-9dee-4f1b-8de3-44b5c2880fec}"/>
      </w:docPartPr>
      <w:docPartBody>
        <w:p>
          <w:r>
            <w:rPr>
              <w:color w:val="808080"/>
            </w:rPr>
            <w:t>单击此处输入文字。</w:t>
          </w:r>
        </w:p>
      </w:docPartBody>
    </w:docPart>
    <w:docPart>
      <w:docPartPr>
        <w:name w:val="{f621aed9-74a9-4a68-886b-959b6feac375}"/>
        <w:style w:val=""/>
        <w:category>
          <w:name w:val="常规"/>
          <w:gallery w:val="placeholder"/>
        </w:category>
        <w:types>
          <w:type w:val="bbPlcHdr"/>
        </w:types>
        <w:behaviors>
          <w:behavior w:val="content"/>
        </w:behaviors>
        <w:description w:val=""/>
        <w:guid w:val="{f621aed9-74a9-4a68-886b-959b6feac375}"/>
      </w:docPartPr>
      <w:docPartBody>
        <w:p>
          <w:r>
            <w:rPr>
              <w:color w:val="808080"/>
            </w:rPr>
            <w:t>单击此处输入文字。</w:t>
          </w:r>
        </w:p>
      </w:docPartBody>
    </w:docPart>
    <w:docPart>
      <w:docPartPr>
        <w:name w:val="{c6ab0395-568a-4d93-aa17-335d2b7acefa}"/>
        <w:style w:val=""/>
        <w:category>
          <w:name w:val="常规"/>
          <w:gallery w:val="placeholder"/>
        </w:category>
        <w:types>
          <w:type w:val="bbPlcHdr"/>
        </w:types>
        <w:behaviors>
          <w:behavior w:val="content"/>
        </w:behaviors>
        <w:description w:val=""/>
        <w:guid w:val="{c6ab0395-568a-4d93-aa17-335d2b7acefa}"/>
      </w:docPartPr>
      <w:docPartBody>
        <w:p>
          <w:r>
            <w:rPr>
              <w:color w:val="808080"/>
            </w:rPr>
            <w:t>单击此处输入文字。</w:t>
          </w:r>
        </w:p>
      </w:docPartBody>
    </w:docPart>
    <w:docPart>
      <w:docPartPr>
        <w:name w:val="{f3cc4926-c291-44b4-acfe-a974b2234e5c}"/>
        <w:style w:val=""/>
        <w:category>
          <w:name w:val="常规"/>
          <w:gallery w:val="placeholder"/>
        </w:category>
        <w:types>
          <w:type w:val="bbPlcHdr"/>
        </w:types>
        <w:behaviors>
          <w:behavior w:val="content"/>
        </w:behaviors>
        <w:description w:val=""/>
        <w:guid w:val="{f3cc4926-c291-44b4-acfe-a974b2234e5c}"/>
      </w:docPartPr>
      <w:docPartBody>
        <w:p>
          <w:r>
            <w:rPr>
              <w:color w:val="808080"/>
            </w:rPr>
            <w:t>单击此处输入文字。</w:t>
          </w:r>
        </w:p>
      </w:docPartBody>
    </w:docPart>
    <w:docPart>
      <w:docPartPr>
        <w:name w:val="{cb2a49ad-ec46-4b5e-9767-9ebb3285ea00}"/>
        <w:style w:val=""/>
        <w:category>
          <w:name w:val="常规"/>
          <w:gallery w:val="placeholder"/>
        </w:category>
        <w:types>
          <w:type w:val="bbPlcHdr"/>
        </w:types>
        <w:behaviors>
          <w:behavior w:val="content"/>
        </w:behaviors>
        <w:description w:val=""/>
        <w:guid w:val="{cb2a49ad-ec46-4b5e-9767-9ebb3285ea00}"/>
      </w:docPartPr>
      <w:docPartBody>
        <w:p>
          <w:r>
            <w:rPr>
              <w:color w:val="808080"/>
            </w:rPr>
            <w:t>单击此处输入文字。</w:t>
          </w:r>
        </w:p>
      </w:docPartBody>
    </w:docPart>
    <w:docPart>
      <w:docPartPr>
        <w:name w:val="{02f4023a-5c9c-4ffc-b98b-3f9c38b3c697}"/>
        <w:style w:val=""/>
        <w:category>
          <w:name w:val="常规"/>
          <w:gallery w:val="placeholder"/>
        </w:category>
        <w:types>
          <w:type w:val="bbPlcHdr"/>
        </w:types>
        <w:behaviors>
          <w:behavior w:val="content"/>
        </w:behaviors>
        <w:description w:val=""/>
        <w:guid w:val="{02f4023a-5c9c-4ffc-b98b-3f9c38b3c697}"/>
      </w:docPartPr>
      <w:docPartBody>
        <w:p>
          <w:r>
            <w:rPr>
              <w:color w:val="808080"/>
            </w:rPr>
            <w:t>单击此处输入文字。</w:t>
          </w:r>
        </w:p>
      </w:docPartBody>
    </w:docPart>
    <w:docPart>
      <w:docPartPr>
        <w:name w:val="{4d147642-4291-44af-a112-e5f2d664ec44}"/>
        <w:style w:val=""/>
        <w:category>
          <w:name w:val="常规"/>
          <w:gallery w:val="placeholder"/>
        </w:category>
        <w:types>
          <w:type w:val="bbPlcHdr"/>
        </w:types>
        <w:behaviors>
          <w:behavior w:val="content"/>
        </w:behaviors>
        <w:description w:val=""/>
        <w:guid w:val="{4d147642-4291-44af-a112-e5f2d664ec44}"/>
      </w:docPartPr>
      <w:docPartBody>
        <w:p>
          <w:r>
            <w:rPr>
              <w:color w:val="808080"/>
            </w:rPr>
            <w:t>单击此处输入文字。</w:t>
          </w:r>
        </w:p>
      </w:docPartBody>
    </w:docPart>
    <w:docPart>
      <w:docPartPr>
        <w:name w:val="{59f59206-3ebe-4db6-9581-281ce6d1e2eb}"/>
        <w:style w:val=""/>
        <w:category>
          <w:name w:val="常规"/>
          <w:gallery w:val="placeholder"/>
        </w:category>
        <w:types>
          <w:type w:val="bbPlcHdr"/>
        </w:types>
        <w:behaviors>
          <w:behavior w:val="content"/>
        </w:behaviors>
        <w:description w:val=""/>
        <w:guid w:val="{59f59206-3ebe-4db6-9581-281ce6d1e2eb}"/>
      </w:docPartPr>
      <w:docPartBody>
        <w:p>
          <w:r>
            <w:rPr>
              <w:color w:val="808080"/>
            </w:rPr>
            <w:t>单击此处输入文字。</w:t>
          </w:r>
        </w:p>
      </w:docPartBody>
    </w:docPart>
    <w:docPart>
      <w:docPartPr>
        <w:name w:val="{5237b996-ade2-4377-90e6-84d268f38435}"/>
        <w:style w:val=""/>
        <w:category>
          <w:name w:val="常规"/>
          <w:gallery w:val="placeholder"/>
        </w:category>
        <w:types>
          <w:type w:val="bbPlcHdr"/>
        </w:types>
        <w:behaviors>
          <w:behavior w:val="content"/>
        </w:behaviors>
        <w:description w:val=""/>
        <w:guid w:val="{5237b996-ade2-4377-90e6-84d268f38435}"/>
      </w:docPartPr>
      <w:docPartBody>
        <w:p>
          <w:r>
            <w:rPr>
              <w:color w:val="808080"/>
            </w:rPr>
            <w:t>单击此处输入文字。</w:t>
          </w:r>
        </w:p>
      </w:docPartBody>
    </w:docPart>
    <w:docPart>
      <w:docPartPr>
        <w:name w:val="{ddf05385-af44-4e54-becb-c8da1d94ae69}"/>
        <w:style w:val=""/>
        <w:category>
          <w:name w:val="常规"/>
          <w:gallery w:val="placeholder"/>
        </w:category>
        <w:types>
          <w:type w:val="bbPlcHdr"/>
        </w:types>
        <w:behaviors>
          <w:behavior w:val="content"/>
        </w:behaviors>
        <w:description w:val=""/>
        <w:guid w:val="{ddf05385-af44-4e54-becb-c8da1d94ae69}"/>
      </w:docPartPr>
      <w:docPartBody>
        <w:p>
          <w:r>
            <w:rPr>
              <w:color w:val="808080"/>
            </w:rPr>
            <w:t>单击此处输入文字。</w:t>
          </w:r>
        </w:p>
      </w:docPartBody>
    </w:docPart>
    <w:docPart>
      <w:docPartPr>
        <w:name w:val="{546be2d2-26c8-4a32-9998-db68f86d2f56}"/>
        <w:style w:val=""/>
        <w:category>
          <w:name w:val="常规"/>
          <w:gallery w:val="placeholder"/>
        </w:category>
        <w:types>
          <w:type w:val="bbPlcHdr"/>
        </w:types>
        <w:behaviors>
          <w:behavior w:val="content"/>
        </w:behaviors>
        <w:description w:val=""/>
        <w:guid w:val="{546be2d2-26c8-4a32-9998-db68f86d2f56}"/>
      </w:docPartPr>
      <w:docPartBody>
        <w:p>
          <w:r>
            <w:rPr>
              <w:color w:val="808080"/>
            </w:rPr>
            <w:t>单击此处输入文字。</w:t>
          </w:r>
        </w:p>
      </w:docPartBody>
    </w:docPart>
    <w:docPart>
      <w:docPartPr>
        <w:name w:val="{a3e18f10-a867-4d4d-8c4a-09cc1f49fb10}"/>
        <w:style w:val=""/>
        <w:category>
          <w:name w:val="常规"/>
          <w:gallery w:val="placeholder"/>
        </w:category>
        <w:types>
          <w:type w:val="bbPlcHdr"/>
        </w:types>
        <w:behaviors>
          <w:behavior w:val="content"/>
        </w:behaviors>
        <w:description w:val=""/>
        <w:guid w:val="{a3e18f10-a867-4d4d-8c4a-09cc1f49fb10}"/>
      </w:docPartPr>
      <w:docPartBody>
        <w:p>
          <w:r>
            <w:rPr>
              <w:color w:val="808080"/>
            </w:rPr>
            <w:t>单击此处输入文字。</w:t>
          </w:r>
        </w:p>
      </w:docPartBody>
    </w:docPart>
    <w:docPart>
      <w:docPartPr>
        <w:name w:val="{d521b12d-aaa4-47dd-ac50-c37d5a944cde}"/>
        <w:style w:val=""/>
        <w:category>
          <w:name w:val="常规"/>
          <w:gallery w:val="placeholder"/>
        </w:category>
        <w:types>
          <w:type w:val="bbPlcHdr"/>
        </w:types>
        <w:behaviors>
          <w:behavior w:val="content"/>
        </w:behaviors>
        <w:description w:val=""/>
        <w:guid w:val="{d521b12d-aaa4-47dd-ac50-c37d5a944cde}"/>
      </w:docPartPr>
      <w:docPartBody>
        <w:p>
          <w:r>
            <w:rPr>
              <w:color w:val="808080"/>
            </w:rPr>
            <w:t>单击此处输入文字。</w:t>
          </w:r>
        </w:p>
      </w:docPartBody>
    </w:docPart>
    <w:docPart>
      <w:docPartPr>
        <w:name w:val="{de1d33b9-5314-4547-83c9-2bdb041a313d}"/>
        <w:style w:val=""/>
        <w:category>
          <w:name w:val="常规"/>
          <w:gallery w:val="placeholder"/>
        </w:category>
        <w:types>
          <w:type w:val="bbPlcHdr"/>
        </w:types>
        <w:behaviors>
          <w:behavior w:val="content"/>
        </w:behaviors>
        <w:description w:val=""/>
        <w:guid w:val="{de1d33b9-5314-4547-83c9-2bdb041a313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33</Words>
  <Characters>190</Characters>
  <Lines>1</Lines>
  <Paragraphs>1</Paragraphs>
  <TotalTime>72</TotalTime>
  <ScaleCrop>false</ScaleCrop>
  <LinksUpToDate>false</LinksUpToDate>
  <CharactersWithSpaces>222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2024-01-29T02:13:00Z</dcterms:created>
  <dc:creator>罗尹晗</dc:creator>
  <cp:lastModifiedBy>139746-韦玮</cp:lastModifiedBy>
  <cp:lastPrinted>2024-04-17T02:05:00Z</cp:lastPrinted>
  <dcterms:modified xsi:type="dcterms:W3CDTF">2024-04-23T10:34:35Z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