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bCs w:val="0"/>
          <w:color w:val="000000" w:themeColor="text1"/>
          <w:sz w:val="32"/>
          <w:szCs w:val="32"/>
          <w:lang w:val="en-US" w:eastAsia="zh-CN"/>
          <w14:textFill>
            <w14:solidFill>
              <w14:schemeClr w14:val="tx1"/>
            </w14:solidFill>
          </w14:textFill>
        </w:rPr>
      </w:pPr>
      <w:bookmarkStart w:id="0" w:name="_Toc26082"/>
      <w:r>
        <w:rPr>
          <w:rFonts w:hint="eastAsia" w:ascii="方正小标宋简体" w:hAnsi="方正小标宋简体" w:eastAsia="方正小标宋简体" w:cs="方正小标宋简体"/>
          <w:bCs w:val="0"/>
          <w:color w:val="000000" w:themeColor="text1"/>
          <w:sz w:val="32"/>
          <w:szCs w:val="32"/>
          <w:lang w:val="en-US" w:eastAsia="zh-CN"/>
          <w14:textFill>
            <w14:solidFill>
              <w14:schemeClr w14:val="tx1"/>
            </w14:solidFill>
          </w14:textFill>
        </w:rPr>
        <w:t>附件1</w:t>
      </w:r>
      <w:bookmarkEnd w:id="0"/>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left="0"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val="0"/>
          <w:color w:val="000000" w:themeColor="text1"/>
          <w:sz w:val="44"/>
          <w:szCs w:val="44"/>
          <w:lang w:val="en-US" w:eastAsia="zh-CN"/>
          <w14:textFill>
            <w14:solidFill>
              <w14:schemeClr w14:val="tx1"/>
            </w14:solidFill>
          </w14:textFill>
        </w:rPr>
      </w:pPr>
      <w:r>
        <w:rPr>
          <w:rFonts w:hint="default" w:ascii="方正小标宋简体" w:hAnsi="方正小标宋简体" w:eastAsia="方正小标宋简体" w:cs="方正小标宋简体"/>
          <w:bCs w:val="0"/>
          <w:color w:val="000000" w:themeColor="text1"/>
          <w:kern w:val="2"/>
          <w:sz w:val="44"/>
          <w:szCs w:val="44"/>
          <w:lang w:val="en-US" w:eastAsia="zh-CN" w:bidi="ar-SA"/>
          <w14:textFill>
            <w14:solidFill>
              <w14:schemeClr w14:val="tx1"/>
            </w14:solidFill>
          </w14:textFill>
        </w:rPr>
        <w:t>小微企业金融综合服务平台技术服务-信贷业务系统改造</w:t>
      </w:r>
      <w:r>
        <w:rPr>
          <w:rFonts w:hint="eastAsia" w:ascii="方正小标宋简体" w:hAnsi="方正小标宋简体" w:eastAsia="方正小标宋简体" w:cs="方正小标宋简体"/>
          <w:bCs w:val="0"/>
          <w:color w:val="000000" w:themeColor="text1"/>
          <w:sz w:val="44"/>
          <w:szCs w:val="44"/>
          <w:lang w:val="en-US" w:eastAsia="zh-CN"/>
          <w14:textFill>
            <w14:solidFill>
              <w14:schemeClr w14:val="tx1"/>
            </w14:solidFill>
          </w14:textFill>
        </w:rPr>
        <w:t>技术和服务要求</w:t>
      </w:r>
    </w:p>
    <w:sdt>
      <w:sdtPr>
        <w:rPr>
          <w:rFonts w:hint="eastAsia" w:ascii="黑体" w:hAnsi="黑体" w:eastAsia="黑体" w:cs="黑体"/>
          <w:kern w:val="2"/>
          <w:sz w:val="24"/>
          <w:szCs w:val="32"/>
          <w:lang w:val="en-US" w:eastAsia="zh-CN" w:bidi="ar-SA"/>
        </w:rPr>
        <w:id w:val="147459763"/>
        <w15:color w:val="DBDBDB"/>
        <w:docPartObj>
          <w:docPartGallery w:val="Table of Contents"/>
          <w:docPartUnique/>
        </w:docPartObj>
      </w:sdtPr>
      <w:sdtEndPr>
        <w:rPr>
          <w:rFonts w:hint="eastAsia" w:asciiTheme="minorHAnsi" w:hAnsiTheme="minorHAnsi" w:eastAsiaTheme="minorEastAsia"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kern w:val="2"/>
              <w:sz w:val="24"/>
              <w:szCs w:val="32"/>
              <w:lang w:val="en-US" w:eastAsia="zh-CN" w:bidi="ar-SA"/>
            </w:rPr>
          </w:pPr>
          <w:bookmarkStart w:id="1" w:name="_Toc60758346"/>
          <w:bookmarkStart w:id="129" w:name="_GoBack"/>
          <w:bookmarkEnd w:id="129"/>
        </w:p>
        <w:p>
          <w:pPr>
            <w:spacing w:before="0" w:beforeLines="0" w:after="0" w:afterLines="0" w:line="240" w:lineRule="auto"/>
            <w:ind w:left="0" w:leftChars="0" w:right="0" w:rightChars="0" w:firstLine="0" w:firstLineChars="0"/>
            <w:jc w:val="center"/>
            <w:rPr>
              <w:rFonts w:hint="eastAsia" w:ascii="黑体" w:hAnsi="黑体" w:eastAsia="黑体" w:cs="黑体"/>
              <w:sz w:val="24"/>
              <w:szCs w:val="32"/>
            </w:rPr>
          </w:pPr>
          <w:r>
            <w:rPr>
              <w:rFonts w:hint="eastAsia" w:ascii="黑体" w:hAnsi="黑体" w:eastAsia="黑体" w:cs="黑体"/>
              <w:kern w:val="2"/>
              <w:sz w:val="24"/>
              <w:szCs w:val="32"/>
              <w:lang w:val="en-US" w:eastAsia="zh-CN" w:bidi="ar-SA"/>
            </w:rPr>
            <w:t>目  录</w:t>
          </w:r>
        </w:p>
        <w:p>
          <w:pPr>
            <w:pStyle w:val="14"/>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TOC \o "1-2" \h \u </w:instrText>
          </w:r>
          <w:r>
            <w:rPr>
              <w:rFonts w:hint="eastAsia"/>
              <w:sz w:val="21"/>
              <w:szCs w:val="21"/>
              <w:lang w:val="en-US" w:eastAsia="zh-CN"/>
            </w:rPr>
            <w:fldChar w:fldCharType="separate"/>
          </w:r>
          <w:r>
            <w:rPr>
              <w:rFonts w:hint="eastAsia"/>
              <w:sz w:val="21"/>
              <w:szCs w:val="21"/>
              <w:lang w:val="en-US" w:eastAsia="zh-CN"/>
            </w:rPr>
            <w:fldChar w:fldCharType="begin"/>
          </w:r>
          <w:r>
            <w:rPr>
              <w:rFonts w:hint="eastAsia"/>
              <w:sz w:val="21"/>
              <w:szCs w:val="21"/>
              <w:lang w:val="en-US" w:eastAsia="zh-CN"/>
            </w:rPr>
            <w:instrText xml:space="preserve"> HYPERLINK \l _Toc19615 </w:instrText>
          </w:r>
          <w:r>
            <w:rPr>
              <w:rFonts w:hint="eastAsia"/>
              <w:sz w:val="21"/>
              <w:szCs w:val="21"/>
              <w:lang w:val="en-US" w:eastAsia="zh-CN"/>
            </w:rPr>
            <w:fldChar w:fldCharType="separate"/>
          </w:r>
          <w:r>
            <w:rPr>
              <w:rFonts w:hint="eastAsia" w:ascii="黑体" w:hAnsi="黑体" w:eastAsia="黑体" w:cs="Times New Roman"/>
              <w:sz w:val="21"/>
              <w:szCs w:val="21"/>
              <w:lang w:val="en-US" w:eastAsia="zh-CN"/>
            </w:rPr>
            <w:t>一</w:t>
          </w:r>
          <w:r>
            <w:rPr>
              <w:rFonts w:hint="eastAsia" w:ascii="黑体" w:hAnsi="黑体" w:eastAsia="黑体" w:cs="Times New Roman"/>
              <w:sz w:val="21"/>
              <w:szCs w:val="21"/>
              <w:lang w:eastAsia="zh-CN"/>
            </w:rPr>
            <w:t>、项目情况</w:t>
          </w:r>
          <w:r>
            <w:rPr>
              <w:sz w:val="21"/>
              <w:szCs w:val="21"/>
            </w:rPr>
            <w:tab/>
          </w:r>
          <w:r>
            <w:rPr>
              <w:sz w:val="21"/>
              <w:szCs w:val="21"/>
            </w:rPr>
            <w:fldChar w:fldCharType="begin"/>
          </w:r>
          <w:r>
            <w:rPr>
              <w:sz w:val="21"/>
              <w:szCs w:val="21"/>
            </w:rPr>
            <w:instrText xml:space="preserve"> PAGEREF _Toc19615 \h </w:instrText>
          </w:r>
          <w:r>
            <w:rPr>
              <w:sz w:val="21"/>
              <w:szCs w:val="21"/>
            </w:rPr>
            <w:fldChar w:fldCharType="separate"/>
          </w:r>
          <w:r>
            <w:rPr>
              <w:sz w:val="21"/>
              <w:szCs w:val="21"/>
            </w:rPr>
            <w:t>- 1 -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_Toc29582 </w:instrText>
          </w:r>
          <w:r>
            <w:rPr>
              <w:rFonts w:hint="eastAsia"/>
              <w:sz w:val="21"/>
              <w:szCs w:val="21"/>
              <w:lang w:val="en-US" w:eastAsia="zh-CN"/>
            </w:rPr>
            <w:fldChar w:fldCharType="separate"/>
          </w:r>
          <w:r>
            <w:rPr>
              <w:rFonts w:hint="eastAsia" w:ascii="楷体_GB2312" w:hAnsi="楷体_GB2312" w:eastAsia="楷体_GB2312" w:cs="楷体_GB2312"/>
              <w:sz w:val="21"/>
              <w:szCs w:val="21"/>
              <w:lang w:val="en-US" w:eastAsia="zh-CN"/>
            </w:rPr>
            <w:t>（一）项目概况</w:t>
          </w:r>
          <w:r>
            <w:rPr>
              <w:sz w:val="21"/>
              <w:szCs w:val="21"/>
            </w:rPr>
            <w:tab/>
          </w:r>
          <w:r>
            <w:rPr>
              <w:sz w:val="21"/>
              <w:szCs w:val="21"/>
            </w:rPr>
            <w:fldChar w:fldCharType="begin"/>
          </w:r>
          <w:r>
            <w:rPr>
              <w:sz w:val="21"/>
              <w:szCs w:val="21"/>
            </w:rPr>
            <w:instrText xml:space="preserve"> PAGEREF _Toc29582 \h </w:instrText>
          </w:r>
          <w:r>
            <w:rPr>
              <w:sz w:val="21"/>
              <w:szCs w:val="21"/>
            </w:rPr>
            <w:fldChar w:fldCharType="separate"/>
          </w:r>
          <w:r>
            <w:rPr>
              <w:sz w:val="21"/>
              <w:szCs w:val="21"/>
            </w:rPr>
            <w:t>- 1 -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_Toc5146 </w:instrText>
          </w:r>
          <w:r>
            <w:rPr>
              <w:rFonts w:hint="eastAsia"/>
              <w:sz w:val="21"/>
              <w:szCs w:val="21"/>
              <w:lang w:val="en-US" w:eastAsia="zh-CN"/>
            </w:rPr>
            <w:fldChar w:fldCharType="separate"/>
          </w:r>
          <w:r>
            <w:rPr>
              <w:rFonts w:hint="eastAsia" w:ascii="楷体_GB2312" w:hAnsi="楷体_GB2312" w:eastAsia="楷体_GB2312" w:cs="楷体_GB2312"/>
              <w:sz w:val="21"/>
              <w:szCs w:val="21"/>
              <w:lang w:val="en-US" w:eastAsia="zh-CN"/>
            </w:rPr>
            <w:t>（二）项目目标</w:t>
          </w:r>
          <w:r>
            <w:rPr>
              <w:sz w:val="21"/>
              <w:szCs w:val="21"/>
            </w:rPr>
            <w:tab/>
          </w:r>
          <w:r>
            <w:rPr>
              <w:sz w:val="21"/>
              <w:szCs w:val="21"/>
            </w:rPr>
            <w:fldChar w:fldCharType="begin"/>
          </w:r>
          <w:r>
            <w:rPr>
              <w:sz w:val="21"/>
              <w:szCs w:val="21"/>
            </w:rPr>
            <w:instrText xml:space="preserve"> PAGEREF _Toc5146 \h </w:instrText>
          </w:r>
          <w:r>
            <w:rPr>
              <w:sz w:val="21"/>
              <w:szCs w:val="21"/>
            </w:rPr>
            <w:fldChar w:fldCharType="separate"/>
          </w:r>
          <w:r>
            <w:rPr>
              <w:sz w:val="21"/>
              <w:szCs w:val="21"/>
            </w:rPr>
            <w:t>- 1 -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_Toc27804 </w:instrText>
          </w:r>
          <w:r>
            <w:rPr>
              <w:rFonts w:hint="eastAsia"/>
              <w:sz w:val="21"/>
              <w:szCs w:val="21"/>
              <w:lang w:val="en-US" w:eastAsia="zh-CN"/>
            </w:rPr>
            <w:fldChar w:fldCharType="separate"/>
          </w:r>
          <w:r>
            <w:rPr>
              <w:rFonts w:hint="eastAsia" w:ascii="楷体_GB2312" w:hAnsi="楷体_GB2312" w:eastAsia="楷体_GB2312" w:cs="楷体_GB2312"/>
              <w:sz w:val="21"/>
              <w:szCs w:val="21"/>
              <w:lang w:val="en-US" w:eastAsia="zh-CN"/>
            </w:rPr>
            <w:t>（三）项目范围</w:t>
          </w:r>
          <w:r>
            <w:rPr>
              <w:sz w:val="21"/>
              <w:szCs w:val="21"/>
            </w:rPr>
            <w:tab/>
          </w:r>
          <w:r>
            <w:rPr>
              <w:sz w:val="21"/>
              <w:szCs w:val="21"/>
            </w:rPr>
            <w:fldChar w:fldCharType="begin"/>
          </w:r>
          <w:r>
            <w:rPr>
              <w:sz w:val="21"/>
              <w:szCs w:val="21"/>
            </w:rPr>
            <w:instrText xml:space="preserve"> PAGEREF _Toc27804 \h </w:instrText>
          </w:r>
          <w:r>
            <w:rPr>
              <w:sz w:val="21"/>
              <w:szCs w:val="21"/>
            </w:rPr>
            <w:fldChar w:fldCharType="separate"/>
          </w:r>
          <w:r>
            <w:rPr>
              <w:sz w:val="21"/>
              <w:szCs w:val="21"/>
            </w:rPr>
            <w:t>- 1 -</w:t>
          </w:r>
          <w:r>
            <w:rPr>
              <w:sz w:val="21"/>
              <w:szCs w:val="21"/>
            </w:rPr>
            <w:fldChar w:fldCharType="end"/>
          </w:r>
          <w:r>
            <w:rPr>
              <w:rFonts w:hint="eastAsia"/>
              <w:sz w:val="21"/>
              <w:szCs w:val="21"/>
              <w:lang w:val="en-US" w:eastAsia="zh-CN"/>
            </w:rPr>
            <w:fldChar w:fldCharType="end"/>
          </w:r>
        </w:p>
        <w:p>
          <w:pPr>
            <w:pStyle w:val="14"/>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_Toc1556 </w:instrText>
          </w:r>
          <w:r>
            <w:rPr>
              <w:rFonts w:hint="eastAsia"/>
              <w:sz w:val="21"/>
              <w:szCs w:val="21"/>
              <w:lang w:val="en-US" w:eastAsia="zh-CN"/>
            </w:rPr>
            <w:fldChar w:fldCharType="separate"/>
          </w:r>
          <w:r>
            <w:rPr>
              <w:rFonts w:hint="eastAsia" w:ascii="黑体" w:hAnsi="黑体" w:eastAsia="黑体" w:cs="Times New Roman"/>
              <w:sz w:val="21"/>
              <w:szCs w:val="21"/>
              <w:lang w:val="en-US" w:eastAsia="zh-CN"/>
            </w:rPr>
            <w:t>二、功能需求</w:t>
          </w:r>
          <w:r>
            <w:rPr>
              <w:sz w:val="21"/>
              <w:szCs w:val="21"/>
            </w:rPr>
            <w:tab/>
          </w:r>
          <w:r>
            <w:rPr>
              <w:sz w:val="21"/>
              <w:szCs w:val="21"/>
            </w:rPr>
            <w:fldChar w:fldCharType="begin"/>
          </w:r>
          <w:r>
            <w:rPr>
              <w:sz w:val="21"/>
              <w:szCs w:val="21"/>
            </w:rPr>
            <w:instrText xml:space="preserve"> PAGEREF _Toc1556 \h </w:instrText>
          </w:r>
          <w:r>
            <w:rPr>
              <w:sz w:val="21"/>
              <w:szCs w:val="21"/>
            </w:rPr>
            <w:fldChar w:fldCharType="separate"/>
          </w:r>
          <w:r>
            <w:rPr>
              <w:sz w:val="21"/>
              <w:szCs w:val="21"/>
            </w:rPr>
            <w:t>- 2 -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_Toc7263 </w:instrText>
          </w:r>
          <w:r>
            <w:rPr>
              <w:rFonts w:hint="eastAsia"/>
              <w:sz w:val="21"/>
              <w:szCs w:val="21"/>
              <w:lang w:val="en-US" w:eastAsia="zh-CN"/>
            </w:rPr>
            <w:fldChar w:fldCharType="separate"/>
          </w:r>
          <w:r>
            <w:rPr>
              <w:rFonts w:hint="eastAsia" w:ascii="仿宋_GB2312" w:hAnsi="仿宋_GB2312" w:eastAsia="仿宋_GB2312" w:cs="仿宋_GB2312"/>
              <w:sz w:val="21"/>
              <w:szCs w:val="21"/>
              <w:lang w:val="en-US" w:eastAsia="zh-CN"/>
            </w:rPr>
            <w:t>（一） 系统PC</w:t>
          </w:r>
          <w:r>
            <w:rPr>
              <w:rFonts w:hint="eastAsia" w:ascii="仿宋_GB2312" w:hAnsi="仿宋_GB2312" w:eastAsia="仿宋_GB2312" w:cs="仿宋_GB2312"/>
              <w:sz w:val="21"/>
              <w:szCs w:val="21"/>
              <w:lang w:val="en-US" w:eastAsia="zh-Hans"/>
            </w:rPr>
            <w:t>端</w:t>
          </w:r>
          <w:r>
            <w:rPr>
              <w:sz w:val="21"/>
              <w:szCs w:val="21"/>
            </w:rPr>
            <w:tab/>
          </w:r>
          <w:r>
            <w:rPr>
              <w:sz w:val="21"/>
              <w:szCs w:val="21"/>
            </w:rPr>
            <w:fldChar w:fldCharType="begin"/>
          </w:r>
          <w:r>
            <w:rPr>
              <w:sz w:val="21"/>
              <w:szCs w:val="21"/>
            </w:rPr>
            <w:instrText xml:space="preserve"> PAGEREF _Toc7263 \h </w:instrText>
          </w:r>
          <w:r>
            <w:rPr>
              <w:sz w:val="21"/>
              <w:szCs w:val="21"/>
            </w:rPr>
            <w:fldChar w:fldCharType="separate"/>
          </w:r>
          <w:r>
            <w:rPr>
              <w:sz w:val="21"/>
              <w:szCs w:val="21"/>
            </w:rPr>
            <w:t>- 2 -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_Toc3670 </w:instrText>
          </w:r>
          <w:r>
            <w:rPr>
              <w:rFonts w:hint="eastAsia"/>
              <w:sz w:val="21"/>
              <w:szCs w:val="21"/>
              <w:lang w:val="en-US" w:eastAsia="zh-CN"/>
            </w:rPr>
            <w:fldChar w:fldCharType="separate"/>
          </w:r>
          <w:r>
            <w:rPr>
              <w:rFonts w:hint="eastAsia" w:ascii="仿宋_GB2312" w:hAnsi="仿宋_GB2312" w:eastAsia="仿宋_GB2312" w:cs="仿宋_GB2312"/>
              <w:sz w:val="21"/>
              <w:szCs w:val="21"/>
              <w:lang w:val="en-US" w:eastAsia="zh-CN"/>
            </w:rPr>
            <w:t>（二） 移动办贷</w:t>
          </w:r>
          <w:r>
            <w:rPr>
              <w:rFonts w:hint="eastAsia" w:ascii="仿宋_GB2312" w:hAnsi="仿宋_GB2312" w:eastAsia="仿宋_GB2312" w:cs="仿宋_GB2312"/>
              <w:sz w:val="21"/>
              <w:szCs w:val="21"/>
              <w:lang w:val="en-US" w:eastAsia="zh-Hans"/>
            </w:rPr>
            <w:t>APP端</w:t>
          </w:r>
          <w:r>
            <w:rPr>
              <w:sz w:val="21"/>
              <w:szCs w:val="21"/>
            </w:rPr>
            <w:tab/>
          </w:r>
          <w:r>
            <w:rPr>
              <w:sz w:val="21"/>
              <w:szCs w:val="21"/>
            </w:rPr>
            <w:fldChar w:fldCharType="begin"/>
          </w:r>
          <w:r>
            <w:rPr>
              <w:sz w:val="21"/>
              <w:szCs w:val="21"/>
            </w:rPr>
            <w:instrText xml:space="preserve"> PAGEREF _Toc3670 \h </w:instrText>
          </w:r>
          <w:r>
            <w:rPr>
              <w:sz w:val="21"/>
              <w:szCs w:val="21"/>
            </w:rPr>
            <w:fldChar w:fldCharType="separate"/>
          </w:r>
          <w:r>
            <w:rPr>
              <w:sz w:val="21"/>
              <w:szCs w:val="21"/>
            </w:rPr>
            <w:t>- 5 -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_Toc17177 </w:instrText>
          </w:r>
          <w:r>
            <w:rPr>
              <w:rFonts w:hint="eastAsia"/>
              <w:sz w:val="21"/>
              <w:szCs w:val="21"/>
              <w:lang w:val="en-US" w:eastAsia="zh-CN"/>
            </w:rPr>
            <w:fldChar w:fldCharType="separate"/>
          </w:r>
          <w:r>
            <w:rPr>
              <w:rFonts w:hint="eastAsia" w:ascii="仿宋_GB2312" w:hAnsi="仿宋_GB2312" w:eastAsia="仿宋_GB2312" w:cs="仿宋_GB2312"/>
              <w:sz w:val="21"/>
              <w:szCs w:val="21"/>
              <w:lang w:val="en-US" w:eastAsia="zh-CN"/>
            </w:rPr>
            <w:t>（三） 小程序</w:t>
          </w:r>
          <w:r>
            <w:rPr>
              <w:sz w:val="21"/>
              <w:szCs w:val="21"/>
            </w:rPr>
            <w:tab/>
          </w:r>
          <w:r>
            <w:rPr>
              <w:sz w:val="21"/>
              <w:szCs w:val="21"/>
            </w:rPr>
            <w:fldChar w:fldCharType="begin"/>
          </w:r>
          <w:r>
            <w:rPr>
              <w:sz w:val="21"/>
              <w:szCs w:val="21"/>
            </w:rPr>
            <w:instrText xml:space="preserve"> PAGEREF _Toc17177 \h </w:instrText>
          </w:r>
          <w:r>
            <w:rPr>
              <w:sz w:val="21"/>
              <w:szCs w:val="21"/>
            </w:rPr>
            <w:fldChar w:fldCharType="separate"/>
          </w:r>
          <w:r>
            <w:rPr>
              <w:sz w:val="21"/>
              <w:szCs w:val="21"/>
            </w:rPr>
            <w:t>- 7 -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_Toc18764 </w:instrText>
          </w:r>
          <w:r>
            <w:rPr>
              <w:rFonts w:hint="eastAsia"/>
              <w:sz w:val="21"/>
              <w:szCs w:val="21"/>
              <w:lang w:val="en-US" w:eastAsia="zh-CN"/>
            </w:rPr>
            <w:fldChar w:fldCharType="separate"/>
          </w:r>
          <w:r>
            <w:rPr>
              <w:rFonts w:hint="eastAsia" w:ascii="仿宋_GB2312" w:hAnsi="仿宋_GB2312" w:eastAsia="仿宋_GB2312" w:cs="仿宋_GB2312"/>
              <w:bCs w:val="0"/>
              <w:kern w:val="2"/>
              <w:sz w:val="21"/>
              <w:szCs w:val="21"/>
              <w:lang w:val="en-US" w:eastAsia="zh-CN" w:bidi="ar-SA"/>
            </w:rPr>
            <w:t xml:space="preserve">（四） </w:t>
          </w:r>
          <w:r>
            <w:rPr>
              <w:rFonts w:hint="eastAsia" w:ascii="仿宋_GB2312" w:hAnsi="仿宋_GB2312" w:eastAsia="仿宋_GB2312" w:cs="仿宋_GB2312"/>
              <w:sz w:val="21"/>
              <w:szCs w:val="21"/>
              <w:highlight w:val="none"/>
              <w:lang w:val="en-US" w:eastAsia="zh-CN"/>
            </w:rPr>
            <w:t>配合关联系统改造联调</w:t>
          </w:r>
          <w:r>
            <w:rPr>
              <w:sz w:val="21"/>
              <w:szCs w:val="21"/>
            </w:rPr>
            <w:tab/>
          </w:r>
          <w:r>
            <w:rPr>
              <w:sz w:val="21"/>
              <w:szCs w:val="21"/>
            </w:rPr>
            <w:fldChar w:fldCharType="begin"/>
          </w:r>
          <w:r>
            <w:rPr>
              <w:sz w:val="21"/>
              <w:szCs w:val="21"/>
            </w:rPr>
            <w:instrText xml:space="preserve"> PAGEREF _Toc18764 \h </w:instrText>
          </w:r>
          <w:r>
            <w:rPr>
              <w:sz w:val="21"/>
              <w:szCs w:val="21"/>
            </w:rPr>
            <w:fldChar w:fldCharType="separate"/>
          </w:r>
          <w:r>
            <w:rPr>
              <w:sz w:val="21"/>
              <w:szCs w:val="21"/>
            </w:rPr>
            <w:t>- 7 -</w:t>
          </w:r>
          <w:r>
            <w:rPr>
              <w:sz w:val="21"/>
              <w:szCs w:val="21"/>
            </w:rPr>
            <w:fldChar w:fldCharType="end"/>
          </w:r>
          <w:r>
            <w:rPr>
              <w:rFonts w:hint="eastAsia"/>
              <w:sz w:val="21"/>
              <w:szCs w:val="21"/>
              <w:lang w:val="en-US" w:eastAsia="zh-CN"/>
            </w:rPr>
            <w:fldChar w:fldCharType="end"/>
          </w:r>
        </w:p>
        <w:p>
          <w:pPr>
            <w:pStyle w:val="14"/>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_Toc15340 </w:instrText>
          </w:r>
          <w:r>
            <w:rPr>
              <w:rFonts w:hint="eastAsia"/>
              <w:sz w:val="21"/>
              <w:szCs w:val="21"/>
              <w:lang w:val="en-US" w:eastAsia="zh-CN"/>
            </w:rPr>
            <w:fldChar w:fldCharType="separate"/>
          </w:r>
          <w:r>
            <w:rPr>
              <w:rFonts w:hint="eastAsia" w:ascii="黑体" w:hAnsi="黑体" w:eastAsia="黑体" w:cs="Times New Roman"/>
              <w:sz w:val="21"/>
              <w:szCs w:val="21"/>
              <w:lang w:val="en-US" w:eastAsia="zh-CN"/>
            </w:rPr>
            <w:t>三、非功能需求</w:t>
          </w:r>
          <w:r>
            <w:rPr>
              <w:sz w:val="21"/>
              <w:szCs w:val="21"/>
            </w:rPr>
            <w:tab/>
          </w:r>
          <w:r>
            <w:rPr>
              <w:sz w:val="21"/>
              <w:szCs w:val="21"/>
            </w:rPr>
            <w:fldChar w:fldCharType="begin"/>
          </w:r>
          <w:r>
            <w:rPr>
              <w:sz w:val="21"/>
              <w:szCs w:val="21"/>
            </w:rPr>
            <w:instrText xml:space="preserve"> PAGEREF _Toc15340 \h </w:instrText>
          </w:r>
          <w:r>
            <w:rPr>
              <w:sz w:val="21"/>
              <w:szCs w:val="21"/>
            </w:rPr>
            <w:fldChar w:fldCharType="separate"/>
          </w:r>
          <w:r>
            <w:rPr>
              <w:sz w:val="21"/>
              <w:szCs w:val="21"/>
            </w:rPr>
            <w:t>- 7 -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_Toc15441 </w:instrText>
          </w:r>
          <w:r>
            <w:rPr>
              <w:rFonts w:hint="eastAsia"/>
              <w:sz w:val="21"/>
              <w:szCs w:val="21"/>
              <w:lang w:val="en-US" w:eastAsia="zh-CN"/>
            </w:rPr>
            <w:fldChar w:fldCharType="separate"/>
          </w:r>
          <w:r>
            <w:rPr>
              <w:rFonts w:hint="eastAsia" w:ascii="仿宋_GB2312" w:hAnsi="仿宋_GB2312" w:eastAsia="仿宋_GB2312" w:cs="仿宋_GB2312"/>
              <w:kern w:val="2"/>
              <w:sz w:val="21"/>
              <w:szCs w:val="21"/>
              <w:lang w:val="en-US" w:eastAsia="zh-CN" w:bidi="ar-SA"/>
            </w:rPr>
            <w:t xml:space="preserve">（一） </w:t>
          </w:r>
          <w:r>
            <w:rPr>
              <w:rFonts w:hint="eastAsia" w:ascii="仿宋_GB2312" w:hAnsi="仿宋_GB2312" w:eastAsia="仿宋_GB2312" w:cs="仿宋_GB2312"/>
              <w:sz w:val="21"/>
              <w:szCs w:val="21"/>
              <w:lang w:val="en-US" w:eastAsia="zh-CN"/>
            </w:rPr>
            <w:t>IT架构要求</w:t>
          </w:r>
          <w:r>
            <w:rPr>
              <w:sz w:val="21"/>
              <w:szCs w:val="21"/>
            </w:rPr>
            <w:tab/>
          </w:r>
          <w:r>
            <w:rPr>
              <w:sz w:val="21"/>
              <w:szCs w:val="21"/>
            </w:rPr>
            <w:fldChar w:fldCharType="begin"/>
          </w:r>
          <w:r>
            <w:rPr>
              <w:sz w:val="21"/>
              <w:szCs w:val="21"/>
            </w:rPr>
            <w:instrText xml:space="preserve"> PAGEREF _Toc15441 \h </w:instrText>
          </w:r>
          <w:r>
            <w:rPr>
              <w:sz w:val="21"/>
              <w:szCs w:val="21"/>
            </w:rPr>
            <w:fldChar w:fldCharType="separate"/>
          </w:r>
          <w:r>
            <w:rPr>
              <w:sz w:val="21"/>
              <w:szCs w:val="21"/>
            </w:rPr>
            <w:t>- 7 -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_Toc14981 </w:instrText>
          </w:r>
          <w:r>
            <w:rPr>
              <w:rFonts w:hint="eastAsia"/>
              <w:sz w:val="21"/>
              <w:szCs w:val="21"/>
              <w:lang w:val="en-US" w:eastAsia="zh-CN"/>
            </w:rPr>
            <w:fldChar w:fldCharType="separate"/>
          </w:r>
          <w:r>
            <w:rPr>
              <w:rFonts w:hint="eastAsia" w:ascii="仿宋_GB2312" w:hAnsi="仿宋_GB2312" w:eastAsia="仿宋_GB2312" w:cs="仿宋_GB2312"/>
              <w:sz w:val="21"/>
              <w:szCs w:val="21"/>
              <w:lang w:val="en-US" w:eastAsia="zh-CN"/>
            </w:rPr>
            <w:t>（二） 应用架构要求</w:t>
          </w:r>
          <w:r>
            <w:rPr>
              <w:sz w:val="21"/>
              <w:szCs w:val="21"/>
            </w:rPr>
            <w:tab/>
          </w:r>
          <w:r>
            <w:rPr>
              <w:sz w:val="21"/>
              <w:szCs w:val="21"/>
            </w:rPr>
            <w:fldChar w:fldCharType="begin"/>
          </w:r>
          <w:r>
            <w:rPr>
              <w:sz w:val="21"/>
              <w:szCs w:val="21"/>
            </w:rPr>
            <w:instrText xml:space="preserve"> PAGEREF _Toc14981 \h </w:instrText>
          </w:r>
          <w:r>
            <w:rPr>
              <w:sz w:val="21"/>
              <w:szCs w:val="21"/>
            </w:rPr>
            <w:fldChar w:fldCharType="separate"/>
          </w:r>
          <w:r>
            <w:rPr>
              <w:sz w:val="21"/>
              <w:szCs w:val="21"/>
            </w:rPr>
            <w:t>- 7 -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_Toc26927 </w:instrText>
          </w:r>
          <w:r>
            <w:rPr>
              <w:rFonts w:hint="eastAsia"/>
              <w:sz w:val="21"/>
              <w:szCs w:val="21"/>
              <w:lang w:val="en-US" w:eastAsia="zh-CN"/>
            </w:rPr>
            <w:fldChar w:fldCharType="separate"/>
          </w:r>
          <w:r>
            <w:rPr>
              <w:rFonts w:hint="eastAsia" w:ascii="仿宋_GB2312" w:hAnsi="仿宋_GB2312" w:eastAsia="仿宋_GB2312" w:cs="仿宋_GB2312"/>
              <w:sz w:val="21"/>
              <w:szCs w:val="21"/>
              <w:lang w:val="en-US" w:eastAsia="zh-CN"/>
            </w:rPr>
            <w:t>（三） 硬件部署要求</w:t>
          </w:r>
          <w:r>
            <w:rPr>
              <w:sz w:val="21"/>
              <w:szCs w:val="21"/>
            </w:rPr>
            <w:tab/>
          </w:r>
          <w:r>
            <w:rPr>
              <w:sz w:val="21"/>
              <w:szCs w:val="21"/>
            </w:rPr>
            <w:fldChar w:fldCharType="begin"/>
          </w:r>
          <w:r>
            <w:rPr>
              <w:sz w:val="21"/>
              <w:szCs w:val="21"/>
            </w:rPr>
            <w:instrText xml:space="preserve"> PAGEREF _Toc26927 \h </w:instrText>
          </w:r>
          <w:r>
            <w:rPr>
              <w:sz w:val="21"/>
              <w:szCs w:val="21"/>
            </w:rPr>
            <w:fldChar w:fldCharType="separate"/>
          </w:r>
          <w:r>
            <w:rPr>
              <w:sz w:val="21"/>
              <w:szCs w:val="21"/>
            </w:rPr>
            <w:t>- 8 -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_Toc11022 </w:instrText>
          </w:r>
          <w:r>
            <w:rPr>
              <w:rFonts w:hint="eastAsia"/>
              <w:sz w:val="21"/>
              <w:szCs w:val="21"/>
              <w:lang w:val="en-US" w:eastAsia="zh-CN"/>
            </w:rPr>
            <w:fldChar w:fldCharType="separate"/>
          </w:r>
          <w:r>
            <w:rPr>
              <w:rFonts w:hint="eastAsia" w:ascii="仿宋_GB2312" w:hAnsi="仿宋_GB2312" w:eastAsia="仿宋_GB2312" w:cs="仿宋_GB2312"/>
              <w:sz w:val="21"/>
              <w:szCs w:val="21"/>
              <w:lang w:val="en-US" w:eastAsia="zh-CN"/>
            </w:rPr>
            <w:t>（四） 性能要求</w:t>
          </w:r>
          <w:r>
            <w:rPr>
              <w:sz w:val="21"/>
              <w:szCs w:val="21"/>
            </w:rPr>
            <w:tab/>
          </w:r>
          <w:r>
            <w:rPr>
              <w:sz w:val="21"/>
              <w:szCs w:val="21"/>
            </w:rPr>
            <w:fldChar w:fldCharType="begin"/>
          </w:r>
          <w:r>
            <w:rPr>
              <w:sz w:val="21"/>
              <w:szCs w:val="21"/>
            </w:rPr>
            <w:instrText xml:space="preserve"> PAGEREF _Toc11022 \h </w:instrText>
          </w:r>
          <w:r>
            <w:rPr>
              <w:sz w:val="21"/>
              <w:szCs w:val="21"/>
            </w:rPr>
            <w:fldChar w:fldCharType="separate"/>
          </w:r>
          <w:r>
            <w:rPr>
              <w:sz w:val="21"/>
              <w:szCs w:val="21"/>
            </w:rPr>
            <w:t>- 8 -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_Toc24267 </w:instrText>
          </w:r>
          <w:r>
            <w:rPr>
              <w:rFonts w:hint="eastAsia"/>
              <w:sz w:val="21"/>
              <w:szCs w:val="21"/>
              <w:lang w:val="en-US" w:eastAsia="zh-CN"/>
            </w:rPr>
            <w:fldChar w:fldCharType="separate"/>
          </w:r>
          <w:r>
            <w:rPr>
              <w:rFonts w:hint="eastAsia" w:ascii="仿宋_GB2312" w:hAnsi="仿宋_GB2312" w:eastAsia="仿宋_GB2312" w:cs="仿宋_GB2312"/>
              <w:sz w:val="21"/>
              <w:szCs w:val="21"/>
              <w:lang w:val="en-US" w:eastAsia="zh-CN"/>
            </w:rPr>
            <w:t>（五） 系统灵活性及扩展性要求</w:t>
          </w:r>
          <w:r>
            <w:rPr>
              <w:sz w:val="21"/>
              <w:szCs w:val="21"/>
            </w:rPr>
            <w:tab/>
          </w:r>
          <w:r>
            <w:rPr>
              <w:sz w:val="21"/>
              <w:szCs w:val="21"/>
            </w:rPr>
            <w:fldChar w:fldCharType="begin"/>
          </w:r>
          <w:r>
            <w:rPr>
              <w:sz w:val="21"/>
              <w:szCs w:val="21"/>
            </w:rPr>
            <w:instrText xml:space="preserve"> PAGEREF _Toc24267 \h </w:instrText>
          </w:r>
          <w:r>
            <w:rPr>
              <w:sz w:val="21"/>
              <w:szCs w:val="21"/>
            </w:rPr>
            <w:fldChar w:fldCharType="separate"/>
          </w:r>
          <w:r>
            <w:rPr>
              <w:sz w:val="21"/>
              <w:szCs w:val="21"/>
            </w:rPr>
            <w:t>- 8 -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_Toc28336 </w:instrText>
          </w:r>
          <w:r>
            <w:rPr>
              <w:rFonts w:hint="eastAsia"/>
              <w:sz w:val="21"/>
              <w:szCs w:val="21"/>
              <w:lang w:val="en-US" w:eastAsia="zh-CN"/>
            </w:rPr>
            <w:fldChar w:fldCharType="separate"/>
          </w:r>
          <w:r>
            <w:rPr>
              <w:rFonts w:hint="eastAsia" w:ascii="仿宋_GB2312" w:hAnsi="仿宋_GB2312" w:eastAsia="仿宋_GB2312" w:cs="仿宋_GB2312"/>
              <w:sz w:val="21"/>
              <w:szCs w:val="21"/>
              <w:lang w:val="en-US" w:eastAsia="zh-CN"/>
            </w:rPr>
            <w:t>（六） 系统稳定性要求</w:t>
          </w:r>
          <w:r>
            <w:rPr>
              <w:sz w:val="21"/>
              <w:szCs w:val="21"/>
            </w:rPr>
            <w:tab/>
          </w:r>
          <w:r>
            <w:rPr>
              <w:sz w:val="21"/>
              <w:szCs w:val="21"/>
            </w:rPr>
            <w:fldChar w:fldCharType="begin"/>
          </w:r>
          <w:r>
            <w:rPr>
              <w:sz w:val="21"/>
              <w:szCs w:val="21"/>
            </w:rPr>
            <w:instrText xml:space="preserve"> PAGEREF _Toc28336 \h </w:instrText>
          </w:r>
          <w:r>
            <w:rPr>
              <w:sz w:val="21"/>
              <w:szCs w:val="21"/>
            </w:rPr>
            <w:fldChar w:fldCharType="separate"/>
          </w:r>
          <w:r>
            <w:rPr>
              <w:sz w:val="21"/>
              <w:szCs w:val="21"/>
            </w:rPr>
            <w:t>- 8 -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_Toc14366 </w:instrText>
          </w:r>
          <w:r>
            <w:rPr>
              <w:rFonts w:hint="eastAsia"/>
              <w:sz w:val="21"/>
              <w:szCs w:val="21"/>
              <w:lang w:val="en-US" w:eastAsia="zh-CN"/>
            </w:rPr>
            <w:fldChar w:fldCharType="separate"/>
          </w:r>
          <w:r>
            <w:rPr>
              <w:rFonts w:hint="eastAsia" w:ascii="仿宋_GB2312" w:hAnsi="仿宋_GB2312" w:eastAsia="仿宋_GB2312" w:cs="仿宋_GB2312"/>
              <w:sz w:val="21"/>
              <w:szCs w:val="21"/>
              <w:lang w:val="en-US" w:eastAsia="zh-CN"/>
            </w:rPr>
            <w:t>（七） 安全性</w:t>
          </w:r>
          <w:r>
            <w:rPr>
              <w:sz w:val="21"/>
              <w:szCs w:val="21"/>
            </w:rPr>
            <w:tab/>
          </w:r>
          <w:r>
            <w:rPr>
              <w:sz w:val="21"/>
              <w:szCs w:val="21"/>
            </w:rPr>
            <w:fldChar w:fldCharType="begin"/>
          </w:r>
          <w:r>
            <w:rPr>
              <w:sz w:val="21"/>
              <w:szCs w:val="21"/>
            </w:rPr>
            <w:instrText xml:space="preserve"> PAGEREF _Toc14366 \h </w:instrText>
          </w:r>
          <w:r>
            <w:rPr>
              <w:sz w:val="21"/>
              <w:szCs w:val="21"/>
            </w:rPr>
            <w:fldChar w:fldCharType="separate"/>
          </w:r>
          <w:r>
            <w:rPr>
              <w:sz w:val="21"/>
              <w:szCs w:val="21"/>
            </w:rPr>
            <w:t>- 8 -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_Toc16688 </w:instrText>
          </w:r>
          <w:r>
            <w:rPr>
              <w:rFonts w:hint="eastAsia"/>
              <w:sz w:val="21"/>
              <w:szCs w:val="21"/>
              <w:lang w:val="en-US" w:eastAsia="zh-CN"/>
            </w:rPr>
            <w:fldChar w:fldCharType="separate"/>
          </w:r>
          <w:r>
            <w:rPr>
              <w:rFonts w:hint="eastAsia" w:ascii="仿宋_GB2312" w:hAnsi="仿宋_GB2312" w:eastAsia="仿宋_GB2312" w:cs="仿宋_GB2312"/>
              <w:sz w:val="21"/>
              <w:szCs w:val="21"/>
              <w:lang w:val="en-US" w:eastAsia="zh-CN"/>
            </w:rPr>
            <w:t>（八） 备份与恢复</w:t>
          </w:r>
          <w:r>
            <w:rPr>
              <w:sz w:val="21"/>
              <w:szCs w:val="21"/>
            </w:rPr>
            <w:tab/>
          </w:r>
          <w:r>
            <w:rPr>
              <w:sz w:val="21"/>
              <w:szCs w:val="21"/>
            </w:rPr>
            <w:fldChar w:fldCharType="begin"/>
          </w:r>
          <w:r>
            <w:rPr>
              <w:sz w:val="21"/>
              <w:szCs w:val="21"/>
            </w:rPr>
            <w:instrText xml:space="preserve"> PAGEREF _Toc16688 \h </w:instrText>
          </w:r>
          <w:r>
            <w:rPr>
              <w:sz w:val="21"/>
              <w:szCs w:val="21"/>
            </w:rPr>
            <w:fldChar w:fldCharType="separate"/>
          </w:r>
          <w:r>
            <w:rPr>
              <w:sz w:val="21"/>
              <w:szCs w:val="21"/>
            </w:rPr>
            <w:t>- 8 -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_Toc17371 </w:instrText>
          </w:r>
          <w:r>
            <w:rPr>
              <w:rFonts w:hint="eastAsia"/>
              <w:sz w:val="21"/>
              <w:szCs w:val="21"/>
              <w:lang w:val="en-US" w:eastAsia="zh-CN"/>
            </w:rPr>
            <w:fldChar w:fldCharType="separate"/>
          </w:r>
          <w:r>
            <w:rPr>
              <w:rFonts w:hint="eastAsia" w:ascii="仿宋_GB2312" w:hAnsi="仿宋_GB2312" w:eastAsia="仿宋_GB2312" w:cs="仿宋_GB2312"/>
              <w:sz w:val="21"/>
              <w:szCs w:val="21"/>
              <w:lang w:val="en-US" w:eastAsia="zh-CN"/>
            </w:rPr>
            <w:t>（九） 数据要求</w:t>
          </w:r>
          <w:r>
            <w:rPr>
              <w:sz w:val="21"/>
              <w:szCs w:val="21"/>
            </w:rPr>
            <w:tab/>
          </w:r>
          <w:r>
            <w:rPr>
              <w:sz w:val="21"/>
              <w:szCs w:val="21"/>
            </w:rPr>
            <w:fldChar w:fldCharType="begin"/>
          </w:r>
          <w:r>
            <w:rPr>
              <w:sz w:val="21"/>
              <w:szCs w:val="21"/>
            </w:rPr>
            <w:instrText xml:space="preserve"> PAGEREF _Toc17371 \h </w:instrText>
          </w:r>
          <w:r>
            <w:rPr>
              <w:sz w:val="21"/>
              <w:szCs w:val="21"/>
            </w:rPr>
            <w:fldChar w:fldCharType="separate"/>
          </w:r>
          <w:r>
            <w:rPr>
              <w:sz w:val="21"/>
              <w:szCs w:val="21"/>
            </w:rPr>
            <w:t>- 9 -</w:t>
          </w:r>
          <w:r>
            <w:rPr>
              <w:sz w:val="21"/>
              <w:szCs w:val="21"/>
            </w:rPr>
            <w:fldChar w:fldCharType="end"/>
          </w:r>
          <w:r>
            <w:rPr>
              <w:rFonts w:hint="eastAsia"/>
              <w:sz w:val="21"/>
              <w:szCs w:val="21"/>
              <w:lang w:val="en-US" w:eastAsia="zh-CN"/>
            </w:rPr>
            <w:fldChar w:fldCharType="end"/>
          </w:r>
        </w:p>
        <w:p>
          <w:pPr>
            <w:pStyle w:val="14"/>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_Toc14442 </w:instrText>
          </w:r>
          <w:r>
            <w:rPr>
              <w:rFonts w:hint="eastAsia"/>
              <w:sz w:val="21"/>
              <w:szCs w:val="21"/>
              <w:lang w:val="en-US" w:eastAsia="zh-CN"/>
            </w:rPr>
            <w:fldChar w:fldCharType="separate"/>
          </w:r>
          <w:r>
            <w:rPr>
              <w:rFonts w:hint="eastAsia" w:ascii="黑体" w:hAnsi="黑体" w:eastAsia="黑体" w:cs="Times New Roman"/>
              <w:sz w:val="21"/>
              <w:szCs w:val="21"/>
              <w:lang w:eastAsia="zh-CN"/>
            </w:rPr>
            <w:t>四、项目实施要求</w:t>
          </w:r>
          <w:r>
            <w:rPr>
              <w:sz w:val="21"/>
              <w:szCs w:val="21"/>
            </w:rPr>
            <w:tab/>
          </w:r>
          <w:r>
            <w:rPr>
              <w:sz w:val="21"/>
              <w:szCs w:val="21"/>
            </w:rPr>
            <w:fldChar w:fldCharType="begin"/>
          </w:r>
          <w:r>
            <w:rPr>
              <w:sz w:val="21"/>
              <w:szCs w:val="21"/>
            </w:rPr>
            <w:instrText xml:space="preserve"> PAGEREF _Toc14442 \h </w:instrText>
          </w:r>
          <w:r>
            <w:rPr>
              <w:sz w:val="21"/>
              <w:szCs w:val="21"/>
            </w:rPr>
            <w:fldChar w:fldCharType="separate"/>
          </w:r>
          <w:r>
            <w:rPr>
              <w:sz w:val="21"/>
              <w:szCs w:val="21"/>
            </w:rPr>
            <w:t>- 9 -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_Toc8828 </w:instrText>
          </w:r>
          <w:r>
            <w:rPr>
              <w:rFonts w:hint="eastAsia"/>
              <w:sz w:val="21"/>
              <w:szCs w:val="21"/>
              <w:lang w:val="en-US" w:eastAsia="zh-CN"/>
            </w:rPr>
            <w:fldChar w:fldCharType="separate"/>
          </w:r>
          <w:r>
            <w:rPr>
              <w:rFonts w:hint="eastAsia" w:ascii="仿宋_GB2312" w:hAnsi="Calibri" w:eastAsia="仿宋_GB2312" w:cs="Times New Roman"/>
              <w:sz w:val="21"/>
              <w:szCs w:val="21"/>
              <w:lang w:val="en-US" w:eastAsia="zh-CN"/>
            </w:rPr>
            <w:t>（一） 总体要求</w:t>
          </w:r>
          <w:r>
            <w:rPr>
              <w:sz w:val="21"/>
              <w:szCs w:val="21"/>
            </w:rPr>
            <w:tab/>
          </w:r>
          <w:r>
            <w:rPr>
              <w:sz w:val="21"/>
              <w:szCs w:val="21"/>
            </w:rPr>
            <w:fldChar w:fldCharType="begin"/>
          </w:r>
          <w:r>
            <w:rPr>
              <w:sz w:val="21"/>
              <w:szCs w:val="21"/>
            </w:rPr>
            <w:instrText xml:space="preserve"> PAGEREF _Toc8828 \h </w:instrText>
          </w:r>
          <w:r>
            <w:rPr>
              <w:sz w:val="21"/>
              <w:szCs w:val="21"/>
            </w:rPr>
            <w:fldChar w:fldCharType="separate"/>
          </w:r>
          <w:r>
            <w:rPr>
              <w:sz w:val="21"/>
              <w:szCs w:val="21"/>
            </w:rPr>
            <w:t>- 9 -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_Toc5306 </w:instrText>
          </w:r>
          <w:r>
            <w:rPr>
              <w:rFonts w:hint="eastAsia"/>
              <w:sz w:val="21"/>
              <w:szCs w:val="21"/>
              <w:lang w:val="en-US" w:eastAsia="zh-CN"/>
            </w:rPr>
            <w:fldChar w:fldCharType="separate"/>
          </w:r>
          <w:r>
            <w:rPr>
              <w:rFonts w:hint="eastAsia" w:ascii="仿宋_GB2312" w:hAnsi="Calibri" w:eastAsia="仿宋_GB2312" w:cs="Times New Roman"/>
              <w:sz w:val="21"/>
              <w:szCs w:val="21"/>
              <w:lang w:val="en-US" w:eastAsia="zh-CN"/>
            </w:rPr>
            <w:t>（二） 需求分析</w:t>
          </w:r>
          <w:r>
            <w:rPr>
              <w:sz w:val="21"/>
              <w:szCs w:val="21"/>
            </w:rPr>
            <w:tab/>
          </w:r>
          <w:r>
            <w:rPr>
              <w:sz w:val="21"/>
              <w:szCs w:val="21"/>
            </w:rPr>
            <w:fldChar w:fldCharType="begin"/>
          </w:r>
          <w:r>
            <w:rPr>
              <w:sz w:val="21"/>
              <w:szCs w:val="21"/>
            </w:rPr>
            <w:instrText xml:space="preserve"> PAGEREF _Toc5306 \h </w:instrText>
          </w:r>
          <w:r>
            <w:rPr>
              <w:sz w:val="21"/>
              <w:szCs w:val="21"/>
            </w:rPr>
            <w:fldChar w:fldCharType="separate"/>
          </w:r>
          <w:r>
            <w:rPr>
              <w:sz w:val="21"/>
              <w:szCs w:val="21"/>
            </w:rPr>
            <w:t>- 9 -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_Toc21902 </w:instrText>
          </w:r>
          <w:r>
            <w:rPr>
              <w:rFonts w:hint="eastAsia"/>
              <w:sz w:val="21"/>
              <w:szCs w:val="21"/>
              <w:lang w:val="en-US" w:eastAsia="zh-CN"/>
            </w:rPr>
            <w:fldChar w:fldCharType="separate"/>
          </w:r>
          <w:r>
            <w:rPr>
              <w:rFonts w:hint="eastAsia" w:ascii="仿宋_GB2312" w:hAnsi="Calibri" w:eastAsia="仿宋_GB2312" w:cs="Times New Roman"/>
              <w:sz w:val="21"/>
              <w:szCs w:val="21"/>
              <w:lang w:val="en-US" w:eastAsia="zh-CN"/>
            </w:rPr>
            <w:t>（三） 系统设计</w:t>
          </w:r>
          <w:r>
            <w:rPr>
              <w:sz w:val="21"/>
              <w:szCs w:val="21"/>
            </w:rPr>
            <w:tab/>
          </w:r>
          <w:r>
            <w:rPr>
              <w:sz w:val="21"/>
              <w:szCs w:val="21"/>
            </w:rPr>
            <w:fldChar w:fldCharType="begin"/>
          </w:r>
          <w:r>
            <w:rPr>
              <w:sz w:val="21"/>
              <w:szCs w:val="21"/>
            </w:rPr>
            <w:instrText xml:space="preserve"> PAGEREF _Toc21902 \h </w:instrText>
          </w:r>
          <w:r>
            <w:rPr>
              <w:sz w:val="21"/>
              <w:szCs w:val="21"/>
            </w:rPr>
            <w:fldChar w:fldCharType="separate"/>
          </w:r>
          <w:r>
            <w:rPr>
              <w:sz w:val="21"/>
              <w:szCs w:val="21"/>
            </w:rPr>
            <w:t>- 9 -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_Toc4501 </w:instrText>
          </w:r>
          <w:r>
            <w:rPr>
              <w:rFonts w:hint="eastAsia"/>
              <w:sz w:val="21"/>
              <w:szCs w:val="21"/>
              <w:lang w:val="en-US" w:eastAsia="zh-CN"/>
            </w:rPr>
            <w:fldChar w:fldCharType="separate"/>
          </w:r>
          <w:r>
            <w:rPr>
              <w:rFonts w:hint="eastAsia" w:ascii="仿宋_GB2312" w:hAnsi="Calibri" w:eastAsia="仿宋_GB2312" w:cs="Times New Roman"/>
              <w:sz w:val="21"/>
              <w:szCs w:val="21"/>
              <w:lang w:val="en-US" w:eastAsia="zh-CN"/>
            </w:rPr>
            <w:t>（四） 开发与测试</w:t>
          </w:r>
          <w:r>
            <w:rPr>
              <w:sz w:val="21"/>
              <w:szCs w:val="21"/>
            </w:rPr>
            <w:tab/>
          </w:r>
          <w:r>
            <w:rPr>
              <w:sz w:val="21"/>
              <w:szCs w:val="21"/>
            </w:rPr>
            <w:fldChar w:fldCharType="begin"/>
          </w:r>
          <w:r>
            <w:rPr>
              <w:sz w:val="21"/>
              <w:szCs w:val="21"/>
            </w:rPr>
            <w:instrText xml:space="preserve"> PAGEREF _Toc4501 \h </w:instrText>
          </w:r>
          <w:r>
            <w:rPr>
              <w:sz w:val="21"/>
              <w:szCs w:val="21"/>
            </w:rPr>
            <w:fldChar w:fldCharType="separate"/>
          </w:r>
          <w:r>
            <w:rPr>
              <w:sz w:val="21"/>
              <w:szCs w:val="21"/>
            </w:rPr>
            <w:t>- 9 -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_Toc21101 </w:instrText>
          </w:r>
          <w:r>
            <w:rPr>
              <w:rFonts w:hint="eastAsia"/>
              <w:sz w:val="21"/>
              <w:szCs w:val="21"/>
              <w:lang w:val="en-US" w:eastAsia="zh-CN"/>
            </w:rPr>
            <w:fldChar w:fldCharType="separate"/>
          </w:r>
          <w:r>
            <w:rPr>
              <w:rFonts w:hint="eastAsia" w:ascii="仿宋_GB2312" w:hAnsi="Calibri" w:eastAsia="仿宋_GB2312" w:cs="Times New Roman"/>
              <w:sz w:val="21"/>
              <w:szCs w:val="21"/>
              <w:lang w:val="en-US" w:eastAsia="zh-CN"/>
            </w:rPr>
            <w:t>（五） 系统使用培训</w:t>
          </w:r>
          <w:r>
            <w:rPr>
              <w:sz w:val="21"/>
              <w:szCs w:val="21"/>
            </w:rPr>
            <w:tab/>
          </w:r>
          <w:r>
            <w:rPr>
              <w:sz w:val="21"/>
              <w:szCs w:val="21"/>
            </w:rPr>
            <w:fldChar w:fldCharType="begin"/>
          </w:r>
          <w:r>
            <w:rPr>
              <w:sz w:val="21"/>
              <w:szCs w:val="21"/>
            </w:rPr>
            <w:instrText xml:space="preserve"> PAGEREF _Toc21101 \h </w:instrText>
          </w:r>
          <w:r>
            <w:rPr>
              <w:sz w:val="21"/>
              <w:szCs w:val="21"/>
            </w:rPr>
            <w:fldChar w:fldCharType="separate"/>
          </w:r>
          <w:r>
            <w:rPr>
              <w:sz w:val="21"/>
              <w:szCs w:val="21"/>
            </w:rPr>
            <w:t>- 10 -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_Toc8144 </w:instrText>
          </w:r>
          <w:r>
            <w:rPr>
              <w:rFonts w:hint="eastAsia"/>
              <w:sz w:val="21"/>
              <w:szCs w:val="21"/>
              <w:lang w:val="en-US" w:eastAsia="zh-CN"/>
            </w:rPr>
            <w:fldChar w:fldCharType="separate"/>
          </w:r>
          <w:r>
            <w:rPr>
              <w:rFonts w:hint="eastAsia" w:ascii="仿宋_GB2312" w:hAnsi="Calibri" w:eastAsia="仿宋_GB2312" w:cs="Times New Roman"/>
              <w:sz w:val="21"/>
              <w:szCs w:val="21"/>
              <w:lang w:val="en-US" w:eastAsia="zh-CN"/>
            </w:rPr>
            <w:t>（六） 试运行</w:t>
          </w:r>
          <w:r>
            <w:rPr>
              <w:sz w:val="21"/>
              <w:szCs w:val="21"/>
            </w:rPr>
            <w:tab/>
          </w:r>
          <w:r>
            <w:rPr>
              <w:sz w:val="21"/>
              <w:szCs w:val="21"/>
            </w:rPr>
            <w:fldChar w:fldCharType="begin"/>
          </w:r>
          <w:r>
            <w:rPr>
              <w:sz w:val="21"/>
              <w:szCs w:val="21"/>
            </w:rPr>
            <w:instrText xml:space="preserve"> PAGEREF _Toc8144 \h </w:instrText>
          </w:r>
          <w:r>
            <w:rPr>
              <w:sz w:val="21"/>
              <w:szCs w:val="21"/>
            </w:rPr>
            <w:fldChar w:fldCharType="separate"/>
          </w:r>
          <w:r>
            <w:rPr>
              <w:sz w:val="21"/>
              <w:szCs w:val="21"/>
            </w:rPr>
            <w:t>- 10 -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_Toc31697 </w:instrText>
          </w:r>
          <w:r>
            <w:rPr>
              <w:rFonts w:hint="eastAsia"/>
              <w:sz w:val="21"/>
              <w:szCs w:val="21"/>
              <w:lang w:val="en-US" w:eastAsia="zh-CN"/>
            </w:rPr>
            <w:fldChar w:fldCharType="separate"/>
          </w:r>
          <w:r>
            <w:rPr>
              <w:rFonts w:hint="eastAsia" w:ascii="仿宋_GB2312" w:hAnsi="Calibri" w:eastAsia="仿宋_GB2312" w:cs="Times New Roman"/>
              <w:sz w:val="21"/>
              <w:szCs w:val="21"/>
              <w:lang w:val="en-US" w:eastAsia="zh-CN"/>
            </w:rPr>
            <w:t>（七） 正式投产</w:t>
          </w:r>
          <w:r>
            <w:rPr>
              <w:sz w:val="21"/>
              <w:szCs w:val="21"/>
            </w:rPr>
            <w:tab/>
          </w:r>
          <w:r>
            <w:rPr>
              <w:sz w:val="21"/>
              <w:szCs w:val="21"/>
            </w:rPr>
            <w:fldChar w:fldCharType="begin"/>
          </w:r>
          <w:r>
            <w:rPr>
              <w:sz w:val="21"/>
              <w:szCs w:val="21"/>
            </w:rPr>
            <w:instrText xml:space="preserve"> PAGEREF _Toc31697 \h </w:instrText>
          </w:r>
          <w:r>
            <w:rPr>
              <w:sz w:val="21"/>
              <w:szCs w:val="21"/>
            </w:rPr>
            <w:fldChar w:fldCharType="separate"/>
          </w:r>
          <w:r>
            <w:rPr>
              <w:sz w:val="21"/>
              <w:szCs w:val="21"/>
            </w:rPr>
            <w:t>- 10 -</w:t>
          </w:r>
          <w:r>
            <w:rPr>
              <w:sz w:val="21"/>
              <w:szCs w:val="21"/>
            </w:rPr>
            <w:fldChar w:fldCharType="end"/>
          </w:r>
          <w:r>
            <w:rPr>
              <w:rFonts w:hint="eastAsia"/>
              <w:sz w:val="21"/>
              <w:szCs w:val="21"/>
              <w:lang w:val="en-US" w:eastAsia="zh-CN"/>
            </w:rPr>
            <w:fldChar w:fldCharType="end"/>
          </w:r>
        </w:p>
        <w:p>
          <w:pPr>
            <w:pStyle w:val="14"/>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_Toc32638 </w:instrText>
          </w:r>
          <w:r>
            <w:rPr>
              <w:rFonts w:hint="eastAsia"/>
              <w:sz w:val="21"/>
              <w:szCs w:val="21"/>
              <w:lang w:val="en-US" w:eastAsia="zh-CN"/>
            </w:rPr>
            <w:fldChar w:fldCharType="separate"/>
          </w:r>
          <w:r>
            <w:rPr>
              <w:rFonts w:hint="eastAsia" w:ascii="黑体" w:hAnsi="黑体" w:eastAsia="黑体" w:cs="Times New Roman"/>
              <w:sz w:val="21"/>
              <w:szCs w:val="21"/>
              <w:lang w:val="en-US" w:eastAsia="zh-CN"/>
            </w:rPr>
            <w:t>五、项目管理要求</w:t>
          </w:r>
          <w:r>
            <w:rPr>
              <w:sz w:val="21"/>
              <w:szCs w:val="21"/>
            </w:rPr>
            <w:tab/>
          </w:r>
          <w:r>
            <w:rPr>
              <w:sz w:val="21"/>
              <w:szCs w:val="21"/>
            </w:rPr>
            <w:fldChar w:fldCharType="begin"/>
          </w:r>
          <w:r>
            <w:rPr>
              <w:sz w:val="21"/>
              <w:szCs w:val="21"/>
            </w:rPr>
            <w:instrText xml:space="preserve"> PAGEREF _Toc32638 \h </w:instrText>
          </w:r>
          <w:r>
            <w:rPr>
              <w:sz w:val="21"/>
              <w:szCs w:val="21"/>
            </w:rPr>
            <w:fldChar w:fldCharType="separate"/>
          </w:r>
          <w:r>
            <w:rPr>
              <w:sz w:val="21"/>
              <w:szCs w:val="21"/>
            </w:rPr>
            <w:t>- 10 -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_Toc16605 </w:instrText>
          </w:r>
          <w:r>
            <w:rPr>
              <w:rFonts w:hint="eastAsia"/>
              <w:sz w:val="21"/>
              <w:szCs w:val="21"/>
              <w:lang w:val="en-US" w:eastAsia="zh-CN"/>
            </w:rPr>
            <w:fldChar w:fldCharType="separate"/>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一</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中标方项目组织架构</w:t>
          </w:r>
          <w:r>
            <w:rPr>
              <w:sz w:val="21"/>
              <w:szCs w:val="21"/>
            </w:rPr>
            <w:tab/>
          </w:r>
          <w:r>
            <w:rPr>
              <w:sz w:val="21"/>
              <w:szCs w:val="21"/>
            </w:rPr>
            <w:fldChar w:fldCharType="begin"/>
          </w:r>
          <w:r>
            <w:rPr>
              <w:sz w:val="21"/>
              <w:szCs w:val="21"/>
            </w:rPr>
            <w:instrText xml:space="preserve"> PAGEREF _Toc16605 \h </w:instrText>
          </w:r>
          <w:r>
            <w:rPr>
              <w:sz w:val="21"/>
              <w:szCs w:val="21"/>
            </w:rPr>
            <w:fldChar w:fldCharType="separate"/>
          </w:r>
          <w:r>
            <w:rPr>
              <w:sz w:val="21"/>
              <w:szCs w:val="21"/>
            </w:rPr>
            <w:t>- 10 -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_Toc7485 </w:instrText>
          </w:r>
          <w:r>
            <w:rPr>
              <w:rFonts w:hint="eastAsia"/>
              <w:sz w:val="21"/>
              <w:szCs w:val="21"/>
              <w:lang w:val="en-US" w:eastAsia="zh-CN"/>
            </w:rPr>
            <w:fldChar w:fldCharType="separate"/>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质量管理</w:t>
          </w:r>
          <w:r>
            <w:rPr>
              <w:sz w:val="21"/>
              <w:szCs w:val="21"/>
            </w:rPr>
            <w:tab/>
          </w:r>
          <w:r>
            <w:rPr>
              <w:sz w:val="21"/>
              <w:szCs w:val="21"/>
            </w:rPr>
            <w:fldChar w:fldCharType="begin"/>
          </w:r>
          <w:r>
            <w:rPr>
              <w:sz w:val="21"/>
              <w:szCs w:val="21"/>
            </w:rPr>
            <w:instrText xml:space="preserve"> PAGEREF _Toc7485 \h </w:instrText>
          </w:r>
          <w:r>
            <w:rPr>
              <w:sz w:val="21"/>
              <w:szCs w:val="21"/>
            </w:rPr>
            <w:fldChar w:fldCharType="separate"/>
          </w:r>
          <w:r>
            <w:rPr>
              <w:sz w:val="21"/>
              <w:szCs w:val="21"/>
            </w:rPr>
            <w:t>- 12 -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_Toc21905 </w:instrText>
          </w:r>
          <w:r>
            <w:rPr>
              <w:rFonts w:hint="eastAsia"/>
              <w:sz w:val="21"/>
              <w:szCs w:val="21"/>
              <w:lang w:val="en-US" w:eastAsia="zh-CN"/>
            </w:rPr>
            <w:fldChar w:fldCharType="separate"/>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进度管理</w:t>
          </w:r>
          <w:r>
            <w:rPr>
              <w:sz w:val="21"/>
              <w:szCs w:val="21"/>
            </w:rPr>
            <w:tab/>
          </w:r>
          <w:r>
            <w:rPr>
              <w:sz w:val="21"/>
              <w:szCs w:val="21"/>
            </w:rPr>
            <w:fldChar w:fldCharType="begin"/>
          </w:r>
          <w:r>
            <w:rPr>
              <w:sz w:val="21"/>
              <w:szCs w:val="21"/>
            </w:rPr>
            <w:instrText xml:space="preserve"> PAGEREF _Toc21905 \h </w:instrText>
          </w:r>
          <w:r>
            <w:rPr>
              <w:sz w:val="21"/>
              <w:szCs w:val="21"/>
            </w:rPr>
            <w:fldChar w:fldCharType="separate"/>
          </w:r>
          <w:r>
            <w:rPr>
              <w:sz w:val="21"/>
              <w:szCs w:val="21"/>
            </w:rPr>
            <w:t>- 12 -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_Toc30573 </w:instrText>
          </w:r>
          <w:r>
            <w:rPr>
              <w:rFonts w:hint="eastAsia"/>
              <w:sz w:val="21"/>
              <w:szCs w:val="21"/>
              <w:lang w:val="en-US" w:eastAsia="zh-CN"/>
            </w:rPr>
            <w:fldChar w:fldCharType="separate"/>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工作规范要求</w:t>
          </w:r>
          <w:r>
            <w:rPr>
              <w:sz w:val="21"/>
              <w:szCs w:val="21"/>
            </w:rPr>
            <w:tab/>
          </w:r>
          <w:r>
            <w:rPr>
              <w:sz w:val="21"/>
              <w:szCs w:val="21"/>
            </w:rPr>
            <w:fldChar w:fldCharType="begin"/>
          </w:r>
          <w:r>
            <w:rPr>
              <w:sz w:val="21"/>
              <w:szCs w:val="21"/>
            </w:rPr>
            <w:instrText xml:space="preserve"> PAGEREF _Toc30573 \h </w:instrText>
          </w:r>
          <w:r>
            <w:rPr>
              <w:sz w:val="21"/>
              <w:szCs w:val="21"/>
            </w:rPr>
            <w:fldChar w:fldCharType="separate"/>
          </w:r>
          <w:r>
            <w:rPr>
              <w:sz w:val="21"/>
              <w:szCs w:val="21"/>
            </w:rPr>
            <w:t>- 12 -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_Toc22469 </w:instrText>
          </w:r>
          <w:r>
            <w:rPr>
              <w:rFonts w:hint="eastAsia"/>
              <w:sz w:val="21"/>
              <w:szCs w:val="21"/>
              <w:lang w:val="en-US" w:eastAsia="zh-CN"/>
            </w:rPr>
            <w:fldChar w:fldCharType="separate"/>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风险控制要求</w:t>
          </w:r>
          <w:r>
            <w:rPr>
              <w:sz w:val="21"/>
              <w:szCs w:val="21"/>
            </w:rPr>
            <w:tab/>
          </w:r>
          <w:r>
            <w:rPr>
              <w:sz w:val="21"/>
              <w:szCs w:val="21"/>
            </w:rPr>
            <w:fldChar w:fldCharType="begin"/>
          </w:r>
          <w:r>
            <w:rPr>
              <w:sz w:val="21"/>
              <w:szCs w:val="21"/>
            </w:rPr>
            <w:instrText xml:space="preserve"> PAGEREF _Toc22469 \h </w:instrText>
          </w:r>
          <w:r>
            <w:rPr>
              <w:sz w:val="21"/>
              <w:szCs w:val="21"/>
            </w:rPr>
            <w:fldChar w:fldCharType="separate"/>
          </w:r>
          <w:r>
            <w:rPr>
              <w:sz w:val="21"/>
              <w:szCs w:val="21"/>
            </w:rPr>
            <w:t>- 12 -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_Toc12714 </w:instrText>
          </w:r>
          <w:r>
            <w:rPr>
              <w:rFonts w:hint="eastAsia"/>
              <w:sz w:val="21"/>
              <w:szCs w:val="21"/>
              <w:lang w:val="en-US" w:eastAsia="zh-CN"/>
            </w:rPr>
            <w:fldChar w:fldCharType="separate"/>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六</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项目交付</w:t>
          </w:r>
          <w:r>
            <w:rPr>
              <w:sz w:val="21"/>
              <w:szCs w:val="21"/>
            </w:rPr>
            <w:tab/>
          </w:r>
          <w:r>
            <w:rPr>
              <w:sz w:val="21"/>
              <w:szCs w:val="21"/>
            </w:rPr>
            <w:fldChar w:fldCharType="begin"/>
          </w:r>
          <w:r>
            <w:rPr>
              <w:sz w:val="21"/>
              <w:szCs w:val="21"/>
            </w:rPr>
            <w:instrText xml:space="preserve"> PAGEREF _Toc12714 \h </w:instrText>
          </w:r>
          <w:r>
            <w:rPr>
              <w:sz w:val="21"/>
              <w:szCs w:val="21"/>
            </w:rPr>
            <w:fldChar w:fldCharType="separate"/>
          </w:r>
          <w:r>
            <w:rPr>
              <w:sz w:val="21"/>
              <w:szCs w:val="21"/>
            </w:rPr>
            <w:t>- 13 -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_Toc3360 </w:instrText>
          </w:r>
          <w:r>
            <w:rPr>
              <w:rFonts w:hint="eastAsia"/>
              <w:sz w:val="21"/>
              <w:szCs w:val="21"/>
              <w:lang w:val="en-US" w:eastAsia="zh-CN"/>
            </w:rPr>
            <w:fldChar w:fldCharType="separate"/>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七</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交付清单</w:t>
          </w:r>
          <w:r>
            <w:rPr>
              <w:sz w:val="21"/>
              <w:szCs w:val="21"/>
            </w:rPr>
            <w:tab/>
          </w:r>
          <w:r>
            <w:rPr>
              <w:sz w:val="21"/>
              <w:szCs w:val="21"/>
            </w:rPr>
            <w:fldChar w:fldCharType="begin"/>
          </w:r>
          <w:r>
            <w:rPr>
              <w:sz w:val="21"/>
              <w:szCs w:val="21"/>
            </w:rPr>
            <w:instrText xml:space="preserve"> PAGEREF _Toc3360 \h </w:instrText>
          </w:r>
          <w:r>
            <w:rPr>
              <w:sz w:val="21"/>
              <w:szCs w:val="21"/>
            </w:rPr>
            <w:fldChar w:fldCharType="separate"/>
          </w:r>
          <w:r>
            <w:rPr>
              <w:sz w:val="21"/>
              <w:szCs w:val="21"/>
            </w:rPr>
            <w:t>- 13 -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_Toc29050 </w:instrText>
          </w:r>
          <w:r>
            <w:rPr>
              <w:rFonts w:hint="eastAsia"/>
              <w:sz w:val="21"/>
              <w:szCs w:val="21"/>
              <w:lang w:val="en-US" w:eastAsia="zh-CN"/>
            </w:rPr>
            <w:fldChar w:fldCharType="separate"/>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项目验收</w:t>
          </w:r>
          <w:r>
            <w:rPr>
              <w:sz w:val="21"/>
              <w:szCs w:val="21"/>
            </w:rPr>
            <w:tab/>
          </w:r>
          <w:r>
            <w:rPr>
              <w:sz w:val="21"/>
              <w:szCs w:val="21"/>
            </w:rPr>
            <w:fldChar w:fldCharType="begin"/>
          </w:r>
          <w:r>
            <w:rPr>
              <w:sz w:val="21"/>
              <w:szCs w:val="21"/>
            </w:rPr>
            <w:instrText xml:space="preserve"> PAGEREF _Toc29050 \h </w:instrText>
          </w:r>
          <w:r>
            <w:rPr>
              <w:sz w:val="21"/>
              <w:szCs w:val="21"/>
            </w:rPr>
            <w:fldChar w:fldCharType="separate"/>
          </w:r>
          <w:r>
            <w:rPr>
              <w:sz w:val="21"/>
              <w:szCs w:val="21"/>
            </w:rPr>
            <w:t>- 14 -</w:t>
          </w:r>
          <w:r>
            <w:rPr>
              <w:sz w:val="21"/>
              <w:szCs w:val="21"/>
            </w:rPr>
            <w:fldChar w:fldCharType="end"/>
          </w:r>
          <w:r>
            <w:rPr>
              <w:rFonts w:hint="eastAsia"/>
              <w:sz w:val="21"/>
              <w:szCs w:val="21"/>
              <w:lang w:val="en-US" w:eastAsia="zh-CN"/>
            </w:rPr>
            <w:fldChar w:fldCharType="end"/>
          </w:r>
        </w:p>
        <w:p>
          <w:pPr>
            <w:pStyle w:val="14"/>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_Toc2473 </w:instrText>
          </w:r>
          <w:r>
            <w:rPr>
              <w:rFonts w:hint="eastAsia"/>
              <w:sz w:val="21"/>
              <w:szCs w:val="21"/>
              <w:lang w:val="en-US" w:eastAsia="zh-CN"/>
            </w:rPr>
            <w:fldChar w:fldCharType="separate"/>
          </w:r>
          <w:r>
            <w:rPr>
              <w:rFonts w:hint="eastAsia" w:ascii="黑体" w:hAnsi="黑体" w:eastAsia="黑体" w:cs="Times New Roman"/>
              <w:sz w:val="21"/>
              <w:szCs w:val="21"/>
              <w:lang w:val="en-US" w:eastAsia="zh-CN"/>
            </w:rPr>
            <w:t>六、项目培训</w:t>
          </w:r>
          <w:r>
            <w:rPr>
              <w:sz w:val="21"/>
              <w:szCs w:val="21"/>
            </w:rPr>
            <w:tab/>
          </w:r>
          <w:r>
            <w:rPr>
              <w:sz w:val="21"/>
              <w:szCs w:val="21"/>
            </w:rPr>
            <w:fldChar w:fldCharType="begin"/>
          </w:r>
          <w:r>
            <w:rPr>
              <w:sz w:val="21"/>
              <w:szCs w:val="21"/>
            </w:rPr>
            <w:instrText xml:space="preserve"> PAGEREF _Toc2473 \h </w:instrText>
          </w:r>
          <w:r>
            <w:rPr>
              <w:sz w:val="21"/>
              <w:szCs w:val="21"/>
            </w:rPr>
            <w:fldChar w:fldCharType="separate"/>
          </w:r>
          <w:r>
            <w:rPr>
              <w:sz w:val="21"/>
              <w:szCs w:val="21"/>
            </w:rPr>
            <w:t>- 15 -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_Toc13588 </w:instrText>
          </w:r>
          <w:r>
            <w:rPr>
              <w:rFonts w:hint="eastAsia"/>
              <w:sz w:val="21"/>
              <w:szCs w:val="21"/>
              <w:lang w:val="en-US" w:eastAsia="zh-CN"/>
            </w:rPr>
            <w:fldChar w:fldCharType="separate"/>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一</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培训方式</w:t>
          </w:r>
          <w:r>
            <w:rPr>
              <w:sz w:val="21"/>
              <w:szCs w:val="21"/>
            </w:rPr>
            <w:tab/>
          </w:r>
          <w:r>
            <w:rPr>
              <w:sz w:val="21"/>
              <w:szCs w:val="21"/>
            </w:rPr>
            <w:fldChar w:fldCharType="begin"/>
          </w:r>
          <w:r>
            <w:rPr>
              <w:sz w:val="21"/>
              <w:szCs w:val="21"/>
            </w:rPr>
            <w:instrText xml:space="preserve"> PAGEREF _Toc13588 \h </w:instrText>
          </w:r>
          <w:r>
            <w:rPr>
              <w:sz w:val="21"/>
              <w:szCs w:val="21"/>
            </w:rPr>
            <w:fldChar w:fldCharType="separate"/>
          </w:r>
          <w:r>
            <w:rPr>
              <w:sz w:val="21"/>
              <w:szCs w:val="21"/>
            </w:rPr>
            <w:t>- 15 -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_Toc19419 </w:instrText>
          </w:r>
          <w:r>
            <w:rPr>
              <w:rFonts w:hint="eastAsia"/>
              <w:sz w:val="21"/>
              <w:szCs w:val="21"/>
              <w:lang w:val="en-US" w:eastAsia="zh-CN"/>
            </w:rPr>
            <w:fldChar w:fldCharType="separate"/>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培训要求</w:t>
          </w:r>
          <w:r>
            <w:rPr>
              <w:sz w:val="21"/>
              <w:szCs w:val="21"/>
            </w:rPr>
            <w:tab/>
          </w:r>
          <w:r>
            <w:rPr>
              <w:sz w:val="21"/>
              <w:szCs w:val="21"/>
            </w:rPr>
            <w:fldChar w:fldCharType="begin"/>
          </w:r>
          <w:r>
            <w:rPr>
              <w:sz w:val="21"/>
              <w:szCs w:val="21"/>
            </w:rPr>
            <w:instrText xml:space="preserve"> PAGEREF _Toc19419 \h </w:instrText>
          </w:r>
          <w:r>
            <w:rPr>
              <w:sz w:val="21"/>
              <w:szCs w:val="21"/>
            </w:rPr>
            <w:fldChar w:fldCharType="separate"/>
          </w:r>
          <w:r>
            <w:rPr>
              <w:sz w:val="21"/>
              <w:szCs w:val="21"/>
            </w:rPr>
            <w:t>- 15 -</w:t>
          </w:r>
          <w:r>
            <w:rPr>
              <w:sz w:val="21"/>
              <w:szCs w:val="21"/>
            </w:rPr>
            <w:fldChar w:fldCharType="end"/>
          </w:r>
          <w:r>
            <w:rPr>
              <w:rFonts w:hint="eastAsia"/>
              <w:sz w:val="21"/>
              <w:szCs w:val="21"/>
              <w:lang w:val="en-US" w:eastAsia="zh-CN"/>
            </w:rPr>
            <w:fldChar w:fldCharType="end"/>
          </w:r>
        </w:p>
        <w:p>
          <w:pPr>
            <w:pStyle w:val="14"/>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_Toc7587 </w:instrText>
          </w:r>
          <w:r>
            <w:rPr>
              <w:rFonts w:hint="eastAsia"/>
              <w:sz w:val="21"/>
              <w:szCs w:val="21"/>
              <w:lang w:val="en-US" w:eastAsia="zh-CN"/>
            </w:rPr>
            <w:fldChar w:fldCharType="separate"/>
          </w:r>
          <w:r>
            <w:rPr>
              <w:rFonts w:hint="eastAsia" w:ascii="黑体" w:hAnsi="黑体" w:eastAsia="黑体" w:cs="Times New Roman"/>
              <w:sz w:val="21"/>
              <w:szCs w:val="21"/>
              <w:lang w:val="en-US" w:eastAsia="zh-CN"/>
            </w:rPr>
            <w:t>七、维保服务</w:t>
          </w:r>
          <w:r>
            <w:rPr>
              <w:sz w:val="21"/>
              <w:szCs w:val="21"/>
            </w:rPr>
            <w:tab/>
          </w:r>
          <w:r>
            <w:rPr>
              <w:sz w:val="21"/>
              <w:szCs w:val="21"/>
            </w:rPr>
            <w:fldChar w:fldCharType="begin"/>
          </w:r>
          <w:r>
            <w:rPr>
              <w:sz w:val="21"/>
              <w:szCs w:val="21"/>
            </w:rPr>
            <w:instrText xml:space="preserve"> PAGEREF _Toc7587 \h </w:instrText>
          </w:r>
          <w:r>
            <w:rPr>
              <w:sz w:val="21"/>
              <w:szCs w:val="21"/>
            </w:rPr>
            <w:fldChar w:fldCharType="separate"/>
          </w:r>
          <w:r>
            <w:rPr>
              <w:sz w:val="21"/>
              <w:szCs w:val="21"/>
            </w:rPr>
            <w:t>- 15 -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_Toc614 </w:instrText>
          </w:r>
          <w:r>
            <w:rPr>
              <w:rFonts w:hint="eastAsia"/>
              <w:sz w:val="21"/>
              <w:szCs w:val="21"/>
              <w:lang w:val="en-US" w:eastAsia="zh-CN"/>
            </w:rPr>
            <w:fldChar w:fldCharType="separate"/>
          </w:r>
          <w:r>
            <w:rPr>
              <w:rFonts w:hint="eastAsia" w:ascii="仿宋_GB2312" w:hAnsi="仿宋_GB2312" w:eastAsia="仿宋_GB2312" w:cs="仿宋_GB2312"/>
              <w:sz w:val="21"/>
              <w:szCs w:val="21"/>
            </w:rPr>
            <w:t>（一）定义</w:t>
          </w:r>
          <w:r>
            <w:rPr>
              <w:sz w:val="21"/>
              <w:szCs w:val="21"/>
            </w:rPr>
            <w:tab/>
          </w:r>
          <w:r>
            <w:rPr>
              <w:sz w:val="21"/>
              <w:szCs w:val="21"/>
            </w:rPr>
            <w:fldChar w:fldCharType="begin"/>
          </w:r>
          <w:r>
            <w:rPr>
              <w:sz w:val="21"/>
              <w:szCs w:val="21"/>
            </w:rPr>
            <w:instrText xml:space="preserve"> PAGEREF _Toc614 \h </w:instrText>
          </w:r>
          <w:r>
            <w:rPr>
              <w:sz w:val="21"/>
              <w:szCs w:val="21"/>
            </w:rPr>
            <w:fldChar w:fldCharType="separate"/>
          </w:r>
          <w:r>
            <w:rPr>
              <w:sz w:val="21"/>
              <w:szCs w:val="21"/>
            </w:rPr>
            <w:t>- 16 -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_Toc12413 </w:instrText>
          </w:r>
          <w:r>
            <w:rPr>
              <w:rFonts w:hint="eastAsia"/>
              <w:sz w:val="21"/>
              <w:szCs w:val="21"/>
              <w:lang w:val="en-US" w:eastAsia="zh-CN"/>
            </w:rPr>
            <w:fldChar w:fldCharType="separate"/>
          </w:r>
          <w:r>
            <w:rPr>
              <w:rFonts w:hint="eastAsia" w:ascii="仿宋_GB2312" w:hAnsi="仿宋_GB2312" w:eastAsia="仿宋_GB2312" w:cs="仿宋_GB2312"/>
              <w:sz w:val="21"/>
              <w:szCs w:val="21"/>
            </w:rPr>
            <w:t>（二）维保服务范围</w:t>
          </w:r>
          <w:r>
            <w:rPr>
              <w:sz w:val="21"/>
              <w:szCs w:val="21"/>
            </w:rPr>
            <w:tab/>
          </w:r>
          <w:r>
            <w:rPr>
              <w:sz w:val="21"/>
              <w:szCs w:val="21"/>
            </w:rPr>
            <w:fldChar w:fldCharType="begin"/>
          </w:r>
          <w:r>
            <w:rPr>
              <w:sz w:val="21"/>
              <w:szCs w:val="21"/>
            </w:rPr>
            <w:instrText xml:space="preserve"> PAGEREF _Toc12413 \h </w:instrText>
          </w:r>
          <w:r>
            <w:rPr>
              <w:sz w:val="21"/>
              <w:szCs w:val="21"/>
            </w:rPr>
            <w:fldChar w:fldCharType="separate"/>
          </w:r>
          <w:r>
            <w:rPr>
              <w:sz w:val="21"/>
              <w:szCs w:val="21"/>
            </w:rPr>
            <w:t>- 16 -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_Toc4362 </w:instrText>
          </w:r>
          <w:r>
            <w:rPr>
              <w:rFonts w:hint="eastAsia"/>
              <w:sz w:val="21"/>
              <w:szCs w:val="21"/>
              <w:lang w:val="en-US" w:eastAsia="zh-CN"/>
            </w:rPr>
            <w:fldChar w:fldCharType="separate"/>
          </w:r>
          <w:r>
            <w:rPr>
              <w:rFonts w:hint="eastAsia" w:ascii="仿宋_GB2312" w:hAnsi="仿宋_GB2312" w:eastAsia="仿宋_GB2312" w:cs="仿宋_GB2312"/>
              <w:sz w:val="21"/>
              <w:szCs w:val="21"/>
            </w:rPr>
            <w:t>（三）维保服务要求</w:t>
          </w:r>
          <w:r>
            <w:rPr>
              <w:sz w:val="21"/>
              <w:szCs w:val="21"/>
            </w:rPr>
            <w:tab/>
          </w:r>
          <w:r>
            <w:rPr>
              <w:sz w:val="21"/>
              <w:szCs w:val="21"/>
            </w:rPr>
            <w:fldChar w:fldCharType="begin"/>
          </w:r>
          <w:r>
            <w:rPr>
              <w:sz w:val="21"/>
              <w:szCs w:val="21"/>
            </w:rPr>
            <w:instrText xml:space="preserve"> PAGEREF _Toc4362 \h </w:instrText>
          </w:r>
          <w:r>
            <w:rPr>
              <w:sz w:val="21"/>
              <w:szCs w:val="21"/>
            </w:rPr>
            <w:fldChar w:fldCharType="separate"/>
          </w:r>
          <w:r>
            <w:rPr>
              <w:sz w:val="21"/>
              <w:szCs w:val="21"/>
            </w:rPr>
            <w:t>- 17 -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_Toc28444 </w:instrText>
          </w:r>
          <w:r>
            <w:rPr>
              <w:rFonts w:hint="eastAsia"/>
              <w:sz w:val="21"/>
              <w:szCs w:val="21"/>
              <w:lang w:val="en-US" w:eastAsia="zh-CN"/>
            </w:rPr>
            <w:fldChar w:fldCharType="separate"/>
          </w:r>
          <w:r>
            <w:rPr>
              <w:rFonts w:hint="eastAsia" w:ascii="仿宋_GB2312" w:hAnsi="仿宋_GB2312" w:eastAsia="仿宋_GB2312" w:cs="仿宋_GB2312"/>
              <w:sz w:val="21"/>
              <w:szCs w:val="21"/>
            </w:rPr>
            <w:t>（四）维保服务考核</w:t>
          </w:r>
          <w:r>
            <w:rPr>
              <w:sz w:val="21"/>
              <w:szCs w:val="21"/>
            </w:rPr>
            <w:tab/>
          </w:r>
          <w:r>
            <w:rPr>
              <w:sz w:val="21"/>
              <w:szCs w:val="21"/>
            </w:rPr>
            <w:fldChar w:fldCharType="begin"/>
          </w:r>
          <w:r>
            <w:rPr>
              <w:sz w:val="21"/>
              <w:szCs w:val="21"/>
            </w:rPr>
            <w:instrText xml:space="preserve"> PAGEREF _Toc28444 \h </w:instrText>
          </w:r>
          <w:r>
            <w:rPr>
              <w:sz w:val="21"/>
              <w:szCs w:val="21"/>
            </w:rPr>
            <w:fldChar w:fldCharType="separate"/>
          </w:r>
          <w:r>
            <w:rPr>
              <w:sz w:val="21"/>
              <w:szCs w:val="21"/>
            </w:rPr>
            <w:t>- 20 -</w:t>
          </w:r>
          <w:r>
            <w:rPr>
              <w:sz w:val="21"/>
              <w:szCs w:val="21"/>
            </w:rPr>
            <w:fldChar w:fldCharType="end"/>
          </w:r>
          <w:r>
            <w:rPr>
              <w:rFonts w:hint="eastAsia"/>
              <w:sz w:val="21"/>
              <w:szCs w:val="21"/>
              <w:lang w:val="en-US" w:eastAsia="zh-CN"/>
            </w:rPr>
            <w:fldChar w:fldCharType="end"/>
          </w:r>
        </w:p>
        <w:p>
          <w:pPr>
            <w:pStyle w:val="15"/>
            <w:tabs>
              <w:tab w:val="right" w:leader="dot" w:pos="8306"/>
            </w:tabs>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_Toc21802 </w:instrText>
          </w:r>
          <w:r>
            <w:rPr>
              <w:rFonts w:hint="eastAsia"/>
              <w:sz w:val="21"/>
              <w:szCs w:val="21"/>
              <w:lang w:val="en-US" w:eastAsia="zh-CN"/>
            </w:rPr>
            <w:fldChar w:fldCharType="separate"/>
          </w:r>
          <w:r>
            <w:rPr>
              <w:rFonts w:hint="eastAsia" w:ascii="仿宋_GB2312" w:hAnsi="Calibri" w:eastAsia="仿宋_GB2312" w:cs="Times New Roman"/>
              <w:sz w:val="21"/>
              <w:szCs w:val="21"/>
              <w:lang w:val="en-US" w:eastAsia="zh-CN"/>
            </w:rPr>
            <w:t>（五）其他服务</w:t>
          </w:r>
          <w:r>
            <w:rPr>
              <w:sz w:val="21"/>
              <w:szCs w:val="21"/>
            </w:rPr>
            <w:tab/>
          </w:r>
          <w:r>
            <w:rPr>
              <w:sz w:val="21"/>
              <w:szCs w:val="21"/>
            </w:rPr>
            <w:fldChar w:fldCharType="begin"/>
          </w:r>
          <w:r>
            <w:rPr>
              <w:sz w:val="21"/>
              <w:szCs w:val="21"/>
            </w:rPr>
            <w:instrText xml:space="preserve"> PAGEREF _Toc21802 \h </w:instrText>
          </w:r>
          <w:r>
            <w:rPr>
              <w:sz w:val="21"/>
              <w:szCs w:val="21"/>
            </w:rPr>
            <w:fldChar w:fldCharType="separate"/>
          </w:r>
          <w:r>
            <w:rPr>
              <w:sz w:val="21"/>
              <w:szCs w:val="21"/>
            </w:rPr>
            <w:t>- 21 -</w:t>
          </w:r>
          <w:r>
            <w:rPr>
              <w:sz w:val="21"/>
              <w:szCs w:val="21"/>
            </w:rPr>
            <w:fldChar w:fldCharType="end"/>
          </w:r>
          <w:r>
            <w:rPr>
              <w:rFonts w:hint="eastAsia"/>
              <w:sz w:val="21"/>
              <w:szCs w:val="21"/>
              <w:lang w:val="en-US" w:eastAsia="zh-CN"/>
            </w:rPr>
            <w:fldChar w:fldCharType="end"/>
          </w:r>
        </w:p>
        <w:p>
          <w:pPr>
            <w:pStyle w:val="2"/>
            <w:rPr>
              <w:rFonts w:hint="eastAsia"/>
              <w:lang w:val="en-US" w:eastAsia="zh-CN"/>
            </w:rPr>
          </w:pPr>
          <w:r>
            <w:rPr>
              <w:rFonts w:hint="eastAsia"/>
              <w:sz w:val="21"/>
              <w:szCs w:val="21"/>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Times New Roman"/>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eastAsia" w:ascii="黑体" w:hAnsi="黑体" w:eastAsia="黑体" w:cs="Times New Roman"/>
          <w:color w:val="000000" w:themeColor="text1"/>
          <w:sz w:val="28"/>
          <w:szCs w:val="28"/>
          <w:lang w:eastAsia="zh-CN"/>
          <w14:textFill>
            <w14:solidFill>
              <w14:schemeClr w14:val="tx1"/>
            </w14:solidFill>
          </w14:textFill>
        </w:rPr>
      </w:pPr>
      <w:bookmarkStart w:id="2" w:name="_Toc19615"/>
      <w:r>
        <w:rPr>
          <w:rFonts w:hint="eastAsia" w:ascii="黑体" w:hAnsi="黑体" w:eastAsia="黑体" w:cs="Times New Roman"/>
          <w:color w:val="000000" w:themeColor="text1"/>
          <w:sz w:val="28"/>
          <w:szCs w:val="28"/>
          <w:lang w:val="en-US" w:eastAsia="zh-CN"/>
          <w14:textFill>
            <w14:solidFill>
              <w14:schemeClr w14:val="tx1"/>
            </w14:solidFill>
          </w14:textFill>
        </w:rPr>
        <w:t>一</w:t>
      </w:r>
      <w:r>
        <w:rPr>
          <w:rFonts w:hint="eastAsia" w:ascii="黑体" w:hAnsi="黑体" w:eastAsia="黑体" w:cs="Times New Roman"/>
          <w:color w:val="000000" w:themeColor="text1"/>
          <w:sz w:val="28"/>
          <w:szCs w:val="28"/>
          <w:lang w:eastAsia="zh-CN"/>
          <w14:textFill>
            <w14:solidFill>
              <w14:schemeClr w14:val="tx1"/>
            </w14:solidFill>
          </w14:textFill>
        </w:rPr>
        <w:t>、</w:t>
      </w:r>
      <w:bookmarkEnd w:id="1"/>
      <w:r>
        <w:rPr>
          <w:rFonts w:hint="eastAsia" w:ascii="黑体" w:hAnsi="黑体" w:eastAsia="黑体" w:cs="Times New Roman"/>
          <w:color w:val="000000" w:themeColor="text1"/>
          <w:sz w:val="28"/>
          <w:szCs w:val="28"/>
          <w:lang w:eastAsia="zh-CN"/>
          <w14:textFill>
            <w14:solidFill>
              <w14:schemeClr w14:val="tx1"/>
            </w14:solidFill>
          </w14:textFill>
        </w:rPr>
        <w:t>项目情况</w:t>
      </w:r>
      <w:bookmarkEnd w:id="2"/>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bookmarkStart w:id="3" w:name="_Toc29582"/>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（一）项目概况</w:t>
      </w:r>
      <w:bookmarkEnd w:id="3"/>
    </w:p>
    <w:p>
      <w:pPr>
        <w:pStyle w:val="9"/>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为进一步提升小微信贷业务办理效率，增强小微信贷业务风险控制能力，助力小微业务高质量发展，实现小微客户信息线上采集及移动化办理，省联社决定启动建设小微企业金融服务平台。在全面评估并分析各行社普惠小微业务发展现状的基础上，借鉴监管指引要求与同业成功经验，构建适应未来普惠小微业务发展需求的小微综合服务平台，实现全行统一普惠小微业务办理和管理，构建安全、稳定、灵活、可扩展性强的全行级普惠小微业务平台，为各行社开展普惠小微业务提供合理、规范的业务管理平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bookmarkStart w:id="4" w:name="_Toc5146"/>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（二）项目目标</w:t>
      </w:r>
      <w:bookmarkEnd w:id="4"/>
    </w:p>
    <w:p>
      <w:pPr>
        <w:pStyle w:val="9"/>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实现微贷风控工具与信贷业务系统的整合，通过信贷业务系统查看流水、征信、</w:t>
      </w:r>
      <w:r>
        <w:rPr>
          <w:rFonts w:hint="eastAsia" w:ascii="仿宋_GB2312" w:hAnsi="仿宋_GB2312" w:eastAsia="仿宋_GB2312" w:cs="仿宋_GB2312"/>
          <w:color w:val="auto"/>
          <w:sz w:val="24"/>
          <w:szCs w:val="24"/>
          <w:highlight w:val="none"/>
          <w:lang w:val="en-US" w:eastAsia="zh-CN"/>
        </w:rPr>
        <w:t>外部数据客户画像</w:t>
      </w:r>
      <w:r>
        <w:rPr>
          <w:rFonts w:hint="eastAsia" w:ascii="仿宋_GB2312" w:hAnsi="Calibri" w:eastAsia="仿宋_GB2312" w:cs="Times New Roman"/>
          <w:i w:val="0"/>
          <w:iCs w:val="0"/>
          <w:color w:val="auto"/>
          <w:kern w:val="2"/>
          <w:sz w:val="24"/>
          <w:szCs w:val="24"/>
          <w:highlight w:val="none"/>
          <w:lang w:val="en-US" w:eastAsia="zh-CN" w:bidi="ar-SA"/>
        </w:rPr>
        <w:t>等风险分析报告，同时，通过对产品流程的重新梳理，形成线上、线下产品的组合服务方案，通过标准化的调查问卷方案，提升小微业务作业效率和风控效果。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bookmarkStart w:id="5" w:name="_Toc27804"/>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（三）项目范围</w:t>
      </w:r>
      <w:bookmarkEnd w:id="5"/>
    </w:p>
    <w:p>
      <w:pPr>
        <w:pStyle w:val="9"/>
        <w:rPr>
          <w:rFonts w:hint="eastAsia" w:ascii="仿宋_GB2312" w:hAnsi="仿宋_GB2312" w:eastAsia="仿宋_GB2312" w:cs="仿宋_GB2312"/>
          <w:b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本项目为按阶段完成小微企业金融综合服务平台落地实施，</w:t>
      </w:r>
      <w:r>
        <w:rPr>
          <w:rFonts w:hint="default" w:ascii="仿宋_GB2312" w:hAnsi="Calibri" w:eastAsia="仿宋_GB2312" w:cs="Times New Roman"/>
          <w:i w:val="0"/>
          <w:iCs w:val="0"/>
          <w:color w:val="auto"/>
          <w:kern w:val="2"/>
          <w:sz w:val="24"/>
          <w:szCs w:val="24"/>
          <w:highlight w:val="none"/>
          <w:lang w:val="en-US" w:eastAsia="zh-CN" w:bidi="ar-SA"/>
        </w:rPr>
        <w:t>包括需求分析、开发、测试、上线实施</w:t>
      </w:r>
      <w:r>
        <w:rPr>
          <w:rFonts w:hint="eastAsia" w:ascii="仿宋_GB2312" w:hAnsi="Calibri" w:eastAsia="仿宋_GB2312" w:cs="Times New Roman"/>
          <w:i w:val="0"/>
          <w:iCs w:val="0"/>
          <w:color w:val="auto"/>
          <w:kern w:val="2"/>
          <w:sz w:val="24"/>
          <w:szCs w:val="24"/>
          <w:highlight w:val="none"/>
          <w:lang w:val="en-US" w:eastAsia="zh-CN" w:bidi="ar-SA"/>
        </w:rPr>
        <w:t>、运行维护等。平台功能主要包含业务系统PC端、移动办贷APP端及微信小程序端建设，其中业务系统PC端、移动办贷APP端、微信小程序端拟基于我社现有系统（大零售信贷管理系统、黔农智慧办贷APP、贵州农信业务通）实施改造。项目范围主要如下</w:t>
      </w:r>
      <w:r>
        <w:rPr>
          <w:rFonts w:hint="eastAsia" w:ascii="仿宋_GB2312" w:hAnsi="仿宋_GB2312" w:eastAsia="仿宋_GB2312" w:cs="仿宋_GB2312"/>
          <w:bCs w:val="0"/>
          <w:color w:val="auto"/>
          <w:kern w:val="2"/>
          <w:sz w:val="24"/>
          <w:szCs w:val="24"/>
          <w:highlight w:val="none"/>
          <w:lang w:val="en-US" w:eastAsia="zh-CN" w:bidi="ar-SA"/>
        </w:rPr>
        <w:t>:</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业务系统</w:t>
      </w:r>
      <w:r>
        <w:rPr>
          <w:rFonts w:hint="eastAsia" w:ascii="仿宋_GB2312" w:hAnsi="Calibri" w:eastAsia="仿宋_GB2312" w:cs="Times New Roman"/>
          <w:i w:val="0"/>
          <w:iCs w:val="0"/>
          <w:color w:val="auto"/>
          <w:kern w:val="2"/>
          <w:sz w:val="24"/>
          <w:szCs w:val="24"/>
          <w:highlight w:val="none"/>
          <w:lang w:val="en-US" w:eastAsia="zh-Hans" w:bidi="ar-SA"/>
        </w:rPr>
        <w:t>PC端</w:t>
      </w:r>
      <w:r>
        <w:rPr>
          <w:rFonts w:hint="eastAsia" w:ascii="仿宋_GB2312" w:hAnsi="Calibri" w:eastAsia="仿宋_GB2312" w:cs="Times New Roman"/>
          <w:i w:val="0"/>
          <w:iCs w:val="0"/>
          <w:color w:val="auto"/>
          <w:kern w:val="2"/>
          <w:sz w:val="24"/>
          <w:szCs w:val="24"/>
          <w:highlight w:val="none"/>
          <w:lang w:val="en-US" w:eastAsia="zh-CN" w:bidi="ar-SA"/>
        </w:rPr>
        <w:t>主要</w:t>
      </w:r>
      <w:r>
        <w:rPr>
          <w:rFonts w:hint="eastAsia" w:ascii="仿宋_GB2312" w:hAnsi="Calibri" w:eastAsia="仿宋_GB2312" w:cs="Times New Roman"/>
          <w:i w:val="0"/>
          <w:iCs w:val="0"/>
          <w:color w:val="auto"/>
          <w:kern w:val="2"/>
          <w:sz w:val="24"/>
          <w:szCs w:val="24"/>
          <w:highlight w:val="none"/>
          <w:lang w:val="en-US" w:eastAsia="zh-Hans" w:bidi="ar-SA"/>
        </w:rPr>
        <w:t>包括：</w:t>
      </w:r>
      <w:r>
        <w:rPr>
          <w:rFonts w:hint="eastAsia" w:ascii="仿宋_GB2312" w:hAnsi="Calibri" w:eastAsia="仿宋_GB2312" w:cs="Times New Roman"/>
          <w:i w:val="0"/>
          <w:iCs w:val="0"/>
          <w:color w:val="auto"/>
          <w:kern w:val="2"/>
          <w:sz w:val="24"/>
          <w:szCs w:val="24"/>
          <w:highlight w:val="none"/>
          <w:lang w:val="en-US" w:eastAsia="zh-CN" w:bidi="ar-SA"/>
        </w:rPr>
        <w:t>基于当前业务系统进件管理、客户管理、合同管理、出账管理、贷后管理、产品管理</w:t>
      </w:r>
      <w:r>
        <w:rPr>
          <w:rFonts w:hint="eastAsia" w:ascii="仿宋_GB2312" w:hAnsi="Calibri" w:eastAsia="仿宋_GB2312" w:cs="Times New Roman"/>
          <w:i w:val="0"/>
          <w:iCs w:val="0"/>
          <w:color w:val="000000" w:themeColor="text1"/>
          <w:kern w:val="2"/>
          <w:sz w:val="24"/>
          <w:szCs w:val="24"/>
          <w:highlight w:val="none"/>
          <w:lang w:val="en-US" w:eastAsia="zh-CN" w:bidi="ar-SA"/>
          <w14:textFill>
            <w14:solidFill>
              <w14:schemeClr w14:val="tx1"/>
            </w14:solidFill>
          </w14:textFill>
        </w:rPr>
        <w:t>等模块适配改造并新增</w:t>
      </w:r>
      <w:r>
        <w:rPr>
          <w:rFonts w:hint="eastAsia" w:ascii="仿宋_GB2312" w:hAnsi="Calibri" w:eastAsia="仿宋_GB2312" w:cs="Times New Roman"/>
          <w:i w:val="0"/>
          <w:iCs w:val="0"/>
          <w:color w:val="auto"/>
          <w:kern w:val="2"/>
          <w:sz w:val="24"/>
          <w:szCs w:val="24"/>
          <w:highlight w:val="none"/>
          <w:lang w:val="en-US" w:eastAsia="zh-CN" w:bidi="ar-SA"/>
        </w:rPr>
        <w:t>微贷业务办理（含调查问卷、交叉检验）模块</w:t>
      </w:r>
      <w:r>
        <w:rPr>
          <w:rFonts w:hint="eastAsia" w:ascii="仿宋_GB2312" w:hAnsi="Calibri" w:eastAsia="仿宋_GB2312" w:cs="Times New Roman"/>
          <w:i w:val="0"/>
          <w:iCs w:val="0"/>
          <w:color w:val="000000" w:themeColor="text1"/>
          <w:kern w:val="2"/>
          <w:sz w:val="24"/>
          <w:szCs w:val="24"/>
          <w:highlight w:val="none"/>
          <w:lang w:val="en-US" w:eastAsia="zh-CN" w:bidi="ar-SA"/>
          <w14:textFill>
            <w14:solidFill>
              <w14:schemeClr w14:val="tx1"/>
            </w14:solidFill>
          </w14:textFill>
        </w:rPr>
        <w:t>；</w:t>
      </w:r>
      <w:r>
        <w:rPr>
          <w:rFonts w:hint="eastAsia" w:ascii="仿宋_GB2312" w:hAnsi="Calibri" w:eastAsia="仿宋_GB2312" w:cs="Times New Roman"/>
          <w:color w:val="auto"/>
          <w:sz w:val="24"/>
          <w:szCs w:val="24"/>
          <w:highlight w:val="none"/>
          <w:lang w:val="en-US" w:eastAsia="zh-CN"/>
        </w:rPr>
        <w:t>对相关渠道端提供我要贷款、额度测算、合同签订、用款、还款、展期、续贷、我的贷款等功能后台接口服务支撑。</w:t>
      </w:r>
    </w:p>
    <w:p>
      <w:pPr>
        <w:pStyle w:val="9"/>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移动办贷APP端主要包括：基于当前业务系统进件管理、客户管理、合同管理、贷后管理、审查审批等模块适配改造并新增微贷业务办理（含调查问卷、交叉检验）模块，并根据PC端微贷业务版块建设改造对应调整移动端相关功能业务界面、交互流程及逻辑等。</w:t>
      </w:r>
    </w:p>
    <w:p>
      <w:pPr>
        <w:pStyle w:val="9"/>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渠道端主要包括：农信业务通小程序支持微贷业务涉及的电子资料远程签署。</w:t>
      </w:r>
    </w:p>
    <w:p>
      <w:pPr>
        <w:pStyle w:val="9"/>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配合关联系统改造联调。配合黔农云、公司信贷、风险预警、数据平台、微贷风控工具、外部数据接入管理平台、影像平台、征信前置、安心签前置、人脸识别、反欺诈等系统的联调测试。</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1"/>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（四）项目工期要求</w:t>
      </w:r>
    </w:p>
    <w:p>
      <w:pPr>
        <w:pStyle w:val="9"/>
        <w:rPr>
          <w:rFonts w:hint="eastAsia" w:ascii="仿宋_GB2312" w:hAnsi="Calibri" w:eastAsia="仿宋_GB2312" w:cs="Times New Roman"/>
          <w:i w:val="0"/>
          <w:iCs w:val="0"/>
          <w:color w:val="auto"/>
          <w:kern w:val="2"/>
          <w:sz w:val="24"/>
          <w:szCs w:val="24"/>
          <w:highlight w:val="none"/>
          <w:lang w:val="en-US" w:eastAsia="zh-CN" w:bidi="ar-SA"/>
        </w:rPr>
      </w:pPr>
      <w:r>
        <w:rPr>
          <w:rFonts w:hint="eastAsia" w:ascii="仿宋_GB2312" w:hAnsi="Calibri" w:eastAsia="仿宋_GB2312" w:cs="Times New Roman"/>
          <w:i w:val="0"/>
          <w:iCs w:val="0"/>
          <w:color w:val="auto"/>
          <w:kern w:val="2"/>
          <w:sz w:val="24"/>
          <w:szCs w:val="24"/>
          <w:highlight w:val="none"/>
          <w:lang w:val="en-US" w:eastAsia="zh-CN" w:bidi="ar-SA"/>
        </w:rPr>
        <w:t>服务商项目人员进场8个月内。</w:t>
      </w:r>
    </w:p>
    <w:p>
      <w:pPr>
        <w:spacing w:line="560" w:lineRule="exact"/>
        <w:ind w:firstLine="560" w:firstLineChars="200"/>
        <w:outlineLvl w:val="0"/>
        <w:rPr>
          <w:rFonts w:hint="eastAsia" w:ascii="黑体" w:hAnsi="黑体" w:eastAsia="黑体" w:cs="Times New Roman"/>
          <w:color w:val="000000" w:themeColor="text1"/>
          <w:sz w:val="28"/>
          <w:szCs w:val="28"/>
          <w:lang w:val="en-US" w:eastAsia="zh-CN"/>
          <w14:textFill>
            <w14:solidFill>
              <w14:schemeClr w14:val="tx1"/>
            </w14:solidFill>
          </w14:textFill>
        </w:rPr>
      </w:pPr>
      <w:bookmarkStart w:id="6" w:name="_Toc1556"/>
      <w:r>
        <w:rPr>
          <w:rFonts w:hint="eastAsia" w:ascii="黑体" w:hAnsi="黑体" w:eastAsia="黑体" w:cs="Times New Roman"/>
          <w:color w:val="000000" w:themeColor="text1"/>
          <w:sz w:val="28"/>
          <w:szCs w:val="28"/>
          <w:lang w:val="en-US" w:eastAsia="zh-CN"/>
          <w14:textFill>
            <w14:solidFill>
              <w14:schemeClr w14:val="tx1"/>
            </w14:solidFill>
          </w14:textFill>
        </w:rPr>
        <w:t>二、功能需求</w:t>
      </w:r>
      <w:bookmarkEnd w:id="6"/>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小微企业金融综合服务平台分为业务系统PC端、移动办贷APP端、微信小程序端及配合关联系统改造建设，业务系统PC端及移动办贷APP端均为对内使用，按照不同的岗位角色赋予不同的权限，展示不同的界面；小程序为对客使用。</w:t>
      </w:r>
    </w:p>
    <w:p>
      <w:pPr>
        <w:numPr>
          <w:ilvl w:val="0"/>
          <w:numId w:val="4"/>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7" w:name="_Toc7263"/>
      <w:r>
        <w:rPr>
          <w:rFonts w:hint="eastAsia" w:ascii="仿宋_GB2312" w:hAnsi="仿宋_GB2312" w:eastAsia="仿宋_GB2312" w:cs="仿宋_GB2312"/>
          <w:color w:val="000000" w:themeColor="text1"/>
          <w:sz w:val="24"/>
          <w:lang w:val="en-US" w:eastAsia="zh-CN"/>
          <w14:textFill>
            <w14:solidFill>
              <w14:schemeClr w14:val="tx1"/>
            </w14:solidFill>
          </w14:textFill>
        </w:rPr>
        <w:t>系统PC</w:t>
      </w:r>
      <w:r>
        <w:rPr>
          <w:rFonts w:hint="eastAsia" w:ascii="仿宋_GB2312" w:hAnsi="仿宋_GB2312" w:eastAsia="仿宋_GB2312" w:cs="仿宋_GB2312"/>
          <w:color w:val="000000" w:themeColor="text1"/>
          <w:sz w:val="24"/>
          <w:lang w:val="en-US" w:eastAsia="zh-Hans"/>
          <w14:textFill>
            <w14:solidFill>
              <w14:schemeClr w14:val="tx1"/>
            </w14:solidFill>
          </w14:textFill>
        </w:rPr>
        <w:t>端</w:t>
      </w:r>
      <w:bookmarkEnd w:id="7"/>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Calibri" w:eastAsia="仿宋_GB2312" w:cs="Times New Roman"/>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CN"/>
        </w:rPr>
        <w:t>小微企业金融综合服务平台</w:t>
      </w:r>
      <w:r>
        <w:rPr>
          <w:rFonts w:hint="eastAsia" w:ascii="仿宋_GB2312" w:hAnsi="仿宋_GB2312" w:eastAsia="仿宋_GB2312" w:cs="仿宋_GB2312"/>
          <w:color w:val="auto"/>
          <w:sz w:val="24"/>
          <w:szCs w:val="24"/>
          <w:highlight w:val="none"/>
          <w:lang w:eastAsia="zh-Hans"/>
        </w:rPr>
        <w:t>PC端包括：</w:t>
      </w:r>
      <w:r>
        <w:rPr>
          <w:rFonts w:hint="eastAsia" w:ascii="仿宋_GB2312" w:hAnsi="仿宋_GB2312" w:eastAsia="仿宋_GB2312" w:cs="仿宋_GB2312"/>
          <w:color w:val="auto"/>
          <w:sz w:val="24"/>
          <w:szCs w:val="24"/>
          <w:highlight w:val="none"/>
          <w:lang w:eastAsia="zh-CN"/>
        </w:rPr>
        <w:t>进件管理、客户管理、微贷业务、</w:t>
      </w:r>
      <w:r>
        <w:rPr>
          <w:rFonts w:hint="eastAsia" w:ascii="仿宋_GB2312" w:hAnsi="仿宋_GB2312" w:eastAsia="仿宋_GB2312" w:cs="仿宋_GB2312"/>
          <w:color w:val="auto"/>
          <w:sz w:val="24"/>
          <w:szCs w:val="24"/>
          <w:highlight w:val="none"/>
          <w:lang w:val="en-US" w:eastAsia="zh-CN"/>
        </w:rPr>
        <w:t>合同管理、</w:t>
      </w:r>
      <w:r>
        <w:rPr>
          <w:rFonts w:hint="eastAsia" w:ascii="仿宋_GB2312" w:hAnsi="仿宋_GB2312" w:eastAsia="仿宋_GB2312" w:cs="仿宋_GB2312"/>
          <w:color w:val="auto"/>
          <w:sz w:val="24"/>
          <w:szCs w:val="24"/>
          <w:highlight w:val="none"/>
          <w:lang w:eastAsia="zh-CN"/>
        </w:rPr>
        <w:t>出账管理、贷后管理、产品管</w:t>
      </w:r>
      <w:r>
        <w:rPr>
          <w:rFonts w:hint="eastAsia" w:ascii="仿宋_GB2312" w:hAnsi="Calibri" w:eastAsia="仿宋_GB2312" w:cs="Times New Roman"/>
          <w:color w:val="auto"/>
          <w:sz w:val="24"/>
          <w:szCs w:val="24"/>
          <w:highlight w:val="none"/>
          <w:lang w:val="en-US" w:eastAsia="zh-CN"/>
        </w:rPr>
        <w:t>理、渠道接口服务支撑等模块优化改造</w:t>
      </w:r>
      <w:r>
        <w:rPr>
          <w:rFonts w:hint="eastAsia" w:ascii="仿宋_GB2312" w:hAnsi="Calibri" w:eastAsia="仿宋_GB2312" w:cs="Times New Roman"/>
          <w:color w:val="auto"/>
          <w:sz w:val="24"/>
          <w:szCs w:val="24"/>
          <w:highlight w:val="none"/>
          <w:lang w:val="en-US" w:eastAsia="zh-Hans"/>
        </w:rPr>
        <w:t>。</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进件管理。支持客户自主或代客发起小微业务申请的进件，增加查询客户外部数据、征信信息、流水信息等内外部数据查询授权（移动端、微信小程序、黔农云支持授权资料线上签署）功能并实时归档影像资料；集成微贷风控工具数据（外部数据客户画像报告、征信报告、流水报告）并将报告涉及的数据存储到信贷系统本地，在后续业务办理，贷后管理等功能中使用，在客户整个业务过程中均可以关联查询客户微贷风控工具报告；自动派单、转派，同时支持客户经理从进件管理直接跳转至微贷业务模块办理业务</w:t>
      </w:r>
      <w:r>
        <w:rPr>
          <w:rFonts w:hint="eastAsia" w:ascii="仿宋_GB2312" w:hAnsi="仿宋_GB2312" w:eastAsia="仿宋_GB2312" w:cs="仿宋_GB2312"/>
          <w:color w:val="auto"/>
          <w:sz w:val="24"/>
          <w:szCs w:val="24"/>
          <w:highlight w:val="none"/>
          <w:lang w:val="en-US" w:eastAsia="zh-Hans"/>
        </w:rPr>
        <w:t>；</w:t>
      </w:r>
      <w:r>
        <w:rPr>
          <w:rFonts w:hint="eastAsia" w:ascii="仿宋_GB2312" w:hAnsi="仿宋_GB2312" w:eastAsia="仿宋_GB2312" w:cs="仿宋_GB2312"/>
          <w:color w:val="auto"/>
          <w:sz w:val="24"/>
          <w:szCs w:val="24"/>
          <w:highlight w:val="none"/>
          <w:lang w:val="en-US" w:eastAsia="zh-CN"/>
        </w:rPr>
        <w:t>需建设微贷客户进件初筛拦截、预警、额度测算等。</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2.客户管理。支持小微类客户新增、修改、移交、合并、客户类型转换等操作</w:t>
      </w:r>
      <w:r>
        <w:rPr>
          <w:rFonts w:hint="eastAsia" w:ascii="仿宋_GB2312" w:hAnsi="仿宋_GB2312" w:eastAsia="仿宋_GB2312" w:cs="仿宋_GB2312"/>
          <w:color w:val="auto"/>
          <w:sz w:val="24"/>
          <w:szCs w:val="24"/>
          <w:highlight w:val="none"/>
          <w:lang w:val="en-US" w:eastAsia="zh-Hans"/>
        </w:rPr>
        <w:t>；</w:t>
      </w:r>
      <w:r>
        <w:rPr>
          <w:rFonts w:hint="eastAsia" w:ascii="仿宋_GB2312" w:hAnsi="仿宋_GB2312" w:eastAsia="仿宋_GB2312" w:cs="仿宋_GB2312"/>
          <w:color w:val="auto"/>
          <w:sz w:val="24"/>
          <w:szCs w:val="24"/>
          <w:highlight w:val="none"/>
          <w:lang w:val="en-US" w:eastAsia="zh-CN"/>
        </w:rPr>
        <w:t>客户信息支持展示在页面上的重要字段，如关联企业信息。在客户信息相关节点增加查询客户外部数据、征信信息、流水信息等内外部数据查询授权（移动办贷APP端、微信小程序、黔农云渠道端支持授权资料线上签署）功能并实时归档影像资料；支持PDF、EXCEL版本流水信息上传；集成微贷风控工具报告（外部数据客户画像报告、征信报告、流水报告）并将报告涉及的数据存储到信贷系统本地，在后续业务办理，贷后管理等功能中使用，在客户整个业务过程中均可以关联查询客户外部数据客户画像报告、征信报告、流水报告；支持小微个人类客户通过信息更新实现延长授信有效期。客户管理设计上传流水报告功能，但不做强制上传要求，本模块保留最新上传流水解析的报告、最新查得的外部数据客户画像报告、最新解析的征信解析报告。</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微贷业务</w:t>
      </w:r>
      <w:r>
        <w:rPr>
          <w:rFonts w:hint="eastAsia" w:ascii="仿宋_GB2312" w:hAnsi="仿宋_GB2312" w:eastAsia="仿宋_GB2312" w:cs="仿宋_GB2312"/>
          <w:color w:val="auto"/>
          <w:sz w:val="24"/>
          <w:szCs w:val="24"/>
          <w:highlight w:val="none"/>
          <w:lang w:val="en-US" w:eastAsia="zh-CN"/>
        </w:rPr>
        <w:t>。在</w:t>
      </w:r>
      <w:r>
        <w:rPr>
          <w:rFonts w:hint="eastAsia" w:ascii="仿宋_GB2312" w:hAnsi="仿宋_GB2312" w:eastAsia="仿宋_GB2312" w:cs="仿宋_GB2312"/>
          <w:color w:val="auto"/>
          <w:sz w:val="24"/>
          <w:szCs w:val="24"/>
          <w:highlight w:val="none"/>
          <w:lang w:eastAsia="zh-CN"/>
        </w:rPr>
        <w:t>当前业务系统</w:t>
      </w:r>
      <w:r>
        <w:rPr>
          <w:rFonts w:hint="eastAsia" w:ascii="仿宋_GB2312" w:hAnsi="仿宋_GB2312" w:eastAsia="仿宋_GB2312" w:cs="仿宋_GB2312"/>
          <w:color w:val="auto"/>
          <w:sz w:val="24"/>
          <w:szCs w:val="24"/>
          <w:highlight w:val="none"/>
          <w:lang w:val="en-US" w:eastAsia="zh-CN"/>
        </w:rPr>
        <w:t>中</w:t>
      </w:r>
      <w:r>
        <w:rPr>
          <w:rFonts w:hint="eastAsia" w:ascii="仿宋_GB2312" w:hAnsi="仿宋_GB2312" w:eastAsia="仿宋_GB2312" w:cs="仿宋_GB2312"/>
          <w:color w:val="auto"/>
          <w:sz w:val="24"/>
          <w:szCs w:val="24"/>
          <w:highlight w:val="none"/>
          <w:lang w:eastAsia="zh-CN"/>
        </w:rPr>
        <w:t>新增</w:t>
      </w:r>
      <w:r>
        <w:rPr>
          <w:rFonts w:hint="eastAsia" w:ascii="仿宋_GB2312" w:hAnsi="仿宋_GB2312" w:eastAsia="仿宋_GB2312" w:cs="仿宋_GB2312"/>
          <w:color w:val="auto"/>
          <w:sz w:val="24"/>
          <w:szCs w:val="24"/>
          <w:highlight w:val="none"/>
          <w:lang w:val="en-US" w:eastAsia="zh-CN"/>
        </w:rPr>
        <w:t>微贷业务办理</w:t>
      </w:r>
      <w:r>
        <w:rPr>
          <w:rFonts w:hint="eastAsia" w:ascii="仿宋_GB2312" w:hAnsi="仿宋_GB2312" w:eastAsia="仿宋_GB2312" w:cs="仿宋_GB2312"/>
          <w:color w:val="auto"/>
          <w:sz w:val="24"/>
          <w:szCs w:val="24"/>
          <w:highlight w:val="none"/>
          <w:lang w:eastAsia="zh-CN"/>
        </w:rPr>
        <w:t>模块，支持个体工商户（含农户个体工商户）、小微企业主（含农户小微企业主）及无证经营户</w:t>
      </w:r>
      <w:r>
        <w:rPr>
          <w:rFonts w:hint="eastAsia" w:ascii="仿宋_GB2312" w:hAnsi="仿宋_GB2312" w:eastAsia="仿宋_GB2312" w:cs="仿宋_GB2312"/>
          <w:color w:val="auto"/>
          <w:sz w:val="24"/>
          <w:szCs w:val="24"/>
          <w:highlight w:val="none"/>
          <w:lang w:val="en-US" w:eastAsia="zh-CN"/>
        </w:rPr>
        <w:t>发起微贷相关信贷产品（</w:t>
      </w:r>
      <w:r>
        <w:rPr>
          <w:rFonts w:hint="eastAsia" w:ascii="仿宋_GB2312" w:hAnsi="仿宋_GB2312" w:eastAsia="仿宋_GB2312" w:cs="仿宋_GB2312"/>
          <w:color w:val="auto"/>
          <w:sz w:val="24"/>
          <w:szCs w:val="24"/>
          <w:highlight w:val="none"/>
          <w:lang w:eastAsia="zh-CN"/>
        </w:rPr>
        <w:t>支持</w:t>
      </w:r>
      <w:r>
        <w:rPr>
          <w:rFonts w:hint="eastAsia" w:ascii="仿宋_GB2312" w:hAnsi="仿宋_GB2312" w:eastAsia="仿宋_GB2312" w:cs="仿宋_GB2312"/>
          <w:color w:val="auto"/>
          <w:sz w:val="24"/>
          <w:szCs w:val="24"/>
          <w:highlight w:val="none"/>
          <w:lang w:val="en-US" w:eastAsia="zh-CN"/>
        </w:rPr>
        <w:t>灵活</w:t>
      </w:r>
      <w:r>
        <w:rPr>
          <w:rFonts w:hint="eastAsia" w:ascii="仿宋_GB2312" w:hAnsi="仿宋_GB2312" w:eastAsia="仿宋_GB2312" w:cs="仿宋_GB2312"/>
          <w:color w:val="auto"/>
          <w:sz w:val="24"/>
          <w:szCs w:val="24"/>
          <w:highlight w:val="none"/>
          <w:lang w:eastAsia="zh-CN"/>
        </w:rPr>
        <w:t>配置</w:t>
      </w:r>
      <w:r>
        <w:rPr>
          <w:rFonts w:hint="eastAsia" w:ascii="仿宋_GB2312" w:hAnsi="仿宋_GB2312" w:eastAsia="仿宋_GB2312" w:cs="仿宋_GB2312"/>
          <w:color w:val="auto"/>
          <w:sz w:val="24"/>
          <w:szCs w:val="24"/>
          <w:highlight w:val="none"/>
          <w:lang w:val="en-US" w:eastAsia="zh-CN"/>
        </w:rPr>
        <w:t>）业务</w:t>
      </w:r>
      <w:r>
        <w:rPr>
          <w:rFonts w:hint="eastAsia" w:ascii="仿宋_GB2312" w:hAnsi="仿宋_GB2312" w:eastAsia="仿宋_GB2312" w:cs="仿宋_GB2312"/>
          <w:color w:val="auto"/>
          <w:sz w:val="24"/>
          <w:szCs w:val="24"/>
          <w:highlight w:val="none"/>
          <w:lang w:eastAsia="zh-CN"/>
        </w:rPr>
        <w:t>（含新增、续贷、重组、展期）</w:t>
      </w:r>
      <w:r>
        <w:rPr>
          <w:rFonts w:hint="eastAsia" w:ascii="仿宋_GB2312" w:hAnsi="仿宋_GB2312" w:eastAsia="仿宋_GB2312" w:cs="仿宋_GB2312"/>
          <w:color w:val="auto"/>
          <w:sz w:val="24"/>
          <w:szCs w:val="24"/>
          <w:highlight w:val="none"/>
          <w:lang w:val="en-US" w:eastAsia="zh-CN"/>
        </w:rPr>
        <w:t>办理（嵌入调查问卷）及风控等检查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额度与零售其他信贷产品集中统筹配置及管控；支持PDF、EXCEL版本流水信息上传，生成微贷风控工具报告中流水报告并将报告涉及的数据存储到信贷系统本地，在后续业务办理，贷后管理等功能中使用，在客户整个业务过程中均可以关联查询客户微贷风控报告。本模块保留当次业务申请</w:t>
      </w:r>
      <w:r>
        <w:rPr>
          <w:rFonts w:hint="eastAsia" w:ascii="仿宋_GB2312" w:hAnsi="仿宋_GB2312" w:eastAsia="仿宋_GB2312" w:cs="仿宋_GB2312"/>
          <w:color w:val="auto"/>
          <w:sz w:val="24"/>
          <w:szCs w:val="24"/>
          <w:highlight w:val="none"/>
          <w:lang w:eastAsia="zh-CN"/>
        </w:rPr>
        <w:t>上传流水解析的报告、当次查得的外部数据客户画像报告、当次解析的征信解析报告</w:t>
      </w:r>
      <w:r>
        <w:rPr>
          <w:rFonts w:hint="eastAsia" w:ascii="仿宋_GB2312" w:hAnsi="仿宋_GB2312" w:eastAsia="仿宋_GB2312" w:cs="仿宋_GB2312"/>
          <w:color w:val="auto"/>
          <w:sz w:val="24"/>
          <w:szCs w:val="24"/>
          <w:highlight w:val="none"/>
          <w:lang w:val="en-US" w:eastAsia="zh-CN"/>
        </w:rPr>
        <w:t>及上述报告涉及的结构化数据。同时，业务系统生成相关交叉验证报告并运用于微贷业务相关环节，以提升微贷业务办理效率、提高微贷业务风控能力</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none"/>
          <w:lang w:val="en-US" w:eastAsia="zh-CN"/>
        </w:rPr>
        <w:t>问卷调查：支持根据客户所属国标行业大类，按照我社设计的行业调查问卷自动匹配生成问卷方案，录入尽调信息，相关数据用于后续交叉验证、风控管理、授信计算等环节。根据调查结果自动生成调查报告。</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交叉验证：基于设计的行业调查问卷问及数据、</w:t>
      </w:r>
      <w:r>
        <w:rPr>
          <w:rFonts w:hint="eastAsia" w:ascii="仿宋_GB2312" w:hAnsi="仿宋_GB2312" w:eastAsia="仿宋_GB2312" w:cs="仿宋_GB2312"/>
          <w:color w:val="auto"/>
          <w:sz w:val="24"/>
          <w:szCs w:val="24"/>
          <w:highlight w:val="none"/>
          <w:lang w:eastAsia="zh-CN"/>
        </w:rPr>
        <w:t>外部数据客户画像报告</w:t>
      </w:r>
      <w:r>
        <w:rPr>
          <w:rFonts w:hint="eastAsia" w:ascii="仿宋_GB2312" w:hAnsi="仿宋_GB2312" w:eastAsia="仿宋_GB2312" w:cs="仿宋_GB2312"/>
          <w:color w:val="auto"/>
          <w:sz w:val="24"/>
          <w:szCs w:val="24"/>
          <w:highlight w:val="none"/>
          <w:lang w:val="en-US" w:eastAsia="zh-CN"/>
        </w:rPr>
        <w:t>、征信解析报告、流水解析报告获得数据，设计数据间交叉检验逻辑并进行验证，形成交叉检验报告并运用于微贷业务办理风控等各环节。</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微贷业务办理模块应同时设计额度管理功能，分别设置授信额度台账、额度冻结解冻、线上额度调整、渠道端执行利率维护等子菜单。</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授信额度台账：为台账展示功能，展示该操作人员权限范围内，所有小微客户授信情况，包括但不限于授信额度、授信有效期、授信客户基本信息等。</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额度冻结解冻：用于当发现被授信对象存在可能影响贷款质量的风险时，对未使用授信额度进行部分冻结、全部冻结，同时用于当风险降低、解除时，对已冻结额度进行部分解冻、全部解冻。</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线上额度调整：用于对授信时明确的渠道端使用额度进行调增、调减。</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渠道端执行利率维护：对客户在渠道端使用贷款利率进行维护功能。</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合同管理。支持微贷个性化合同、协议等线下、线上（移动端、微信小程序、黔农云支持电签）签订；基于当前影像平台上传合同签订时录音录像资料；基于合同需支持提前录入并预审批受托支付对手等相关信息并增加受托支付配置及录入时检查控制。</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5.出账管理。优化微贷相关受托支付功能及流程。支持借款人在出账申请上传佐证资料、签订借据、受托支付凭证并完成放款及支付。</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trike/>
          <w:dstrike w:val="0"/>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贷后管理。微贷业务增加内外部数据、征信解析数据及经客户经理贷后收集的流水数据加工后的指标进行检查及相关任务生成及风险提示；同时嵌入微贷风控工具相关报告（外部数据客户画像报告、征信报告、流水报告）及授权（支持移动端、微信小程序签署）相关功能；同时支持线上（移动端、微信小程序）签署催收相关电子材料，如：贷款催收通知书等</w:t>
      </w:r>
      <w:r>
        <w:rPr>
          <w:rFonts w:hint="eastAsia" w:ascii="仿宋_GB2312" w:hAnsi="仿宋_GB2312" w:eastAsia="仿宋_GB2312" w:cs="仿宋_GB2312"/>
          <w:color w:val="auto"/>
          <w:sz w:val="24"/>
          <w:szCs w:val="24"/>
          <w:highlight w:val="none"/>
          <w:lang w:val="en-US" w:eastAsia="zh-Hans"/>
        </w:rPr>
        <w:t>。</w:t>
      </w:r>
      <w:bookmarkStart w:id="8" w:name="_Toc1472809220"/>
      <w:r>
        <w:rPr>
          <w:rFonts w:hint="eastAsia" w:ascii="仿宋_GB2312" w:hAnsi="仿宋_GB2312" w:eastAsia="仿宋_GB2312" w:cs="仿宋_GB2312"/>
          <w:color w:val="auto"/>
          <w:sz w:val="24"/>
          <w:szCs w:val="24"/>
          <w:highlight w:val="none"/>
          <w:lang w:val="en-US" w:eastAsia="zh-CN"/>
        </w:rPr>
        <w:t>贷后检查支持自动批量检查并判断检查信息是否过期，若客户信息已过期支持查询批量生成任务调取风控系统获取最新客户结构化数据信息及分析报告。</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产品管理。需支持按照客户类型配置产品，实现小微客户微贷业务产品与零售业务产品兼容，非小微客户办理小微业务需先做客户类型转换，小微客户办理零售业务不做客户类型转换；需支持同一个小微产品配置多个授信模型；需支持在本模块参数化配置不同的审批流程、风险检查指标方案、额度测算公式、利率定价模型，并支持二级法人配置；支持对小微产品不良率进行监测、生成机构级预警任务并对触发不良率上限的产品自动下架管理。</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Calibri" w:eastAsia="仿宋_GB2312" w:cs="Times New Roman"/>
          <w:color w:val="auto"/>
          <w:sz w:val="24"/>
          <w:szCs w:val="24"/>
          <w:highlight w:val="none"/>
          <w:lang w:val="en-US" w:eastAsia="zh-CN"/>
        </w:rPr>
        <w:t>接口服务支撑。对渠道端（如：黔农云等）提供我要贷款、额度测算、合同签订、用款、还款、展期、续贷、我的贷款等渠道端功能后台接口服务。</w:t>
      </w:r>
    </w:p>
    <w:p>
      <w:pPr>
        <w:numPr>
          <w:ilvl w:val="0"/>
          <w:numId w:val="4"/>
        </w:numPr>
        <w:spacing w:line="560" w:lineRule="exact"/>
        <w:ind w:left="0" w:leftChars="0" w:firstLine="420" w:firstLineChars="0"/>
        <w:outlineLvl w:val="1"/>
        <w:rPr>
          <w:rFonts w:hint="default" w:ascii="仿宋_GB2312" w:hAnsi="仿宋_GB2312" w:eastAsia="仿宋_GB2312" w:cs="仿宋_GB2312"/>
          <w:color w:val="000000" w:themeColor="text1"/>
          <w:sz w:val="24"/>
          <w:lang w:val="en-US" w:eastAsia="zh-CN"/>
          <w14:textFill>
            <w14:solidFill>
              <w14:schemeClr w14:val="tx1"/>
            </w14:solidFill>
          </w14:textFill>
        </w:rPr>
      </w:pPr>
      <w:bookmarkStart w:id="9" w:name="_Toc3670"/>
      <w:r>
        <w:rPr>
          <w:rFonts w:hint="eastAsia" w:ascii="仿宋_GB2312" w:hAnsi="仿宋_GB2312" w:eastAsia="仿宋_GB2312" w:cs="仿宋_GB2312"/>
          <w:color w:val="000000" w:themeColor="text1"/>
          <w:sz w:val="24"/>
          <w:lang w:val="en-US" w:eastAsia="zh-CN"/>
          <w14:textFill>
            <w14:solidFill>
              <w14:schemeClr w14:val="tx1"/>
            </w14:solidFill>
          </w14:textFill>
        </w:rPr>
        <w:t>移动办贷</w:t>
      </w:r>
      <w:r>
        <w:rPr>
          <w:rFonts w:hint="eastAsia" w:ascii="仿宋_GB2312" w:hAnsi="仿宋_GB2312" w:eastAsia="仿宋_GB2312" w:cs="仿宋_GB2312"/>
          <w:color w:val="000000" w:themeColor="text1"/>
          <w:sz w:val="24"/>
          <w:lang w:val="en-US" w:eastAsia="zh-Hans"/>
          <w14:textFill>
            <w14:solidFill>
              <w14:schemeClr w14:val="tx1"/>
            </w14:solidFill>
          </w14:textFill>
        </w:rPr>
        <w:t>APP端</w:t>
      </w:r>
      <w:bookmarkEnd w:id="9"/>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CN"/>
        </w:rPr>
        <w:t>移动办贷</w:t>
      </w:r>
      <w:r>
        <w:rPr>
          <w:rFonts w:hint="eastAsia" w:ascii="仿宋_GB2312" w:hAnsi="仿宋_GB2312" w:eastAsia="仿宋_GB2312" w:cs="仿宋_GB2312"/>
          <w:color w:val="auto"/>
          <w:sz w:val="24"/>
          <w:szCs w:val="24"/>
          <w:highlight w:val="none"/>
          <w:lang w:val="en-US" w:eastAsia="zh-Hans"/>
        </w:rPr>
        <w:t>APP端将 PC 端的核心功能在移动端</w:t>
      </w:r>
      <w:r>
        <w:rPr>
          <w:rFonts w:hint="eastAsia" w:ascii="仿宋_GB2312" w:hAnsi="仿宋_GB2312" w:eastAsia="仿宋_GB2312" w:cs="仿宋_GB2312"/>
          <w:color w:val="auto"/>
          <w:sz w:val="24"/>
          <w:szCs w:val="24"/>
          <w:highlight w:val="none"/>
          <w:lang w:val="en-US" w:eastAsia="zh-CN"/>
        </w:rPr>
        <w:t>展示</w:t>
      </w:r>
      <w:r>
        <w:rPr>
          <w:rFonts w:hint="eastAsia" w:ascii="仿宋_GB2312" w:hAnsi="仿宋_GB2312" w:eastAsia="仿宋_GB2312" w:cs="仿宋_GB2312"/>
          <w:color w:val="auto"/>
          <w:sz w:val="24"/>
          <w:szCs w:val="24"/>
          <w:highlight w:val="none"/>
          <w:lang w:val="en-US" w:eastAsia="zh-Hans"/>
        </w:rPr>
        <w:t>，总体与 PC 端规则保持一致。</w:t>
      </w:r>
      <w:r>
        <w:rPr>
          <w:rFonts w:hint="eastAsia" w:ascii="仿宋_GB2312" w:hAnsi="仿宋_GB2312" w:eastAsia="仿宋_GB2312" w:cs="仿宋_GB2312"/>
          <w:color w:val="auto"/>
          <w:sz w:val="24"/>
          <w:szCs w:val="24"/>
          <w:highlight w:val="none"/>
          <w:lang w:val="en-US" w:eastAsia="zh-CN"/>
        </w:rPr>
        <w:t>需通过开发与PC端的接口，实现移动办贷APP发起微贷客户管理、微贷业务新增、续贷、重组、展期；并支持相关授权书、合同、协议等线上签订；贷后管理及微贷业务全流程工作台审查审批。主要实现PC端对应微贷的业务功能</w:t>
      </w:r>
      <w:r>
        <w:rPr>
          <w:rFonts w:hint="eastAsia" w:ascii="仿宋_GB2312" w:hAnsi="仿宋_GB2312" w:eastAsia="仿宋_GB2312" w:cs="仿宋_GB2312"/>
          <w:color w:val="auto"/>
          <w:sz w:val="24"/>
          <w:szCs w:val="24"/>
          <w:highlight w:val="none"/>
          <w:lang w:val="en-US" w:eastAsia="zh-Hans"/>
        </w:rPr>
        <w:t>：</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进件管理。支持代客发起小微业务申请的进件、增加查询外部数据、征信信息、流水信息等内外部数据查询授权（移动端、微信小程序）功能并实时归档影像资料；集成微贷风控工具报告（外部数据客户画像报告、征信报告、流水报告）；自动派单、转派，同时支持客户经理从进件管理直接跳转至小微办理业务</w:t>
      </w:r>
      <w:r>
        <w:rPr>
          <w:rFonts w:hint="eastAsia" w:ascii="仿宋_GB2312" w:hAnsi="仿宋_GB2312" w:eastAsia="仿宋_GB2312" w:cs="仿宋_GB2312"/>
          <w:color w:val="auto"/>
          <w:sz w:val="24"/>
          <w:szCs w:val="24"/>
          <w:highlight w:val="none"/>
          <w:lang w:val="en-US" w:eastAsia="zh-Hans"/>
        </w:rPr>
        <w:t>；</w:t>
      </w:r>
      <w:r>
        <w:rPr>
          <w:rFonts w:hint="eastAsia" w:ascii="仿宋_GB2312" w:hAnsi="仿宋_GB2312" w:eastAsia="仿宋_GB2312" w:cs="仿宋_GB2312"/>
          <w:color w:val="auto"/>
          <w:sz w:val="24"/>
          <w:szCs w:val="24"/>
          <w:highlight w:val="none"/>
          <w:lang w:val="en-US" w:eastAsia="zh-CN"/>
        </w:rPr>
        <w:t>需建设微贷客户进件初筛拦截、预警、额度测算等。</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CN"/>
        </w:rPr>
        <w:t>2.客户管理。支持个人类客户新增、修改、移交、合并、客户类型转换等操作</w:t>
      </w:r>
      <w:r>
        <w:rPr>
          <w:rFonts w:hint="eastAsia" w:ascii="仿宋_GB2312" w:hAnsi="仿宋_GB2312" w:eastAsia="仿宋_GB2312" w:cs="仿宋_GB2312"/>
          <w:color w:val="auto"/>
          <w:sz w:val="24"/>
          <w:szCs w:val="24"/>
          <w:highlight w:val="none"/>
          <w:lang w:val="en-US" w:eastAsia="zh-Hans"/>
        </w:rPr>
        <w:t>；</w:t>
      </w:r>
      <w:r>
        <w:rPr>
          <w:rFonts w:hint="eastAsia" w:ascii="仿宋_GB2312" w:hAnsi="仿宋_GB2312" w:eastAsia="仿宋_GB2312" w:cs="仿宋_GB2312"/>
          <w:color w:val="auto"/>
          <w:sz w:val="24"/>
          <w:szCs w:val="24"/>
          <w:highlight w:val="none"/>
          <w:lang w:val="en-US" w:eastAsia="zh-CN"/>
        </w:rPr>
        <w:t>客户信息支持展示在页面上的重要字段，如关联企业信息，在客户信息相关节点增加查询外部数据、征信信息等内外部数据查询授权（移动端、微信小程序）功能并实时归档影像资料；支持PDF、EXCEL版本流水信息上传（仅需支持安卓收集上传流水文件）；集成微贷风控工具报告（外部数据客户画像报告、征信报告、流水报告）并展示，在客户整个业务过程中均可以关联查询客户三方报告；支持小微个人类客户通过信息更新实现延长授信有效期。客户管理设计上传流水报告功能，但不做强制上传要求，本模块保留最新上传流水解析的报告、最新查得的外部数据客户画像报告、最新解析的征信解析报告。</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3.微贷业务。在</w:t>
      </w:r>
      <w:r>
        <w:rPr>
          <w:rFonts w:hint="eastAsia" w:ascii="仿宋_GB2312" w:hAnsi="仿宋_GB2312" w:eastAsia="仿宋_GB2312" w:cs="仿宋_GB2312"/>
          <w:color w:val="auto"/>
          <w:sz w:val="24"/>
          <w:szCs w:val="24"/>
          <w:highlight w:val="none"/>
          <w:lang w:eastAsia="zh-CN"/>
        </w:rPr>
        <w:t>当前业务系统</w:t>
      </w:r>
      <w:r>
        <w:rPr>
          <w:rFonts w:hint="eastAsia" w:ascii="仿宋_GB2312" w:hAnsi="仿宋_GB2312" w:eastAsia="仿宋_GB2312" w:cs="仿宋_GB2312"/>
          <w:color w:val="auto"/>
          <w:sz w:val="24"/>
          <w:szCs w:val="24"/>
          <w:highlight w:val="none"/>
          <w:lang w:val="en-US" w:eastAsia="zh-CN"/>
        </w:rPr>
        <w:t>中</w:t>
      </w:r>
      <w:r>
        <w:rPr>
          <w:rFonts w:hint="eastAsia" w:ascii="仿宋_GB2312" w:hAnsi="仿宋_GB2312" w:eastAsia="仿宋_GB2312" w:cs="仿宋_GB2312"/>
          <w:color w:val="auto"/>
          <w:sz w:val="24"/>
          <w:szCs w:val="24"/>
          <w:highlight w:val="none"/>
          <w:lang w:eastAsia="zh-CN"/>
        </w:rPr>
        <w:t>新增</w:t>
      </w:r>
      <w:r>
        <w:rPr>
          <w:rFonts w:hint="eastAsia" w:ascii="仿宋_GB2312" w:hAnsi="仿宋_GB2312" w:eastAsia="仿宋_GB2312" w:cs="仿宋_GB2312"/>
          <w:color w:val="auto"/>
          <w:sz w:val="24"/>
          <w:szCs w:val="24"/>
          <w:highlight w:val="none"/>
          <w:lang w:val="en-US" w:eastAsia="zh-CN"/>
        </w:rPr>
        <w:t>微贷业务办理</w:t>
      </w:r>
      <w:r>
        <w:rPr>
          <w:rFonts w:hint="eastAsia" w:ascii="仿宋_GB2312" w:hAnsi="仿宋_GB2312" w:eastAsia="仿宋_GB2312" w:cs="仿宋_GB2312"/>
          <w:color w:val="auto"/>
          <w:sz w:val="24"/>
          <w:szCs w:val="24"/>
          <w:highlight w:val="none"/>
          <w:lang w:eastAsia="zh-CN"/>
        </w:rPr>
        <w:t>模块，支持个体工商户（含农户个体工商户）、小微企业主（含农户小微企业主）及无证经营户</w:t>
      </w:r>
      <w:r>
        <w:rPr>
          <w:rFonts w:hint="eastAsia" w:ascii="仿宋_GB2312" w:hAnsi="仿宋_GB2312" w:eastAsia="仿宋_GB2312" w:cs="仿宋_GB2312"/>
          <w:color w:val="auto"/>
          <w:sz w:val="24"/>
          <w:szCs w:val="24"/>
          <w:highlight w:val="none"/>
          <w:lang w:val="en-US" w:eastAsia="zh-CN"/>
        </w:rPr>
        <w:t>发起微贷相关信贷产品（</w:t>
      </w:r>
      <w:r>
        <w:rPr>
          <w:rFonts w:hint="eastAsia" w:ascii="仿宋_GB2312" w:hAnsi="仿宋_GB2312" w:eastAsia="仿宋_GB2312" w:cs="仿宋_GB2312"/>
          <w:color w:val="auto"/>
          <w:sz w:val="24"/>
          <w:szCs w:val="24"/>
          <w:highlight w:val="none"/>
          <w:lang w:eastAsia="zh-CN"/>
        </w:rPr>
        <w:t>支持</w:t>
      </w:r>
      <w:r>
        <w:rPr>
          <w:rFonts w:hint="eastAsia" w:ascii="仿宋_GB2312" w:hAnsi="仿宋_GB2312" w:eastAsia="仿宋_GB2312" w:cs="仿宋_GB2312"/>
          <w:color w:val="auto"/>
          <w:sz w:val="24"/>
          <w:szCs w:val="24"/>
          <w:highlight w:val="none"/>
          <w:lang w:val="en-US" w:eastAsia="zh-CN"/>
        </w:rPr>
        <w:t>灵活</w:t>
      </w:r>
      <w:r>
        <w:rPr>
          <w:rFonts w:hint="eastAsia" w:ascii="仿宋_GB2312" w:hAnsi="仿宋_GB2312" w:eastAsia="仿宋_GB2312" w:cs="仿宋_GB2312"/>
          <w:color w:val="auto"/>
          <w:sz w:val="24"/>
          <w:szCs w:val="24"/>
          <w:highlight w:val="none"/>
          <w:lang w:eastAsia="zh-CN"/>
        </w:rPr>
        <w:t>配置</w:t>
      </w:r>
      <w:r>
        <w:rPr>
          <w:rFonts w:hint="eastAsia" w:ascii="仿宋_GB2312" w:hAnsi="仿宋_GB2312" w:eastAsia="仿宋_GB2312" w:cs="仿宋_GB2312"/>
          <w:color w:val="auto"/>
          <w:sz w:val="24"/>
          <w:szCs w:val="24"/>
          <w:highlight w:val="none"/>
          <w:lang w:val="en-US" w:eastAsia="zh-CN"/>
        </w:rPr>
        <w:t>）业务</w:t>
      </w:r>
      <w:r>
        <w:rPr>
          <w:rFonts w:hint="eastAsia" w:ascii="仿宋_GB2312" w:hAnsi="仿宋_GB2312" w:eastAsia="仿宋_GB2312" w:cs="仿宋_GB2312"/>
          <w:color w:val="auto"/>
          <w:sz w:val="24"/>
          <w:szCs w:val="24"/>
          <w:highlight w:val="none"/>
          <w:lang w:eastAsia="zh-CN"/>
        </w:rPr>
        <w:t>（含新增、续贷、重组、展期）</w:t>
      </w:r>
      <w:r>
        <w:rPr>
          <w:rFonts w:hint="eastAsia" w:ascii="仿宋_GB2312" w:hAnsi="仿宋_GB2312" w:eastAsia="仿宋_GB2312" w:cs="仿宋_GB2312"/>
          <w:color w:val="auto"/>
          <w:sz w:val="24"/>
          <w:szCs w:val="24"/>
          <w:highlight w:val="none"/>
          <w:lang w:val="en-US" w:eastAsia="zh-CN"/>
        </w:rPr>
        <w:t>办理（嵌入调查问卷）及风控等检查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支持PDF、EXCEL版本流水信息上传（仅需支持安卓收集上传流水文件），生成及展示微贷风控工具报告中流水报告，在后续业务办理，贷后管理等功能中使用，在客户整个业务过程中均可以关联查询客户微贷风控报告。本模块保留当次业务申请</w:t>
      </w:r>
      <w:r>
        <w:rPr>
          <w:rFonts w:hint="eastAsia" w:ascii="仿宋_GB2312" w:hAnsi="仿宋_GB2312" w:eastAsia="仿宋_GB2312" w:cs="仿宋_GB2312"/>
          <w:color w:val="auto"/>
          <w:sz w:val="24"/>
          <w:szCs w:val="24"/>
          <w:highlight w:val="none"/>
          <w:lang w:eastAsia="zh-CN"/>
        </w:rPr>
        <w:t>上传流水解析的报告、当次查得的外部数据客户画像报告、当次解析的征信解析报告</w:t>
      </w:r>
      <w:r>
        <w:rPr>
          <w:rFonts w:hint="eastAsia" w:ascii="仿宋_GB2312" w:hAnsi="仿宋_GB2312" w:eastAsia="仿宋_GB2312" w:cs="仿宋_GB2312"/>
          <w:color w:val="auto"/>
          <w:sz w:val="24"/>
          <w:szCs w:val="24"/>
          <w:highlight w:val="none"/>
          <w:lang w:val="en-US" w:eastAsia="zh-CN"/>
        </w:rPr>
        <w:t>。</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none"/>
          <w:lang w:val="en-US" w:eastAsia="zh-CN"/>
        </w:rPr>
        <w:t>问卷调查：支持根据客户所属国标行业大类，按照我社设计的行业调查问卷自动匹配生成问卷方案，录入尽调信息，相关数据用于后续交叉验证、风控管理、授信计算等环节。根据调查结果自动生成调查报告。</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交叉验证：基于设计的行业调查问卷问及数据、外部数据客户画像报告、征信解析报告、流水解析报告获得数据，设计数据间交叉检验逻辑并进行验证，形成并展示交叉检验报告并运用于微贷业务办理风控等各环节。</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微贷业务办理模块应同时设计额度管理功能，分别设置授信额度台账、额度冻结解冻、线上额度调整、渠道端执行利率维护等子菜单。</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授信额度台账：为台账展示功能，展示该操作人员权限范围内，所有小微客户授信情况，包括但不限于授信额度、授信有效期、授信客户基本信息等。</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额度冻结解冻：用于当发现被授信对象存在可能影响贷款质量的风险时，对未使用授信额度进行部分冻结、全部冻结，同时用于当风险降低、解除时，对已冻结额度进行部分解冻、全部解冻。</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线上额度调整：用于对授信时明确的渠道端使用额度进行调增、调减。</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渠道端执行利率维护：对客户在渠道端使用贷款利率进行维护功能。</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CN"/>
        </w:rPr>
        <w:t>4.合同管理。支持微贷个性化合同、协议等线下、线上（移动端、微信小程序签订；基于当前影像平台上传合同签订时录音录像资料；基于合同需支持提前录入并预审批受托支付对手等相关信息并增加受托支付配置及录入时检查控制。</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CN"/>
        </w:rPr>
        <w:t>5.贷后管理。按PC端贷后任务及风险提醒改造内容对应调整移动端当前功能；同时嵌入微贷风控工具报告（外部数据客户画像报告、征信报告、流水报告）及授权（支持移动端、微信小程序签署）相关功能；同时支持线上（移动端、微信小程序）签署授权及催收相关电子材料，如：贷款催收通知书等</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6.产品管理。支持移动端完成产品配置相关审查审批。</w:t>
      </w:r>
    </w:p>
    <w:p>
      <w:pPr>
        <w:pageBreakBefore w:val="0"/>
        <w:kinsoku/>
        <w:wordWrap/>
        <w:overflowPunct/>
        <w:topLinePunct w:val="0"/>
        <w:autoSpaceDE/>
        <w:autoSpaceDN/>
        <w:bidi w:val="0"/>
        <w:adjustRightInd/>
        <w:snapToGrid/>
        <w:spacing w:line="560" w:lineRule="exact"/>
        <w:ind w:firstLine="480" w:firstLineChars="200"/>
        <w:textAlignment w:val="auto"/>
        <w:rPr>
          <w:rFonts w:hint="default"/>
          <w:lang w:val="en-US" w:eastAsia="zh-Hans"/>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Calibri" w:eastAsia="仿宋_GB2312" w:cs="Times New Roman"/>
          <w:color w:val="auto"/>
          <w:sz w:val="24"/>
          <w:szCs w:val="24"/>
          <w:highlight w:val="none"/>
          <w:lang w:val="en-US" w:eastAsia="zh-CN"/>
        </w:rPr>
        <w:t>审查审批。支持微贷涉及的各类业务场景通过移动终端审查审批。</w:t>
      </w:r>
    </w:p>
    <w:p>
      <w:pPr>
        <w:numPr>
          <w:ilvl w:val="0"/>
          <w:numId w:val="4"/>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0" w:name="_Toc17177"/>
      <w:r>
        <w:rPr>
          <w:rFonts w:hint="eastAsia" w:ascii="仿宋_GB2312" w:hAnsi="仿宋_GB2312" w:eastAsia="仿宋_GB2312" w:cs="仿宋_GB2312"/>
          <w:color w:val="000000" w:themeColor="text1"/>
          <w:sz w:val="24"/>
          <w:lang w:val="en-US" w:eastAsia="zh-CN"/>
          <w14:textFill>
            <w14:solidFill>
              <w14:schemeClr w14:val="tx1"/>
            </w14:solidFill>
          </w14:textFill>
        </w:rPr>
        <w:t>小程序</w:t>
      </w:r>
      <w:bookmarkEnd w:id="10"/>
    </w:p>
    <w:p>
      <w:pPr>
        <w:pStyle w:val="23"/>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auto"/>
          <w:kern w:val="2"/>
          <w:sz w:val="24"/>
          <w:szCs w:val="24"/>
          <w:highlight w:val="none"/>
          <w:lang w:val="en-US" w:eastAsia="zh-CN" w:bidi="ar-SA"/>
        </w:rPr>
        <w:t>电子合约签署。复用电签功能支持小微相关业务授权文书、合同文书、协议及贷款催收</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通知书等远程签订。</w:t>
      </w:r>
    </w:p>
    <w:p>
      <w:pPr>
        <w:numPr>
          <w:ilvl w:val="0"/>
          <w:numId w:val="4"/>
        </w:numPr>
        <w:spacing w:line="560" w:lineRule="exact"/>
        <w:ind w:left="0" w:leftChars="0" w:firstLine="420" w:firstLineChars="0"/>
        <w:outlineLvl w:val="1"/>
        <w:rPr>
          <w:rFonts w:hint="eastAsia" w:ascii="仿宋_GB2312" w:hAnsi="仿宋_GB2312" w:eastAsia="仿宋_GB2312" w:cs="仿宋_GB2312"/>
          <w:b w:val="0"/>
          <w:bCs w:val="0"/>
          <w:color w:val="auto"/>
          <w:kern w:val="2"/>
          <w:sz w:val="24"/>
          <w:szCs w:val="24"/>
          <w:highlight w:val="none"/>
          <w:lang w:val="en-US" w:eastAsia="zh-CN" w:bidi="ar-SA"/>
        </w:rPr>
      </w:pPr>
      <w:bookmarkStart w:id="11" w:name="_Toc18764"/>
      <w:r>
        <w:rPr>
          <w:rFonts w:hint="eastAsia" w:ascii="仿宋_GB2312" w:hAnsi="仿宋_GB2312" w:eastAsia="仿宋_GB2312" w:cs="仿宋_GB2312"/>
          <w:color w:val="auto"/>
          <w:sz w:val="24"/>
          <w:szCs w:val="24"/>
          <w:highlight w:val="none"/>
          <w:lang w:val="en-US" w:eastAsia="zh-CN"/>
        </w:rPr>
        <w:t>配合关联系统改造联调</w:t>
      </w:r>
      <w:bookmarkEnd w:id="11"/>
    </w:p>
    <w:p>
      <w:pPr>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配合黔农云、公司信贷、风险预警、数据平台、微贷风控工具、外部数据接入管理平台、影像平台、征信前置、安心签前置、人脸识别、反欺诈等系统的联调测试并同步投产。</w:t>
      </w:r>
    </w:p>
    <w:bookmarkEnd w:id="8"/>
    <w:p>
      <w:pPr>
        <w:spacing w:line="560" w:lineRule="exact"/>
        <w:ind w:firstLine="560" w:firstLineChars="200"/>
        <w:outlineLvl w:val="0"/>
        <w:rPr>
          <w:rFonts w:hint="eastAsia" w:ascii="黑体" w:hAnsi="黑体" w:eastAsia="黑体" w:cs="Times New Roman"/>
          <w:color w:val="000000" w:themeColor="text1"/>
          <w:sz w:val="28"/>
          <w:szCs w:val="28"/>
          <w:lang w:val="en-US" w:eastAsia="zh-CN"/>
          <w14:textFill>
            <w14:solidFill>
              <w14:schemeClr w14:val="tx1"/>
            </w14:solidFill>
          </w14:textFill>
        </w:rPr>
      </w:pPr>
      <w:bookmarkStart w:id="12" w:name="_Toc15340"/>
      <w:r>
        <w:rPr>
          <w:rFonts w:hint="eastAsia" w:ascii="黑体" w:hAnsi="黑体" w:eastAsia="黑体" w:cs="Times New Roman"/>
          <w:color w:val="000000" w:themeColor="text1"/>
          <w:sz w:val="28"/>
          <w:szCs w:val="28"/>
          <w:lang w:val="en-US" w:eastAsia="zh-CN"/>
          <w14:textFill>
            <w14:solidFill>
              <w14:schemeClr w14:val="tx1"/>
            </w14:solidFill>
          </w14:textFill>
        </w:rPr>
        <w:t>三、非功能需求</w:t>
      </w:r>
      <w:bookmarkEnd w:id="12"/>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bookmarkStart w:id="13" w:name="_Toc15441"/>
      <w:r>
        <w:rPr>
          <w:rFonts w:hint="eastAsia" w:ascii="仿宋_GB2312" w:hAnsi="仿宋_GB2312" w:eastAsia="仿宋_GB2312" w:cs="仿宋_GB2312"/>
          <w:color w:val="000000" w:themeColor="text1"/>
          <w:sz w:val="24"/>
          <w:lang w:val="en-US" w:eastAsia="zh-CN"/>
          <w14:textFill>
            <w14:solidFill>
              <w14:schemeClr w14:val="tx1"/>
            </w14:solidFill>
          </w14:textFill>
        </w:rPr>
        <w:t>IT架构要求</w:t>
      </w:r>
      <w:bookmarkEnd w:id="13"/>
    </w:p>
    <w:p>
      <w:pPr>
        <w:pStyle w:val="23"/>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应用系统须支持招标方同城机房应用双活部署、在线运</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行和同时使用，不受授权码（License）、用户数量及部署主机CPU数量等因素的限制。应用系统使用的第三方商用成品中间件（如TongWeb、宝兰德等）除外。</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4" w:name="_Toc14981"/>
      <w:bookmarkStart w:id="15" w:name="_Toc500343581"/>
      <w:r>
        <w:rPr>
          <w:rFonts w:hint="eastAsia" w:ascii="仿宋_GB2312" w:hAnsi="仿宋_GB2312" w:eastAsia="仿宋_GB2312" w:cs="仿宋_GB2312"/>
          <w:color w:val="000000" w:themeColor="text1"/>
          <w:sz w:val="24"/>
          <w:lang w:val="en-US" w:eastAsia="zh-CN"/>
          <w14:textFill>
            <w14:solidFill>
              <w14:schemeClr w14:val="tx1"/>
            </w14:solidFill>
          </w14:textFill>
        </w:rPr>
        <w:t>应用架构要求</w:t>
      </w:r>
      <w:bookmarkEnd w:id="14"/>
      <w:bookmarkEnd w:id="15"/>
    </w:p>
    <w:p>
      <w:pPr>
        <w:pStyle w:val="23"/>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应用系统须满足招标方多级法人（省联社、审计中心、法人社/行）体系下业务管理和使用的同时，能支持招标方在其管辖范围内发起设立机构（如：村镇银行）的使用并满足应用和数据安全隔离性要求。</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6" w:name="_Toc26927"/>
      <w:bookmarkStart w:id="17" w:name="_Toc500343582"/>
      <w:r>
        <w:rPr>
          <w:rFonts w:hint="eastAsia" w:ascii="仿宋_GB2312" w:hAnsi="仿宋_GB2312" w:eastAsia="仿宋_GB2312" w:cs="仿宋_GB2312"/>
          <w:color w:val="000000" w:themeColor="text1"/>
          <w:sz w:val="24"/>
          <w:lang w:val="en-US" w:eastAsia="zh-CN"/>
          <w14:textFill>
            <w14:solidFill>
              <w14:schemeClr w14:val="tx1"/>
            </w14:solidFill>
          </w14:textFill>
        </w:rPr>
        <w:t>硬件部署要求</w:t>
      </w:r>
      <w:bookmarkEnd w:id="16"/>
      <w:bookmarkEnd w:id="17"/>
    </w:p>
    <w:p>
      <w:pPr>
        <w:pStyle w:val="23"/>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应用系统支持主流国产操作系统、数据库、中间件等平台软件。应用系统须支持国产化 PC Server及国产化虚拟化等常用服务器硬件环境的安装部署。</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8" w:name="_Toc11022"/>
      <w:r>
        <w:rPr>
          <w:rFonts w:hint="eastAsia" w:ascii="仿宋_GB2312" w:hAnsi="仿宋_GB2312" w:eastAsia="仿宋_GB2312" w:cs="仿宋_GB2312"/>
          <w:color w:val="000000" w:themeColor="text1"/>
          <w:sz w:val="24"/>
          <w:lang w:val="en-US" w:eastAsia="zh-CN"/>
          <w14:textFill>
            <w14:solidFill>
              <w14:schemeClr w14:val="tx1"/>
            </w14:solidFill>
          </w14:textFill>
        </w:rPr>
        <w:t>性能要求</w:t>
      </w:r>
      <w:bookmarkEnd w:id="18"/>
    </w:p>
    <w:p>
      <w:pPr>
        <w:pStyle w:val="23"/>
        <w:numPr>
          <w:ilvl w:val="0"/>
          <w:numId w:val="6"/>
        </w:numPr>
        <w:spacing w:line="360" w:lineRule="auto"/>
        <w:ind w:left="1265" w:leftChars="0" w:hanging="425"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系统整体性能支持我社未来8-10年的业务发展要求。</w:t>
      </w:r>
    </w:p>
    <w:p>
      <w:pPr>
        <w:pStyle w:val="23"/>
        <w:numPr>
          <w:ilvl w:val="0"/>
          <w:numId w:val="6"/>
        </w:numPr>
        <w:spacing w:line="360" w:lineRule="auto"/>
        <w:ind w:left="1265" w:leftChars="0" w:hanging="425" w:firstLineChars="0"/>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并发用户数是指同一时刻系统处理的请求数，系统应支持实时联机业务并发用户数不小于1200 TPS。</w:t>
      </w:r>
    </w:p>
    <w:p>
      <w:pPr>
        <w:pStyle w:val="23"/>
        <w:numPr>
          <w:ilvl w:val="0"/>
          <w:numId w:val="6"/>
        </w:numPr>
        <w:spacing w:line="360" w:lineRule="auto"/>
        <w:ind w:left="1265" w:leftChars="0" w:hanging="425"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系统资源占用率：为了保证系统能够正常、稳定运行，推荐配置的服务器在业务最高峰或批处理运行期间CPU占用率和内存使用率不应超过70%。</w:t>
      </w:r>
    </w:p>
    <w:p>
      <w:pPr>
        <w:pStyle w:val="23"/>
        <w:numPr>
          <w:ilvl w:val="0"/>
          <w:numId w:val="6"/>
        </w:numPr>
        <w:spacing w:line="360" w:lineRule="auto"/>
        <w:ind w:left="1265" w:leftChars="0" w:hanging="425"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配合我社制定性能测试计划和验收标准，以及测试方案、环境、工具和调优策略（相应的报告文档），配合完成压力测试，确保系统能满足上述性能容量要求。</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9" w:name="_Toc24267"/>
      <w:r>
        <w:rPr>
          <w:rFonts w:hint="eastAsia" w:ascii="仿宋_GB2312" w:hAnsi="仿宋_GB2312" w:eastAsia="仿宋_GB2312" w:cs="仿宋_GB2312"/>
          <w:color w:val="000000" w:themeColor="text1"/>
          <w:sz w:val="24"/>
          <w:lang w:val="en-US" w:eastAsia="zh-CN"/>
          <w14:textFill>
            <w14:solidFill>
              <w14:schemeClr w14:val="tx1"/>
            </w14:solidFill>
          </w14:textFill>
        </w:rPr>
        <w:t>系统灵活性及扩展性要求</w:t>
      </w:r>
      <w:bookmarkEnd w:id="19"/>
    </w:p>
    <w:p>
      <w:pPr>
        <w:pStyle w:val="23"/>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要求系统支持主流国产化架构的硬件设备。要求系统具备松藕合特性，提供系统间标准交互接口。要求系统具备良好的可扩展性，支持面向贵州农信实际情况的二次开发及功能扩展。</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20" w:name="_Toc28336"/>
      <w:r>
        <w:rPr>
          <w:rFonts w:hint="eastAsia" w:ascii="仿宋_GB2312" w:hAnsi="仿宋_GB2312" w:eastAsia="仿宋_GB2312" w:cs="仿宋_GB2312"/>
          <w:color w:val="000000" w:themeColor="text1"/>
          <w:sz w:val="24"/>
          <w:lang w:val="en-US" w:eastAsia="zh-CN"/>
          <w14:textFill>
            <w14:solidFill>
              <w14:schemeClr w14:val="tx1"/>
            </w14:solidFill>
          </w14:textFill>
        </w:rPr>
        <w:t>系统稳定性要求</w:t>
      </w:r>
      <w:bookmarkEnd w:id="20"/>
    </w:p>
    <w:p>
      <w:pPr>
        <w:pStyle w:val="23"/>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系统服务进程在上述“4.性能要求”的条件下能不间断运行，系统须支持7*24小时运行。</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21" w:name="_Toc14366"/>
      <w:r>
        <w:rPr>
          <w:rFonts w:hint="eastAsia" w:ascii="仿宋_GB2312" w:hAnsi="仿宋_GB2312" w:eastAsia="仿宋_GB2312" w:cs="仿宋_GB2312"/>
          <w:color w:val="000000" w:themeColor="text1"/>
          <w:sz w:val="24"/>
          <w:lang w:val="en-US" w:eastAsia="zh-CN"/>
          <w14:textFill>
            <w14:solidFill>
              <w14:schemeClr w14:val="tx1"/>
            </w14:solidFill>
          </w14:textFill>
        </w:rPr>
        <w:t>安全性</w:t>
      </w:r>
      <w:bookmarkEnd w:id="21"/>
    </w:p>
    <w:p>
      <w:pPr>
        <w:pStyle w:val="23"/>
        <w:spacing w:line="360" w:lineRule="auto"/>
        <w:ind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采用有效技术手段，确保系统运行稳定，且系统信息符合我行信息安全基线要求。系统必须在整体架构、网络结构、应用系统、数据库等方面采取安全措施，提供相应安全措施方案，以确保符合安全性要求。</w:t>
      </w:r>
    </w:p>
    <w:p>
      <w:pPr>
        <w:numPr>
          <w:ilvl w:val="0"/>
          <w:numId w:val="5"/>
        </w:numPr>
        <w:spacing w:line="560" w:lineRule="exact"/>
        <w:ind w:left="0" w:leftChars="0" w:firstLine="420" w:firstLineChars="0"/>
        <w:outlineLvl w:val="1"/>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22" w:name="_Toc16688"/>
      <w:r>
        <w:rPr>
          <w:rFonts w:hint="eastAsia" w:ascii="仿宋_GB2312" w:hAnsi="仿宋_GB2312" w:eastAsia="仿宋_GB2312" w:cs="仿宋_GB2312"/>
          <w:color w:val="000000" w:themeColor="text1"/>
          <w:sz w:val="24"/>
          <w:lang w:val="en-US" w:eastAsia="zh-CN"/>
          <w14:textFill>
            <w14:solidFill>
              <w14:schemeClr w14:val="tx1"/>
            </w14:solidFill>
          </w14:textFill>
        </w:rPr>
        <w:t>备份与恢复</w:t>
      </w:r>
      <w:bookmarkEnd w:id="22"/>
    </w:p>
    <w:p>
      <w:pPr>
        <w:pStyle w:val="23"/>
        <w:numPr>
          <w:ilvl w:val="0"/>
          <w:numId w:val="7"/>
        </w:numPr>
        <w:spacing w:line="360" w:lineRule="auto"/>
        <w:ind w:left="1265" w:leftChars="0" w:hanging="425" w:firstLine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支持两级或三级存储架构设计，确保数据不会因为任意单点损坏而丢失。</w:t>
      </w:r>
    </w:p>
    <w:p>
      <w:pPr>
        <w:pStyle w:val="23"/>
        <w:numPr>
          <w:ilvl w:val="0"/>
          <w:numId w:val="7"/>
        </w:numPr>
        <w:spacing w:line="360" w:lineRule="auto"/>
        <w:ind w:left="1265" w:leftChars="0" w:hanging="425" w:firstLineChars="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建立系统应用及数据的定期备份机制，支持冷备和热备两种措施，对过期的备份文件设置定期清理机制，提供备份策略。</w:t>
      </w:r>
    </w:p>
    <w:p>
      <w:pPr>
        <w:pStyle w:val="23"/>
        <w:numPr>
          <w:ilvl w:val="0"/>
          <w:numId w:val="7"/>
        </w:numPr>
        <w:spacing w:line="360" w:lineRule="auto"/>
        <w:ind w:left="1265" w:leftChars="0" w:hanging="425" w:firstLineChars="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建立异常恢复机制，支持应用的热备，有效防范单点故障，保障系统运行的可靠性。系统须支持基于备份文件实现系统应用及数据库的快速恢复。</w:t>
      </w:r>
    </w:p>
    <w:p>
      <w:pPr>
        <w:numPr>
          <w:ilvl w:val="0"/>
          <w:numId w:val="5"/>
        </w:numPr>
        <w:spacing w:line="560" w:lineRule="exact"/>
        <w:ind w:left="0" w:leftChars="0" w:firstLine="420" w:firstLineChars="0"/>
        <w:outlineLvl w:val="1"/>
        <w:rPr>
          <w:rFonts w:hint="default" w:ascii="仿宋_GB2312" w:hAnsi="仿宋_GB2312" w:eastAsia="仿宋_GB2312" w:cs="仿宋_GB2312"/>
          <w:color w:val="000000" w:themeColor="text1"/>
          <w:sz w:val="24"/>
          <w:lang w:val="en-US" w:eastAsia="zh-CN"/>
          <w14:textFill>
            <w14:solidFill>
              <w14:schemeClr w14:val="tx1"/>
            </w14:solidFill>
          </w14:textFill>
        </w:rPr>
      </w:pPr>
      <w:bookmarkStart w:id="23" w:name="_Toc17371"/>
      <w:r>
        <w:rPr>
          <w:rFonts w:hint="eastAsia" w:ascii="仿宋_GB2312" w:hAnsi="仿宋_GB2312" w:eastAsia="仿宋_GB2312" w:cs="仿宋_GB2312"/>
          <w:color w:val="000000" w:themeColor="text1"/>
          <w:sz w:val="24"/>
          <w:lang w:val="en-US" w:eastAsia="zh-CN"/>
          <w14:textFill>
            <w14:solidFill>
              <w14:schemeClr w14:val="tx1"/>
            </w14:solidFill>
          </w14:textFill>
        </w:rPr>
        <w:t>数据要求</w:t>
      </w:r>
      <w:bookmarkEnd w:id="23"/>
    </w:p>
    <w:p>
      <w:pPr>
        <w:numPr>
          <w:ilvl w:val="0"/>
          <w:numId w:val="0"/>
        </w:numPr>
        <w:spacing w:line="560" w:lineRule="exact"/>
        <w:ind w:left="420" w:leftChars="0" w:firstLine="480" w:firstLineChars="200"/>
        <w:outlineLvl w:val="9"/>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系统所产生的数据须符合行方制定的数据标准，如未达到，须按照数据标准对数据结构进行调整。</w:t>
      </w:r>
    </w:p>
    <w:p>
      <w:pPr>
        <w:spacing w:line="560" w:lineRule="exact"/>
        <w:ind w:firstLine="560" w:firstLineChars="200"/>
        <w:outlineLvl w:val="0"/>
        <w:rPr>
          <w:rFonts w:hint="eastAsia" w:ascii="黑体" w:hAnsi="黑体" w:eastAsia="黑体" w:cs="Times New Roman"/>
          <w:color w:val="000000" w:themeColor="text1"/>
          <w:sz w:val="28"/>
          <w:szCs w:val="28"/>
          <w:lang w:eastAsia="zh-CN"/>
          <w14:textFill>
            <w14:solidFill>
              <w14:schemeClr w14:val="tx1"/>
            </w14:solidFill>
          </w14:textFill>
        </w:rPr>
      </w:pPr>
      <w:bookmarkStart w:id="24" w:name="_Toc14442"/>
      <w:r>
        <w:rPr>
          <w:rFonts w:hint="eastAsia" w:ascii="黑体" w:hAnsi="黑体" w:eastAsia="黑体" w:cs="Times New Roman"/>
          <w:color w:val="000000" w:themeColor="text1"/>
          <w:sz w:val="28"/>
          <w:szCs w:val="28"/>
          <w:lang w:eastAsia="zh-CN"/>
          <w14:textFill>
            <w14:solidFill>
              <w14:schemeClr w14:val="tx1"/>
            </w14:solidFill>
          </w14:textFill>
        </w:rPr>
        <w:t>四、项目实施要求</w:t>
      </w:r>
      <w:bookmarkEnd w:id="24"/>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25" w:name="_Toc406425795"/>
      <w:bookmarkStart w:id="26" w:name="_Toc408561391"/>
      <w:bookmarkStart w:id="27" w:name="_Toc410477610"/>
      <w:bookmarkStart w:id="28" w:name="_Toc8828"/>
      <w:r>
        <w:rPr>
          <w:rFonts w:hint="eastAsia" w:ascii="仿宋_GB2312" w:hAnsi="Calibri" w:eastAsia="仿宋_GB2312" w:cs="Times New Roman"/>
          <w:color w:val="000000" w:themeColor="text1"/>
          <w:sz w:val="24"/>
          <w:lang w:val="en-US" w:eastAsia="zh-CN"/>
          <w14:textFill>
            <w14:solidFill>
              <w14:schemeClr w14:val="tx1"/>
            </w14:solidFill>
          </w14:textFill>
        </w:rPr>
        <w:t>总体要求</w:t>
      </w:r>
      <w:bookmarkEnd w:id="25"/>
      <w:bookmarkEnd w:id="26"/>
      <w:bookmarkEnd w:id="27"/>
      <w:bookmarkEnd w:id="28"/>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本项目的实施部分包含前期需求细化，软件的定制化开发、配置、安装、部署、联调、测试等工作。现场实施费用包含在项目整体报价之中，实施服务（含开发、测试、培训等各项现场实施服务）不另计费用。未按时、按质量提交各阶段产出物的，每发生1次，考核（即扣除）1%合同款。</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29" w:name="_Toc406425797"/>
      <w:bookmarkStart w:id="30" w:name="_Toc410477613"/>
      <w:bookmarkStart w:id="31" w:name="_Toc408561394"/>
      <w:bookmarkStart w:id="32" w:name="_Toc5306"/>
      <w:r>
        <w:rPr>
          <w:rFonts w:hint="eastAsia" w:ascii="仿宋_GB2312" w:hAnsi="Calibri" w:eastAsia="仿宋_GB2312" w:cs="Times New Roman"/>
          <w:color w:val="000000" w:themeColor="text1"/>
          <w:sz w:val="24"/>
          <w:lang w:val="en-US" w:eastAsia="zh-CN"/>
          <w14:textFill>
            <w14:solidFill>
              <w14:schemeClr w14:val="tx1"/>
            </w14:solidFill>
          </w14:textFill>
        </w:rPr>
        <w:t>需求分析</w:t>
      </w:r>
      <w:bookmarkEnd w:id="29"/>
      <w:bookmarkEnd w:id="30"/>
      <w:bookmarkEnd w:id="31"/>
      <w:bookmarkEnd w:id="32"/>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中标方与招标方确认和细化系统功能需求，结合系统性能指标，中标方提出合理的商用软硬件需求建议，以便招标方组织评估或采购。</w:t>
      </w:r>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产出物：《需求规格说明书》</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33" w:name="_Toc410477614"/>
      <w:bookmarkStart w:id="34" w:name="_Toc21902"/>
      <w:bookmarkStart w:id="35" w:name="_Toc408561395"/>
      <w:bookmarkStart w:id="36" w:name="_Toc406425798"/>
      <w:r>
        <w:rPr>
          <w:rFonts w:hint="eastAsia" w:ascii="仿宋_GB2312" w:hAnsi="Calibri" w:eastAsia="仿宋_GB2312" w:cs="Times New Roman"/>
          <w:color w:val="000000" w:themeColor="text1"/>
          <w:sz w:val="24"/>
          <w:lang w:val="en-US" w:eastAsia="zh-CN"/>
          <w14:textFill>
            <w14:solidFill>
              <w14:schemeClr w14:val="tx1"/>
            </w14:solidFill>
          </w14:textFill>
        </w:rPr>
        <w:t>系统设计</w:t>
      </w:r>
      <w:bookmarkEnd w:id="33"/>
      <w:bookmarkEnd w:id="34"/>
      <w:bookmarkEnd w:id="35"/>
      <w:bookmarkEnd w:id="36"/>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基于《需求规格说明书》完成系统功能设计、部署架构设计、数据库设计及其他相关内容的设计工作。</w:t>
      </w:r>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产出物：《系统软件设计说明》、《系统数据库设计说明》</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37" w:name="_Toc410477615"/>
      <w:bookmarkStart w:id="38" w:name="_Toc406425799"/>
      <w:bookmarkStart w:id="39" w:name="_Toc4501"/>
      <w:bookmarkStart w:id="40" w:name="_Toc408561396"/>
      <w:r>
        <w:rPr>
          <w:rFonts w:hint="eastAsia" w:ascii="仿宋_GB2312" w:hAnsi="Calibri" w:eastAsia="仿宋_GB2312" w:cs="Times New Roman"/>
          <w:color w:val="000000" w:themeColor="text1"/>
          <w:sz w:val="24"/>
          <w:lang w:val="en-US" w:eastAsia="zh-CN"/>
          <w14:textFill>
            <w14:solidFill>
              <w14:schemeClr w14:val="tx1"/>
            </w14:solidFill>
          </w14:textFill>
        </w:rPr>
        <w:t>开发与测试</w:t>
      </w:r>
      <w:bookmarkEnd w:id="37"/>
      <w:bookmarkEnd w:id="38"/>
      <w:bookmarkEnd w:id="39"/>
      <w:bookmarkEnd w:id="40"/>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实施客户化定制开发，并组织进行系统测试，必须在招标方现场组织实施系统测试，并出具测试报告，包括系统功能测试、与关联系统和设备的集成测试、性能测试，要求出具详细的测试计划、测试报告，测试计划应包含完整的测试用例、数据样本等，并对发现的系统重大缺陷进行修复及回归测试。</w:t>
      </w:r>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产出物：《系统测试计划》、《系统测试报告》可投入试运行的系统程序。</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41" w:name="_Toc21101"/>
      <w:bookmarkStart w:id="42" w:name="_Toc410477616"/>
      <w:bookmarkStart w:id="43" w:name="_Toc406677225"/>
      <w:bookmarkStart w:id="44" w:name="_Toc408561397"/>
      <w:bookmarkStart w:id="45" w:name="_Toc405152312"/>
      <w:bookmarkStart w:id="46" w:name="_Toc406425800"/>
      <w:r>
        <w:rPr>
          <w:rFonts w:hint="eastAsia" w:ascii="仿宋_GB2312" w:hAnsi="Calibri" w:eastAsia="仿宋_GB2312" w:cs="Times New Roman"/>
          <w:color w:val="000000" w:themeColor="text1"/>
          <w:sz w:val="24"/>
          <w:lang w:val="en-US" w:eastAsia="zh-CN"/>
          <w14:textFill>
            <w14:solidFill>
              <w14:schemeClr w14:val="tx1"/>
            </w14:solidFill>
          </w14:textFill>
        </w:rPr>
        <w:t>系统使用培训</w:t>
      </w:r>
      <w:bookmarkEnd w:id="41"/>
      <w:bookmarkEnd w:id="42"/>
      <w:bookmarkEnd w:id="43"/>
      <w:bookmarkEnd w:id="44"/>
      <w:bookmarkEnd w:id="45"/>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中标方应按招标方要求制定详细的培训计划，培训对象包括系统开发、运维人员、业务人员等，并按计划组织开展系统推广培训，培训费用包含在实施费用中，不另计费用。</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47" w:name="_Toc408561398"/>
      <w:bookmarkStart w:id="48" w:name="_Toc410477617"/>
      <w:bookmarkStart w:id="49" w:name="_Toc8144"/>
      <w:r>
        <w:rPr>
          <w:rFonts w:hint="eastAsia" w:ascii="仿宋_GB2312" w:hAnsi="Calibri" w:eastAsia="仿宋_GB2312" w:cs="Times New Roman"/>
          <w:color w:val="000000" w:themeColor="text1"/>
          <w:sz w:val="24"/>
          <w:lang w:val="en-US" w:eastAsia="zh-CN"/>
          <w14:textFill>
            <w14:solidFill>
              <w14:schemeClr w14:val="tx1"/>
            </w14:solidFill>
          </w14:textFill>
        </w:rPr>
        <w:t>试运行</w:t>
      </w:r>
      <w:bookmarkEnd w:id="46"/>
      <w:bookmarkEnd w:id="47"/>
      <w:bookmarkEnd w:id="48"/>
      <w:bookmarkEnd w:id="49"/>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中标人应完成系统安装集成，包括操作系统、数据库、中间件、应用系统安装及优化，其中操作系统、数据库、中间件等第三方商用软件由招标方提供。</w:t>
      </w:r>
    </w:p>
    <w:p>
      <w:pPr>
        <w:pStyle w:val="23"/>
        <w:spacing w:line="360" w:lineRule="auto"/>
        <w:ind w:firstLineChars="0"/>
        <w:rPr>
          <w:color w:val="000000" w:themeColor="text1"/>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中标方应按招标方要求，配合组织实施系统试运行工作，修复试运行过程中出现的问题，编写《试运行报告》。</w:t>
      </w:r>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产出物：《系统安装手册》、《系统用户手册》、《系统运维手册》、《系统试运行报告》。</w:t>
      </w:r>
    </w:p>
    <w:p>
      <w:pPr>
        <w:numPr>
          <w:ilvl w:val="0"/>
          <w:numId w:val="8"/>
        </w:numPr>
        <w:spacing w:line="560" w:lineRule="exact"/>
        <w:ind w:left="0" w:leftChars="0" w:firstLine="420" w:firstLineChars="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50" w:name="_Toc408561399"/>
      <w:bookmarkStart w:id="51" w:name="_Toc406425801"/>
      <w:bookmarkStart w:id="52" w:name="_Toc410477618"/>
      <w:bookmarkStart w:id="53" w:name="_Toc31697"/>
      <w:r>
        <w:rPr>
          <w:rFonts w:hint="eastAsia" w:ascii="仿宋_GB2312" w:hAnsi="Calibri" w:eastAsia="仿宋_GB2312" w:cs="Times New Roman"/>
          <w:color w:val="000000" w:themeColor="text1"/>
          <w:sz w:val="24"/>
          <w:lang w:val="en-US" w:eastAsia="zh-CN"/>
          <w14:textFill>
            <w14:solidFill>
              <w14:schemeClr w14:val="tx1"/>
            </w14:solidFill>
          </w14:textFill>
        </w:rPr>
        <w:t>正式投产</w:t>
      </w:r>
      <w:bookmarkEnd w:id="50"/>
      <w:bookmarkEnd w:id="51"/>
      <w:bookmarkEnd w:id="52"/>
      <w:bookmarkEnd w:id="53"/>
    </w:p>
    <w:p>
      <w:pPr>
        <w:pStyle w:val="23"/>
        <w:spacing w:line="360" w:lineRule="auto"/>
        <w:ind w:firstLineChars="0"/>
        <w:rPr>
          <w:rFonts w:hint="eastAsia" w:ascii="仿宋_GB2312" w:hAnsi="Calibri" w:eastAsia="仿宋_GB2312" w:cs="Times New Roman"/>
          <w:color w:val="000000" w:themeColor="text1"/>
          <w:sz w:val="24"/>
          <w:szCs w:val="24"/>
          <w:lang w:val="en-US" w:eastAsia="zh-CN"/>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试运行成功后，按招标方要求完成系统投产上线工作。</w:t>
      </w:r>
    </w:p>
    <w:p>
      <w:pPr>
        <w:spacing w:line="560" w:lineRule="exact"/>
        <w:ind w:firstLine="560" w:firstLineChars="200"/>
        <w:outlineLvl w:val="0"/>
        <w:rPr>
          <w:rFonts w:hint="eastAsia" w:ascii="黑体" w:hAnsi="黑体" w:eastAsia="黑体" w:cs="Times New Roman"/>
          <w:color w:val="000000" w:themeColor="text1"/>
          <w:sz w:val="28"/>
          <w:szCs w:val="28"/>
          <w:lang w:val="en-US" w:eastAsia="zh-CN"/>
          <w14:textFill>
            <w14:solidFill>
              <w14:schemeClr w14:val="tx1"/>
            </w14:solidFill>
          </w14:textFill>
        </w:rPr>
      </w:pPr>
      <w:bookmarkStart w:id="54" w:name="_Toc32638"/>
      <w:r>
        <w:rPr>
          <w:rFonts w:hint="eastAsia" w:ascii="黑体" w:hAnsi="黑体" w:eastAsia="黑体" w:cs="Times New Roman"/>
          <w:color w:val="000000" w:themeColor="text1"/>
          <w:sz w:val="28"/>
          <w:szCs w:val="28"/>
          <w:lang w:val="en-US" w:eastAsia="zh-CN"/>
          <w14:textFill>
            <w14:solidFill>
              <w14:schemeClr w14:val="tx1"/>
            </w14:solidFill>
          </w14:textFill>
        </w:rPr>
        <w:t>五、项目管理要求</w:t>
      </w:r>
      <w:bookmarkEnd w:id="54"/>
    </w:p>
    <w:p>
      <w:pPr>
        <w:pStyle w:val="4"/>
        <w:keepNext w:val="0"/>
        <w:keepLines w:val="0"/>
        <w:pageBreakBefore w:val="0"/>
        <w:widowControl w:val="0"/>
        <w:numPr>
          <w:ilvl w:val="1"/>
          <w:numId w:val="0"/>
        </w:numPr>
        <w:tabs>
          <w:tab w:val="left" w:pos="0"/>
        </w:tabs>
        <w:kinsoku/>
        <w:wordWrap/>
        <w:overflowPunct w:val="0"/>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55" w:name="_Toc423613179"/>
      <w:bookmarkStart w:id="56" w:name="_Toc247358690"/>
      <w:bookmarkStart w:id="57" w:name="_Toc246492792"/>
      <w:bookmarkStart w:id="58" w:name="_Toc20185"/>
      <w:bookmarkStart w:id="59" w:name="_Toc16605"/>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中标方项目组织架构</w:t>
      </w:r>
      <w:bookmarkEnd w:id="55"/>
      <w:bookmarkEnd w:id="56"/>
      <w:bookmarkEnd w:id="57"/>
      <w:bookmarkEnd w:id="58"/>
      <w:bookmarkEnd w:id="59"/>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需组建完备的项目团队负责本项目建设，团队应至少包含一名项目经理、若干名工程师，派驻现场的技术人员应具备一定的投标产品（或类似）项目实施经验，招标方有权对派驻现场的技术人员进行水平考核，对于不合格的，有权要求中标方予以更换。</w:t>
      </w:r>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项目实施过程中，中标方所有项目组成员需遵守：</w:t>
      </w:r>
    </w:p>
    <w:p>
      <w:pPr>
        <w:pStyle w:val="24"/>
        <w:widowControl/>
        <w:numPr>
          <w:ilvl w:val="0"/>
          <w:numId w:val="9"/>
        </w:numPr>
        <w:tabs>
          <w:tab w:val="left" w:pos="0"/>
        </w:tabs>
        <w:spacing w:line="360" w:lineRule="auto"/>
        <w:ind w:left="0" w:firstLine="480" w:firstLineChars="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必须在招标方现场办公；</w:t>
      </w:r>
    </w:p>
    <w:p>
      <w:pPr>
        <w:pStyle w:val="24"/>
        <w:widowControl/>
        <w:numPr>
          <w:ilvl w:val="0"/>
          <w:numId w:val="9"/>
        </w:numPr>
        <w:tabs>
          <w:tab w:val="left" w:pos="0"/>
        </w:tabs>
        <w:spacing w:line="360" w:lineRule="auto"/>
        <w:ind w:left="0" w:firstLine="480" w:firstLineChars="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不在现场超过1天须向招标方提出书面申请，获得同意后方可离开； </w:t>
      </w:r>
    </w:p>
    <w:p>
      <w:pPr>
        <w:pStyle w:val="24"/>
        <w:widowControl/>
        <w:numPr>
          <w:ilvl w:val="0"/>
          <w:numId w:val="9"/>
        </w:numPr>
        <w:tabs>
          <w:tab w:val="left" w:pos="0"/>
        </w:tabs>
        <w:spacing w:line="360" w:lineRule="auto"/>
        <w:ind w:left="0" w:firstLine="480" w:firstLineChars="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人员更换须向招标方提出书面申请，获得同意后方可更换；</w:t>
      </w:r>
    </w:p>
    <w:p>
      <w:pPr>
        <w:pStyle w:val="24"/>
        <w:widowControl/>
        <w:numPr>
          <w:ilvl w:val="0"/>
          <w:numId w:val="9"/>
        </w:numPr>
        <w:tabs>
          <w:tab w:val="left" w:pos="0"/>
        </w:tabs>
        <w:spacing w:line="360" w:lineRule="auto"/>
        <w:ind w:left="0" w:firstLine="480" w:firstLineChars="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必须遵守招标方现场工作纪律规定。</w:t>
      </w:r>
    </w:p>
    <w:p>
      <w:pPr>
        <w:pStyle w:val="6"/>
        <w:bidi w:val="0"/>
        <w:ind w:left="0" w:leftChars="0" w:firstLine="402" w:firstLineChars="0"/>
        <w:rPr>
          <w:rFonts w:hint="eastAsia"/>
          <w:color w:val="000000" w:themeColor="text1"/>
          <w14:textFill>
            <w14:solidFill>
              <w14:schemeClr w14:val="tx1"/>
            </w14:solidFill>
          </w14:textFill>
        </w:rPr>
      </w:pPr>
      <w:bookmarkStart w:id="60" w:name="_Toc247358693"/>
      <w:bookmarkStart w:id="61" w:name="_Toc423613180"/>
      <w:r>
        <w:rPr>
          <w:rFonts w:hint="eastAsia"/>
          <w:color w:val="000000" w:themeColor="text1"/>
          <w14:textFill>
            <w14:solidFill>
              <w14:schemeClr w14:val="tx1"/>
            </w14:solidFill>
          </w14:textFill>
        </w:rPr>
        <w:t>中标方项目经理</w:t>
      </w:r>
      <w:bookmarkEnd w:id="60"/>
      <w:bookmarkEnd w:id="61"/>
    </w:p>
    <w:p>
      <w:pPr>
        <w:numPr>
          <w:ilvl w:val="0"/>
          <w:numId w:val="1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中标方须</w:t>
      </w:r>
      <w:bookmarkStart w:id="62" w:name="OLE_LINK10"/>
      <w:bookmarkStart w:id="63" w:name="OLE_LINK7"/>
      <w:r>
        <w:rPr>
          <w:rFonts w:hint="eastAsia" w:ascii="仿宋_GB2312" w:hAnsi="仿宋_GB2312" w:eastAsia="仿宋_GB2312" w:cs="仿宋_GB2312"/>
          <w:color w:val="000000" w:themeColor="text1"/>
          <w:sz w:val="24"/>
          <w:szCs w:val="24"/>
          <w14:textFill>
            <w14:solidFill>
              <w14:schemeClr w14:val="tx1"/>
            </w14:solidFill>
          </w14:textFill>
        </w:rPr>
        <w:t>指</w:t>
      </w:r>
      <w:bookmarkEnd w:id="62"/>
      <w:bookmarkEnd w:id="63"/>
      <w:r>
        <w:rPr>
          <w:rFonts w:hint="eastAsia" w:ascii="仿宋_GB2312" w:hAnsi="仿宋_GB2312" w:eastAsia="仿宋_GB2312" w:cs="仿宋_GB2312"/>
          <w:color w:val="000000" w:themeColor="text1"/>
          <w:sz w:val="24"/>
          <w:szCs w:val="24"/>
          <w14:textFill>
            <w14:solidFill>
              <w14:schemeClr w14:val="tx1"/>
            </w14:solidFill>
          </w14:textFill>
        </w:rPr>
        <w:t>派项目经理一人，且须和投标文件的项目经理一致；</w:t>
      </w:r>
    </w:p>
    <w:p>
      <w:pPr>
        <w:numPr>
          <w:ilvl w:val="0"/>
          <w:numId w:val="1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项目经理须熟练掌握项目管理、信息安全和质量管理相关知识，有3年以上省级大型软件项目的管理经验；</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项目全程项目经理必须在现场工作，负责项目管理、协调和沟通等工作；</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项目经理对中标方已经完成的工作负有最终责任。项目经理必须使本项目在预算范围内按时优质完成；</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项目经理应具有代表中标方全权负责本项目的商务和技术的权力。项目经理能代表中标方签收招标方出具的相关项目管理文件；</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在项目经理工作不得力的情况下（如权力不够、技术不熟、管理不当等），招标方有权要求中标方更换项目经理。由此造成的项目进度的延误，由中标方承担责任。</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14:textFill>
            <w14:solidFill>
              <w14:schemeClr w14:val="tx1"/>
            </w14:solidFill>
          </w14:textFill>
        </w:rPr>
        <w:t>投标方必须满足上述项目管理人事要求，其应标所报人数及资质将作为评标依据及中标后的考核依据。</w:t>
      </w:r>
    </w:p>
    <w:p>
      <w:pPr>
        <w:pStyle w:val="6"/>
        <w:bidi w:val="0"/>
        <w:ind w:left="0" w:leftChars="0" w:firstLine="402" w:firstLineChars="0"/>
        <w:rPr>
          <w:rFonts w:hint="eastAsia"/>
          <w:color w:val="000000" w:themeColor="text1"/>
          <w14:textFill>
            <w14:solidFill>
              <w14:schemeClr w14:val="tx1"/>
            </w14:solidFill>
          </w14:textFill>
        </w:rPr>
      </w:pPr>
      <w:bookmarkStart w:id="64" w:name="_Toc423613181"/>
      <w:bookmarkStart w:id="65" w:name="_Toc247358694"/>
      <w:r>
        <w:rPr>
          <w:rFonts w:hint="eastAsia"/>
          <w:color w:val="000000" w:themeColor="text1"/>
          <w14:textFill>
            <w14:solidFill>
              <w14:schemeClr w14:val="tx1"/>
            </w14:solidFill>
          </w14:textFill>
        </w:rPr>
        <w:t>中标方项目团队</w:t>
      </w:r>
      <w:bookmarkEnd w:id="64"/>
      <w:bookmarkEnd w:id="65"/>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投标人应该在对本项目具体工作内容充分理解和切合实际的项目干系人分析基础上对于项目整体人员需求提出估计和建议，并对项目组织架构提出合理化建议。投标方应标时，须提交项目组织结构图，并对项目角色和职责进行描述。</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投标方应标时，须按以下格式提交项目组成员名单及简历。简历须包括相关工作年限、学历、相关资质证书、以往参与项目情况、在本项目承担的角色等。</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95"/>
        <w:gridCol w:w="849"/>
        <w:gridCol w:w="1156"/>
        <w:gridCol w:w="1733"/>
        <w:gridCol w:w="28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序号</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姓名</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相关工作年限</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毕业院校</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专业</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学历</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在本项目承担的角色</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相关资质证书</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422"/>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以往参与项目情况</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widowControl/>
              <w:spacing w:line="360" w:lineRule="auto"/>
              <w:ind w:firstLine="420"/>
              <w:rPr>
                <w:rFonts w:hint="eastAsia" w:ascii="仿宋_GB2312" w:hAnsi="仿宋_GB2312" w:eastAsia="仿宋_GB2312" w:cs="仿宋_GB2312"/>
                <w:color w:val="000000" w:themeColor="text1"/>
                <w:sz w:val="24"/>
                <w:szCs w:val="24"/>
                <w14:textFill>
                  <w14:solidFill>
                    <w14:schemeClr w14:val="tx1"/>
                  </w14:solidFill>
                </w14:textFill>
              </w:rPr>
            </w:pPr>
          </w:p>
        </w:tc>
      </w:tr>
    </w:tbl>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中标方必须保证参与项目实施人员的数量应能够保证项目进度与质量；</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招标方有对中标方参与项目人员进行面试的权力。对于不满足招标方要求的人员，招标方有权要求中标方无条件更换，且不能影响项目进度；</w:t>
      </w:r>
    </w:p>
    <w:p>
      <w:pPr>
        <w:keepNext w:val="0"/>
        <w:keepLines w:val="0"/>
        <w:pageBreakBefore w:val="0"/>
        <w:numPr>
          <w:ilvl w:val="0"/>
          <w:numId w:val="0"/>
        </w:numPr>
        <w:kinsoku/>
        <w:wordWrap/>
        <w:topLinePunct w:val="0"/>
        <w:bidi w:val="0"/>
        <w:adjustRightInd/>
        <w:snapToGrid/>
        <w:spacing w:line="360" w:lineRule="auto"/>
        <w:ind w:left="480"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中标方必须保证人员组织的稳定性，在系统投入试运行前，中标方不得抽调项目组成员。在本项目结束前，参加本项目的人员变动必须取得招标方同意，并立即安排拟订候补人员予以补充。招标方保留拒绝中标方人员变更要求的权利；</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66" w:name="_Toc423613182"/>
      <w:bookmarkStart w:id="67" w:name="_Toc247358695"/>
      <w:bookmarkStart w:id="68" w:name="_Toc17872"/>
      <w:bookmarkStart w:id="69" w:name="_Toc246492793"/>
      <w:bookmarkStart w:id="70" w:name="_Toc245888263"/>
      <w:bookmarkStart w:id="71" w:name="_Toc246469703"/>
      <w:bookmarkStart w:id="72" w:name="_Toc7485"/>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二</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质量管理</w:t>
      </w:r>
      <w:bookmarkEnd w:id="66"/>
      <w:bookmarkEnd w:id="67"/>
      <w:bookmarkEnd w:id="68"/>
      <w:bookmarkEnd w:id="69"/>
      <w:bookmarkEnd w:id="70"/>
      <w:bookmarkEnd w:id="71"/>
      <w:bookmarkEnd w:id="72"/>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中标方须建立独立于项目设计与实施的质量保证机制，建立一套全面的项目质量管理体系；</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中标方需要有质量保证人员来对项目的设计与实施进行审查，从而保证工作过程和项目的质量；</w:t>
      </w:r>
    </w:p>
    <w:p>
      <w:pPr>
        <w:numPr>
          <w:ilvl w:val="0"/>
          <w:numId w:val="0"/>
        </w:numPr>
        <w:spacing w:line="360" w:lineRule="auto"/>
        <w:ind w:left="48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中标方须进行质量监测和关键点的质量评估；</w:t>
      </w:r>
    </w:p>
    <w:p>
      <w:pPr>
        <w:keepNext w:val="0"/>
        <w:keepLines w:val="0"/>
        <w:pageBreakBefore w:val="0"/>
        <w:numPr>
          <w:ilvl w:val="0"/>
          <w:numId w:val="0"/>
        </w:numPr>
        <w:kinsoku/>
        <w:wordWrap/>
        <w:topLinePunct w:val="0"/>
        <w:bidi w:val="0"/>
        <w:adjustRightInd/>
        <w:snapToGrid/>
        <w:spacing w:line="360" w:lineRule="auto"/>
        <w:ind w:left="480"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为保证项目的正常运行，投标方应提供项目执行跟踪和监控的具体措施，措施应包括项目状态周报制度、每周项目例会制度、阶段总结制度等；</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73" w:name="_Toc247358696"/>
      <w:bookmarkStart w:id="74" w:name="_Toc423613183"/>
      <w:bookmarkStart w:id="75" w:name="_Toc21905"/>
      <w:bookmarkStart w:id="76" w:name="_Toc26442"/>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三</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进度管理</w:t>
      </w:r>
      <w:bookmarkEnd w:id="73"/>
      <w:bookmarkEnd w:id="74"/>
      <w:bookmarkEnd w:id="75"/>
      <w:bookmarkEnd w:id="76"/>
    </w:p>
    <w:p>
      <w:pPr>
        <w:keepNext w:val="0"/>
        <w:keepLines w:val="0"/>
        <w:pageBreakBefore w:val="0"/>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的实施包含需求分析、系统设计、开发与测试、试运行、正式投产等阶段。中标方应根据招标方关于项目进度的要求制定详细的工作计划，按照计划执行，各阶段时间不能超过完成时限，且需提供相应的产出物，以供招标方核查。</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77" w:name="_Toc317256787"/>
      <w:bookmarkStart w:id="78" w:name="_Toc425932833"/>
      <w:bookmarkStart w:id="79" w:name="_Toc30573"/>
      <w:bookmarkStart w:id="80" w:name="_Toc5866"/>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四</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工作规范要求</w:t>
      </w:r>
      <w:bookmarkEnd w:id="77"/>
      <w:bookmarkEnd w:id="78"/>
      <w:bookmarkEnd w:id="79"/>
      <w:bookmarkEnd w:id="80"/>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中标方在开展测试服务工作期间，须严格遵守以下工作规范要求：</w:t>
      </w:r>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遵守国家法律和政府的有关条例、规定和办法，以及招标方相关管理规定开展工作；</w:t>
      </w:r>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执行有关项目建设的法律、法规、规范、标准和制度，履行测试服务规定的义务和职责；</w:t>
      </w:r>
    </w:p>
    <w:p>
      <w:pPr>
        <w:keepNext w:val="0"/>
        <w:keepLines w:val="0"/>
        <w:pageBreakBefore w:val="0"/>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中标方在签署技术协议时，须同步签订《安全协议》及《保密承诺书》并严格履行协议和承诺书条款。不泄漏所测试系统各方认为需要保密的事项。</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81" w:name="_Toc5707"/>
      <w:bookmarkStart w:id="82" w:name="_Toc425932835"/>
      <w:bookmarkStart w:id="83" w:name="_Toc22469"/>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五</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风险控制要求</w:t>
      </w:r>
      <w:bookmarkEnd w:id="81"/>
      <w:bookmarkEnd w:id="82"/>
      <w:bookmarkEnd w:id="83"/>
    </w:p>
    <w:p>
      <w:pPr>
        <w:keepNext w:val="0"/>
        <w:keepLines w:val="0"/>
        <w:pageBreakBefore w:val="0"/>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中标方应对项目实施过程中可能遇到的风险、影响程度、发生概率进行说明，并给出风险应对计划。</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84" w:name="_Toc19991"/>
      <w:bookmarkStart w:id="85" w:name="_Toc12714"/>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六</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项目交付</w:t>
      </w:r>
      <w:bookmarkEnd w:id="84"/>
      <w:bookmarkEnd w:id="85"/>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中标方必须在合同规定时间内，完成本项目的开发和实施。将招标范围内所界定的工作完成。在通过试运行验收后，中标方需将所有项目成果交付给招标方。</w:t>
      </w:r>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项目成果交付物必须与实际工作相对应，保证两者间的一致性。</w:t>
      </w:r>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严格管理交付物版本，保证招标方对于交付物各版本的可追溯性。</w:t>
      </w:r>
    </w:p>
    <w:p>
      <w:pPr>
        <w:keepNext w:val="0"/>
        <w:keepLines w:val="0"/>
        <w:pageBreakBefore w:val="0"/>
        <w:widowControl/>
        <w:kinsoku/>
        <w:wordWrap/>
        <w:overflowPunct/>
        <w:topLinePunct w:val="0"/>
        <w:bidi w:val="0"/>
        <w:adjustRightInd/>
        <w:snapToGrid/>
        <w:spacing w:line="360" w:lineRule="auto"/>
        <w:ind w:firstLine="48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其它：应提供其它与本系统实施和运行有关的文档和资料。</w:t>
      </w:r>
    </w:p>
    <w:p>
      <w:pPr>
        <w:pStyle w:val="5"/>
        <w:keepNext w:val="0"/>
        <w:keepLines w:val="0"/>
        <w:pageBreakBefore w:val="0"/>
        <w:numPr>
          <w:ilvl w:val="2"/>
          <w:numId w:val="0"/>
        </w:numPr>
        <w:tabs>
          <w:tab w:val="left" w:pos="0"/>
        </w:tabs>
        <w:kinsoku/>
        <w:wordWrap/>
        <w:overflowPunct/>
        <w:topLinePunct w:val="0"/>
        <w:bidi w:val="0"/>
        <w:adjustRightInd/>
        <w:snapToGrid/>
        <w:spacing w:before="163" w:after="163" w:line="360" w:lineRule="auto"/>
        <w:ind w:leftChars="0"/>
        <w:textAlignment w:val="auto"/>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86" w:name="_Toc406425809"/>
      <w:bookmarkStart w:id="87" w:name="_Toc410723689"/>
      <w:bookmarkStart w:id="88" w:name="_Toc408473421"/>
      <w:bookmarkStart w:id="89" w:name="_Toc3360"/>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七</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交付清单</w:t>
      </w:r>
      <w:bookmarkEnd w:id="86"/>
      <w:bookmarkEnd w:id="87"/>
      <w:bookmarkEnd w:id="88"/>
      <w:bookmarkEnd w:id="89"/>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本项目交付的所有文档均应提交电子版及印刷版，另有说明的除外，交付物内容必须与实际工作情况相一致，其质量必须符合招标方的要求。</w:t>
      </w:r>
    </w:p>
    <w:p>
      <w:pPr>
        <w:spacing w:line="360" w:lineRule="auto"/>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bookmarkStart w:id="90" w:name="_Toc406425810"/>
      <w:r>
        <w:rPr>
          <w:rFonts w:hint="eastAsia" w:ascii="仿宋_GB2312" w:hAnsi="仿宋_GB2312" w:eastAsia="仿宋_GB2312" w:cs="仿宋_GB2312"/>
          <w:color w:val="000000" w:themeColor="text1"/>
          <w:sz w:val="24"/>
          <w:szCs w:val="24"/>
          <w14:textFill>
            <w14:solidFill>
              <w14:schemeClr w14:val="tx1"/>
            </w14:solidFill>
          </w14:textFill>
        </w:rPr>
        <w:t>1．满足本招标文件的项目目标和相应的技术、业务要求的文档，包括但不限于：</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Chars="83"/>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项目阶段</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72" w:firstLineChars="196"/>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交付物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99" w:firstLineChars="8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需求分析</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《项目主计划》、《项目进度计划》、《业务需求说明书》、《需求规格说明书》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99" w:firstLineChars="8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概要设计</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《系统软件总体设计方案》、《系统软件安全设计方案》</w:t>
            </w:r>
          </w:p>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《系统概要设计说明书》、《数据库概要设计说明书》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99" w:firstLineChars="8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详细设计</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《系统详细设计说明书》、《系统服务及接口详细设计说明书》、《数据库详细设计说明书》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编码开发及单元测试</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《系统源代码清单及源码》、《代码审查报告》、《单元测试计划》、《单元测试案例》、《单元测试报告》、《配置手册》、《开发手册》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集成测试</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《集成测试计划》、《集成测试方案》、《集成测试案例》、《集成测试报告》、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系统测试（SIT）</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《系统部署手册》、《SIT测试方案》、《SIT测试案例》、《SIT测试报告》、《性能测试方案》、《性能测试报告》、《安全测试报告》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用户培训</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《用户培训计划》、《用户培训课件》、《用户培训记录》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用户验收测试（UAT）</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《UAT测试方案》、《UAT测试案例》、《UAT测试报告》、《用户操作手册》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试运行投产</w:t>
            </w:r>
          </w:p>
        </w:tc>
        <w:tc>
          <w:tcPr>
            <w:tcW w:w="68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《系统试运行方案》、《系统应急及回退方案》、《系统试运行报告》</w:t>
            </w:r>
          </w:p>
        </w:tc>
      </w:tr>
    </w:tbl>
    <w:p>
      <w:pPr>
        <w:keepNext w:val="0"/>
        <w:keepLines w:val="0"/>
        <w:pageBreakBefore w:val="0"/>
        <w:widowControl/>
        <w:kinsoku/>
        <w:wordWrap/>
        <w:overflowPunct/>
        <w:topLinePunct w:val="0"/>
        <w:autoSpaceDE/>
        <w:autoSpaceDN/>
        <w:bidi w:val="0"/>
        <w:adjustRightInd/>
        <w:snapToGrid/>
        <w:spacing w:line="360" w:lineRule="auto"/>
        <w:ind w:firstLine="482"/>
        <w:textAlignment w:val="auto"/>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与本次设计、实施工作相关的其他辅助文件，包括但不限于以下文件：</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《项目工作计划书》</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《会议记录》</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中标方项目团队情况介绍</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项目里程碑</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验收申请书、评审申请书</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所引用的完整标准文件</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阶段性工作报告</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阶段性项目成果</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技术服务和技术服务相关资料</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交付项资料清单</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验收报告</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管理员手册（含相关账号与密码）</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软硬件配置清单及参数</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系统源代码</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常见问题及应对措施，应急预案</w:t>
      </w:r>
    </w:p>
    <w:p>
      <w:pPr>
        <w:pStyle w:val="5"/>
        <w:numPr>
          <w:ilvl w:val="2"/>
          <w:numId w:val="0"/>
        </w:numPr>
        <w:tabs>
          <w:tab w:val="left" w:pos="0"/>
        </w:tabs>
        <w:spacing w:before="163" w:after="163" w:line="360" w:lineRule="auto"/>
        <w:ind w:leftChars="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91" w:name="_Toc29050"/>
      <w:bookmarkStart w:id="92" w:name="_Toc410723690"/>
      <w:bookmarkStart w:id="93" w:name="_Toc408473422"/>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八</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项目验收</w:t>
      </w:r>
      <w:bookmarkEnd w:id="90"/>
      <w:bookmarkEnd w:id="91"/>
      <w:bookmarkEnd w:id="92"/>
      <w:bookmarkEnd w:id="93"/>
    </w:p>
    <w:p>
      <w:pPr>
        <w:numPr>
          <w:ilvl w:val="0"/>
          <w:numId w:val="11"/>
        </w:numPr>
        <w:ind w:left="845" w:leftChars="0" w:hanging="425" w:firstLineChars="0"/>
        <w:outlineLvl w:val="2"/>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项目验收要求</w:t>
      </w:r>
    </w:p>
    <w:p>
      <w:pPr>
        <w:ind w:firstLine="48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项目验收在系统正式投产连续、稳定运行三个月后进行。验收内容包括：系统投产初期运行情况、系统配套文档以及中标人承诺提供的培训及运维保障服务等。</w:t>
      </w:r>
    </w:p>
    <w:tbl>
      <w:tblPr>
        <w:tblStyle w:val="18"/>
        <w:tblW w:w="0" w:type="auto"/>
        <w:jc w:val="center"/>
        <w:tblLayout w:type="fixed"/>
        <w:tblCellMar>
          <w:top w:w="0" w:type="dxa"/>
          <w:left w:w="108" w:type="dxa"/>
          <w:bottom w:w="0" w:type="dxa"/>
          <w:right w:w="108" w:type="dxa"/>
        </w:tblCellMar>
      </w:tblPr>
      <w:tblGrid>
        <w:gridCol w:w="1790"/>
        <w:gridCol w:w="1720"/>
        <w:gridCol w:w="4406"/>
      </w:tblGrid>
      <w:tr>
        <w:tblPrEx>
          <w:tblCellMar>
            <w:top w:w="0" w:type="dxa"/>
            <w:left w:w="108" w:type="dxa"/>
            <w:bottom w:w="0" w:type="dxa"/>
            <w:right w:w="108" w:type="dxa"/>
          </w:tblCellMar>
        </w:tblPrEx>
        <w:trPr>
          <w:trHeight w:val="535" w:hRule="atLeast"/>
          <w:jc w:val="center"/>
        </w:trPr>
        <w:tc>
          <w:tcPr>
            <w:tcW w:w="1790" w:type="dxa"/>
            <w:tcBorders>
              <w:top w:val="single" w:color="000000" w:sz="4" w:space="0"/>
              <w:left w:val="single" w:color="000000" w:sz="4" w:space="0"/>
              <w:bottom w:val="single" w:color="000000" w:sz="4" w:space="0"/>
              <w:right w:val="single" w:color="000000" w:sz="4" w:space="0"/>
            </w:tcBorders>
            <w:shd w:val="clear" w:color="auto" w:fill="95B3D7"/>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项目阶段</w:t>
            </w:r>
          </w:p>
        </w:tc>
        <w:tc>
          <w:tcPr>
            <w:tcW w:w="1720" w:type="dxa"/>
            <w:tcBorders>
              <w:top w:val="single" w:color="000000" w:sz="4" w:space="0"/>
              <w:left w:val="nil"/>
              <w:bottom w:val="single" w:color="000000" w:sz="4" w:space="0"/>
              <w:right w:val="single" w:color="000000" w:sz="4" w:space="0"/>
            </w:tcBorders>
            <w:shd w:val="clear" w:color="auto" w:fill="95B3D7"/>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时间</w:t>
            </w:r>
          </w:p>
        </w:tc>
        <w:tc>
          <w:tcPr>
            <w:tcW w:w="4406" w:type="dxa"/>
            <w:tcBorders>
              <w:top w:val="single" w:color="000000" w:sz="4" w:space="0"/>
              <w:left w:val="nil"/>
              <w:bottom w:val="single" w:color="000000" w:sz="4" w:space="0"/>
              <w:right w:val="single" w:color="000000" w:sz="4" w:space="0"/>
            </w:tcBorders>
            <w:shd w:val="clear" w:color="auto" w:fill="95B3D7"/>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验收条件</w:t>
            </w:r>
          </w:p>
        </w:tc>
      </w:tr>
      <w:tr>
        <w:tblPrEx>
          <w:tblCellMar>
            <w:top w:w="0" w:type="dxa"/>
            <w:left w:w="108" w:type="dxa"/>
            <w:bottom w:w="0" w:type="dxa"/>
            <w:right w:w="108" w:type="dxa"/>
          </w:tblCellMar>
        </w:tblPrEx>
        <w:trPr>
          <w:jc w:val="center"/>
        </w:trPr>
        <w:tc>
          <w:tcPr>
            <w:tcW w:w="1790" w:type="dxa"/>
            <w:tcBorders>
              <w:top w:val="nil"/>
              <w:left w:val="single" w:color="000000" w:sz="4" w:space="0"/>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阶段性评审</w:t>
            </w:r>
          </w:p>
        </w:tc>
        <w:tc>
          <w:tcPr>
            <w:tcW w:w="1720" w:type="dxa"/>
            <w:tcBorders>
              <w:top w:val="nil"/>
              <w:left w:val="nil"/>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中标方与投标方商定</w:t>
            </w:r>
          </w:p>
        </w:tc>
        <w:tc>
          <w:tcPr>
            <w:tcW w:w="4406" w:type="dxa"/>
            <w:tcBorders>
              <w:top w:val="nil"/>
              <w:left w:val="nil"/>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按照本标书要求,项目范围内的相应工作完成，并提交相应交付物。</w:t>
            </w:r>
          </w:p>
        </w:tc>
      </w:tr>
      <w:tr>
        <w:tblPrEx>
          <w:tblCellMar>
            <w:top w:w="0" w:type="dxa"/>
            <w:left w:w="108" w:type="dxa"/>
            <w:bottom w:w="0" w:type="dxa"/>
            <w:right w:w="108" w:type="dxa"/>
          </w:tblCellMar>
        </w:tblPrEx>
        <w:trPr>
          <w:jc w:val="center"/>
        </w:trPr>
        <w:tc>
          <w:tcPr>
            <w:tcW w:w="1790" w:type="dxa"/>
            <w:tcBorders>
              <w:top w:val="nil"/>
              <w:left w:val="single" w:color="000000" w:sz="4" w:space="0"/>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竣工验收</w:t>
            </w:r>
          </w:p>
        </w:tc>
        <w:tc>
          <w:tcPr>
            <w:tcW w:w="1720" w:type="dxa"/>
            <w:tcBorders>
              <w:top w:val="nil"/>
              <w:left w:val="nil"/>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中标方与投标方商定</w:t>
            </w:r>
          </w:p>
        </w:tc>
        <w:tc>
          <w:tcPr>
            <w:tcW w:w="4406" w:type="dxa"/>
            <w:tcBorders>
              <w:top w:val="nil"/>
              <w:left w:val="nil"/>
              <w:bottom w:val="single" w:color="000000" w:sz="4" w:space="0"/>
              <w:right w:val="single" w:color="000000" w:sz="4" w:space="0"/>
            </w:tcBorders>
            <w:vAlign w:val="center"/>
          </w:tcPr>
          <w:p>
            <w:pPr>
              <w:ind w:left="0" w:leftChars="0" w:firstLine="0"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按照本标书要求,项目范围内的相应工作完成，并提交相应交付物。</w:t>
            </w:r>
          </w:p>
        </w:tc>
      </w:tr>
    </w:tbl>
    <w:p>
      <w:pPr>
        <w:ind w:firstLine="48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中标人提交的验收内容和资料，应准确、真实、易读，如招标方对中标人所提交材料的完整性、准确性、规范性等存在异议，中标人须按要求重新整理后提交招标方。</w:t>
      </w:r>
    </w:p>
    <w:p>
      <w:pPr>
        <w:numPr>
          <w:ilvl w:val="0"/>
          <w:numId w:val="11"/>
        </w:numPr>
        <w:ind w:left="845" w:leftChars="0" w:hanging="425" w:firstLineChars="0"/>
        <w:outlineLvl w:val="2"/>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验收流程与方式</w:t>
      </w:r>
    </w:p>
    <w:p>
      <w:pPr>
        <w:spacing w:line="360" w:lineRule="auto"/>
        <w:ind w:firstLine="480"/>
        <w:rPr>
          <w:rFonts w:hint="eastAsia"/>
          <w:color w:val="000000" w:themeColor="text1"/>
          <w:lang w:val="en-US" w:eastAsia="zh-CN"/>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满足验收条件后，由中标方提出验收申请，招标方对提供的验收材料进行审核；审核通过后，招标方组织项目验收小组验收，届时中标方需有至少2人参加；验收时，现场给出验收结果。</w:t>
      </w:r>
    </w:p>
    <w:p>
      <w:pPr>
        <w:spacing w:line="560" w:lineRule="exact"/>
        <w:ind w:firstLine="560" w:firstLineChars="200"/>
        <w:outlineLvl w:val="0"/>
        <w:rPr>
          <w:rFonts w:hint="eastAsia" w:ascii="黑体" w:hAnsi="黑体" w:eastAsia="黑体" w:cs="Times New Roman"/>
          <w:color w:val="000000" w:themeColor="text1"/>
          <w:sz w:val="28"/>
          <w:szCs w:val="28"/>
          <w:lang w:val="en-US" w:eastAsia="zh-CN"/>
          <w14:textFill>
            <w14:solidFill>
              <w14:schemeClr w14:val="tx1"/>
            </w14:solidFill>
          </w14:textFill>
        </w:rPr>
      </w:pPr>
      <w:bookmarkStart w:id="94" w:name="_Toc2473"/>
      <w:r>
        <w:rPr>
          <w:rFonts w:hint="eastAsia" w:ascii="黑体" w:hAnsi="黑体" w:eastAsia="黑体" w:cs="Times New Roman"/>
          <w:color w:val="000000" w:themeColor="text1"/>
          <w:sz w:val="28"/>
          <w:szCs w:val="28"/>
          <w:lang w:val="en-US" w:eastAsia="zh-CN"/>
          <w14:textFill>
            <w14:solidFill>
              <w14:schemeClr w14:val="tx1"/>
            </w14:solidFill>
          </w14:textFill>
        </w:rPr>
        <w:t>六、项目培训</w:t>
      </w:r>
      <w:bookmarkEnd w:id="94"/>
    </w:p>
    <w:p>
      <w:pPr>
        <w:keepNext w:val="0"/>
        <w:keepLines w:val="0"/>
        <w:pageBreakBefore w:val="0"/>
        <w:widowControl/>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95" w:name="_Toc289776668"/>
      <w:r>
        <w:rPr>
          <w:rFonts w:hint="eastAsia" w:ascii="仿宋_GB2312" w:hAnsi="仿宋_GB2312" w:eastAsia="仿宋_GB2312" w:cs="仿宋_GB2312"/>
          <w:color w:val="000000" w:themeColor="text1"/>
          <w:kern w:val="0"/>
          <w:sz w:val="24"/>
          <w:szCs w:val="24"/>
          <w14:textFill>
            <w14:solidFill>
              <w14:schemeClr w14:val="tx1"/>
            </w14:solidFill>
          </w14:textFill>
        </w:rPr>
        <w:t>为使项目成果能够更好的被招标方理解、利用，以及使项目成果的维护和更新成本低、难度小，中标方须本着全面共享知识和经验的宗旨，根据甲方要求向招标方提供</w:t>
      </w:r>
      <w:bookmarkEnd w:id="95"/>
      <w:r>
        <w:rPr>
          <w:rFonts w:hint="eastAsia" w:ascii="仿宋_GB2312" w:hAnsi="仿宋_GB2312" w:eastAsia="仿宋_GB2312" w:cs="仿宋_GB2312"/>
          <w:color w:val="000000" w:themeColor="text1"/>
          <w:kern w:val="0"/>
          <w:sz w:val="24"/>
          <w:szCs w:val="24"/>
          <w14:textFill>
            <w14:solidFill>
              <w14:schemeClr w14:val="tx1"/>
            </w14:solidFill>
          </w14:textFill>
        </w:rPr>
        <w:t>技术培训，地点为招标方办公场地，内容为系统开发、运维及业务相关培训，具体培训时间与招标方协商确定，往返机票、食宿及培训费用由中标方承担。</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96" w:name="_Toc302632646"/>
      <w:bookmarkEnd w:id="96"/>
      <w:bookmarkStart w:id="97" w:name="_Toc302632647"/>
      <w:bookmarkEnd w:id="97"/>
      <w:bookmarkStart w:id="98" w:name="_Toc317256790"/>
      <w:bookmarkStart w:id="99" w:name="_Toc5726"/>
      <w:bookmarkStart w:id="100" w:name="_Toc13588"/>
      <w:bookmarkStart w:id="101" w:name="_Toc425932837"/>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培训方式</w:t>
      </w:r>
      <w:bookmarkEnd w:id="98"/>
      <w:bookmarkEnd w:id="99"/>
      <w:bookmarkEnd w:id="100"/>
      <w:bookmarkEnd w:id="101"/>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培训全部采用现场培训方式进行，</w:t>
      </w:r>
      <w:r>
        <w:rPr>
          <w:rFonts w:hint="eastAsia" w:ascii="仿宋_GB2312" w:hAnsi="仿宋_GB2312" w:eastAsia="仿宋_GB2312" w:cs="仿宋_GB2312"/>
          <w:color w:val="000000" w:themeColor="text1"/>
          <w:sz w:val="24"/>
          <w:szCs w:val="24"/>
          <w14:textFill>
            <w14:solidFill>
              <w14:schemeClr w14:val="tx1"/>
            </w14:solidFill>
          </w14:textFill>
        </w:rPr>
        <w:t>培训时间按招标方的培训计划执行</w:t>
      </w:r>
      <w:r>
        <w:rPr>
          <w:rFonts w:hint="eastAsia" w:ascii="仿宋_GB2312" w:hAnsi="仿宋_GB2312" w:eastAsia="仿宋_GB2312" w:cs="仿宋_GB2312"/>
          <w:color w:val="000000" w:themeColor="text1"/>
          <w:kern w:val="0"/>
          <w:sz w:val="24"/>
          <w:szCs w:val="24"/>
          <w14:textFill>
            <w14:solidFill>
              <w14:schemeClr w14:val="tx1"/>
            </w14:solidFill>
          </w14:textFill>
        </w:rPr>
        <w:t>。将培训分为以下两种类型：</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outlineLvl w:val="2"/>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1.技术培训</w:t>
      </w:r>
    </w:p>
    <w:p>
      <w:pPr>
        <w:keepNext w:val="0"/>
        <w:keepLines w:val="0"/>
        <w:pageBreakBefore w:val="0"/>
        <w:widowControl/>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面向招标方技术人员。中标方对相关技术人员开展</w:t>
      </w:r>
      <w:r>
        <w:rPr>
          <w:rFonts w:hint="eastAsia" w:ascii="仿宋_GB2312" w:hAnsi="仿宋_GB2312" w:eastAsia="仿宋_GB2312" w:cs="仿宋_GB2312"/>
          <w:color w:val="000000" w:themeColor="text1"/>
          <w:sz w:val="24"/>
          <w:szCs w:val="24"/>
          <w14:textFill>
            <w14:solidFill>
              <w14:schemeClr w14:val="tx1"/>
            </w14:solidFill>
          </w14:textFill>
        </w:rPr>
        <w:t>系统管理、操作、维护、安装部署、接口开发等方面的免费培训</w:t>
      </w:r>
      <w:r>
        <w:rPr>
          <w:rFonts w:hint="eastAsia" w:ascii="仿宋_GB2312" w:hAnsi="仿宋_GB2312" w:eastAsia="仿宋_GB2312" w:cs="仿宋_GB2312"/>
          <w:color w:val="000000" w:themeColor="text1"/>
          <w:kern w:val="0"/>
          <w:sz w:val="24"/>
          <w:szCs w:val="24"/>
          <w14:textFill>
            <w14:solidFill>
              <w14:schemeClr w14:val="tx1"/>
            </w14:solidFill>
          </w14:textFill>
        </w:rPr>
        <w:t>。</w:t>
      </w:r>
    </w:p>
    <w:p>
      <w:pPr>
        <w:keepNext w:val="0"/>
        <w:keepLines w:val="0"/>
        <w:pageBreakBefore w:val="0"/>
        <w:widowControl/>
        <w:kinsoku/>
        <w:wordWrap/>
        <w:topLinePunct w:val="0"/>
        <w:bidi w:val="0"/>
        <w:adjustRightInd/>
        <w:snapToGrid/>
        <w:spacing w:line="360" w:lineRule="auto"/>
        <w:ind w:firstLine="480"/>
        <w:textAlignment w:val="auto"/>
        <w:outlineLvl w:val="2"/>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2.业务培训</w:t>
      </w:r>
    </w:p>
    <w:p>
      <w:pPr>
        <w:keepNext w:val="0"/>
        <w:keepLines w:val="0"/>
        <w:pageBreakBefore w:val="0"/>
        <w:widowControl/>
        <w:kinsoku/>
        <w:wordWrap/>
        <w:topLinePunct w:val="0"/>
        <w:bidi w:val="0"/>
        <w:adjustRightInd/>
        <w:snapToGrid/>
        <w:spacing w:line="360" w:lineRule="auto"/>
        <w:ind w:firstLine="48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面向招标方业务人员。中标方对相关业务人员开展系统操作等方面免费培训。</w:t>
      </w:r>
    </w:p>
    <w:p>
      <w:pPr>
        <w:pStyle w:val="4"/>
        <w:keepNext w:val="0"/>
        <w:keepLines w:val="0"/>
        <w:pageBreakBefore w:val="0"/>
        <w:numPr>
          <w:ilvl w:val="1"/>
          <w:numId w:val="0"/>
        </w:numPr>
        <w:tabs>
          <w:tab w:val="left" w:pos="0"/>
        </w:tabs>
        <w:kinsoku/>
        <w:wordWrap/>
        <w:topLinePunct w:val="0"/>
        <w:bidi w:val="0"/>
        <w:adjustRightInd/>
        <w:snapToGrid/>
        <w:spacing w:line="360" w:lineRule="auto"/>
        <w:ind w:left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102" w:name="_Toc293506163"/>
      <w:bookmarkEnd w:id="102"/>
      <w:bookmarkStart w:id="103" w:name="_Toc302632648"/>
      <w:bookmarkEnd w:id="103"/>
      <w:bookmarkStart w:id="104" w:name="_Toc294167041"/>
      <w:bookmarkEnd w:id="104"/>
      <w:bookmarkStart w:id="105" w:name="_Toc291322851"/>
      <w:bookmarkEnd w:id="105"/>
      <w:bookmarkStart w:id="106" w:name="_Toc293476793"/>
      <w:bookmarkEnd w:id="106"/>
      <w:bookmarkStart w:id="107" w:name="_Toc293478840"/>
      <w:bookmarkEnd w:id="107"/>
      <w:bookmarkStart w:id="108" w:name="_Toc294167096"/>
      <w:bookmarkEnd w:id="108"/>
      <w:bookmarkStart w:id="109" w:name="_Toc317256791"/>
      <w:bookmarkStart w:id="110" w:name="_Toc29674"/>
      <w:bookmarkStart w:id="111" w:name="_Toc291667275"/>
      <w:bookmarkStart w:id="112" w:name="_Toc425932838"/>
      <w:bookmarkStart w:id="113" w:name="_Toc19419"/>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二</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培训要求</w:t>
      </w:r>
      <w:bookmarkEnd w:id="109"/>
      <w:bookmarkEnd w:id="110"/>
      <w:bookmarkEnd w:id="111"/>
      <w:bookmarkEnd w:id="112"/>
      <w:bookmarkEnd w:id="113"/>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培训开始前，中标方须向招标方提供培训老师的履历。经招标方认可后，培训课程老师方可开始培训。</w:t>
      </w:r>
    </w:p>
    <w:p>
      <w:pPr>
        <w:widowControl/>
        <w:spacing w:line="360" w:lineRule="auto"/>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中标方事先须提供《培训方案》，且须通过工作小组审核通过。</w:t>
      </w:r>
    </w:p>
    <w:p>
      <w:pPr>
        <w:spacing w:line="360" w:lineRule="auto"/>
        <w:ind w:firstLine="480" w:firstLineChars="200"/>
        <w:rPr>
          <w:rFonts w:hint="eastAsia" w:ascii="仿宋_GB2312" w:hAnsi="Calibri" w:eastAsia="仿宋_GB2312" w:cs="Times New Roman"/>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培训工作须严格按照《培训方案》执行。</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p>
    <w:p>
      <w:pPr>
        <w:spacing w:line="560" w:lineRule="exact"/>
        <w:ind w:firstLine="560" w:firstLineChars="200"/>
        <w:outlineLvl w:val="0"/>
        <w:rPr>
          <w:rFonts w:hint="eastAsia" w:ascii="黑体" w:hAnsi="黑体" w:eastAsia="黑体" w:cs="Times New Roman"/>
          <w:color w:val="000000" w:themeColor="text1"/>
          <w:sz w:val="28"/>
          <w:szCs w:val="28"/>
          <w:lang w:val="en-US" w:eastAsia="zh-CN"/>
          <w14:textFill>
            <w14:solidFill>
              <w14:schemeClr w14:val="tx1"/>
            </w14:solidFill>
          </w14:textFill>
        </w:rPr>
      </w:pPr>
      <w:bookmarkStart w:id="114" w:name="_Toc7587"/>
      <w:r>
        <w:rPr>
          <w:rFonts w:hint="eastAsia" w:ascii="黑体" w:hAnsi="黑体" w:eastAsia="黑体" w:cs="Times New Roman"/>
          <w:color w:val="000000" w:themeColor="text1"/>
          <w:sz w:val="28"/>
          <w:szCs w:val="28"/>
          <w:lang w:val="en-US" w:eastAsia="zh-CN"/>
          <w14:textFill>
            <w14:solidFill>
              <w14:schemeClr w14:val="tx1"/>
            </w14:solidFill>
          </w14:textFill>
        </w:rPr>
        <w:t>七、维保服务</w:t>
      </w:r>
      <w:bookmarkEnd w:id="114"/>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本章约定免费维保期期间的服务要求。</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中标方需在项目验收通过后，提供1年免费维保服务。</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中标方提供所有的维保服务，并按照贵州省农村信用社联合社信息系统相关移交管理规定向招标方进行项目移交。</w:t>
      </w:r>
    </w:p>
    <w:p>
      <w:pPr>
        <w:ind w:firstLine="48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115" w:name="_Toc673"/>
      <w:bookmarkStart w:id="116" w:name="_Toc26417"/>
      <w:bookmarkStart w:id="117" w:name="_Toc614"/>
      <w:r>
        <w:rPr>
          <w:rFonts w:hint="eastAsia" w:ascii="仿宋_GB2312" w:hAnsi="仿宋_GB2312" w:eastAsia="仿宋_GB2312" w:cs="仿宋_GB2312"/>
          <w:color w:val="000000" w:themeColor="text1"/>
          <w:sz w:val="24"/>
          <w:szCs w:val="24"/>
          <w14:textFill>
            <w14:solidFill>
              <w14:schemeClr w14:val="tx1"/>
            </w14:solidFill>
          </w14:textFill>
        </w:rPr>
        <w:t>（一）定义</w:t>
      </w:r>
      <w:bookmarkEnd w:id="115"/>
      <w:bookmarkEnd w:id="116"/>
      <w:bookmarkEnd w:id="117"/>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故障是指信息系统在没有预先安排的情况下出现的对用户提供服务的中断。</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故障级别分为：</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一级故障：系统不能运行或存在故障，导致所有或部分业务都无法运行。</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二级故障：辖内部分机构的业务系统无法运行。</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三级故障：系统运行出现故障，但是不影响业务办理，或者有其他替代方式能够完成业务办理。</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缺陷是指信息系统存在的某种破坏正常运行能力的问题、错误，或者隐藏的功能缺陷，即将但是还没有造成系统故障。</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缺陷级别分为：</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紧急缺陷：指信息系统存在异常，即将造成大量业务中断或存在高风险安全漏洞，随时可能发生信息系统故障或安全事件。</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重大缺陷：指信息系统发生异常，不影响信息系统整体运行，即将或已经造成少量业务中断，对安全运行影响较大，尚能保持运行，不及时处理会造成信息系统停运等故障情况。</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普通缺陷：指设备(系统)、设施发生的异常，不影响业务运行，不影响设备（系统）整体运行，短时之内不会劣化为重大缺陷、紧急缺陷，对运行虽有影响但尚能保持运行。</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变更包括故障及缺陷的处理、日常运维中的数据变更和配置变更、定制化功能需求变更等。</w:t>
      </w:r>
    </w:p>
    <w:p>
      <w:pPr>
        <w:ind w:firstLine="48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118" w:name="_Toc29667"/>
      <w:bookmarkStart w:id="119" w:name="_Toc12413"/>
      <w:bookmarkStart w:id="120" w:name="_Toc28880"/>
      <w:r>
        <w:rPr>
          <w:rFonts w:hint="eastAsia" w:ascii="仿宋_GB2312" w:hAnsi="仿宋_GB2312" w:eastAsia="仿宋_GB2312" w:cs="仿宋_GB2312"/>
          <w:color w:val="000000" w:themeColor="text1"/>
          <w:sz w:val="24"/>
          <w:szCs w:val="24"/>
          <w14:textFill>
            <w14:solidFill>
              <w14:schemeClr w14:val="tx1"/>
            </w14:solidFill>
          </w14:textFill>
        </w:rPr>
        <w:t>（二）维保服务范围</w:t>
      </w:r>
      <w:bookmarkEnd w:id="118"/>
      <w:bookmarkEnd w:id="119"/>
      <w:bookmarkEnd w:id="120"/>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系统有效生命周期内（即招标方废止该系统运行之前）,中标方维保服务包括但不限于以下内容：</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1.系统运行问题的诊断和处理。</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2.系统运行期间技术咨询。</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3.产品版本升级、缺陷修复、故障处理。</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4.系统巡检、特殊时段保障。</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5.信息备份。</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6.配置变更、数据变更。</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7.不超过系统建设总工作量10%的局部功能的增加和调整。</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8.未来新增定制化改造内容的维保。</w:t>
      </w:r>
    </w:p>
    <w:p>
      <w:pPr>
        <w:ind w:firstLine="48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121" w:name="_Toc30880"/>
      <w:bookmarkStart w:id="122" w:name="_Toc446"/>
      <w:bookmarkStart w:id="123" w:name="_Toc4362"/>
      <w:r>
        <w:rPr>
          <w:rFonts w:hint="eastAsia" w:ascii="仿宋_GB2312" w:hAnsi="仿宋_GB2312" w:eastAsia="仿宋_GB2312" w:cs="仿宋_GB2312"/>
          <w:color w:val="000000" w:themeColor="text1"/>
          <w:sz w:val="24"/>
          <w:szCs w:val="24"/>
          <w14:textFill>
            <w14:solidFill>
              <w14:schemeClr w14:val="tx1"/>
            </w14:solidFill>
          </w14:textFill>
        </w:rPr>
        <w:t>（三）维保服务要求</w:t>
      </w:r>
      <w:bookmarkEnd w:id="121"/>
      <w:bookmarkEnd w:id="122"/>
      <w:bookmarkEnd w:id="123"/>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1.维保服务方式</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服务方式包括但不限于现场人员支持、现场咨询、现场排除故障、电话咨询、远程支持等。</w:t>
      </w:r>
    </w:p>
    <w:p>
      <w:pPr>
        <w:pStyle w:val="23"/>
        <w:spacing w:line="360" w:lineRule="auto"/>
        <w:ind w:firstLineChars="0"/>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免费维保期限内提供至少</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1人经招标方认可的参与项目建设的人员进行维保。</w:t>
      </w:r>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2.维保服务描述</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中标方在维保服务期按照贵州省农村信用社联合社信息系统运维管理相关规定，为招标方提供以下运维服务：</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900"/>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1900"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服务项</w:t>
            </w:r>
          </w:p>
        </w:tc>
        <w:tc>
          <w:tcPr>
            <w:tcW w:w="5474"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对系统进行巡视，检查系统运行状态</w:t>
            </w:r>
            <w:r>
              <w:rPr>
                <w:rFonts w:hint="eastAsia" w:ascii="仿宋_GB2312" w:hAnsi="仿宋_GB2312" w:eastAsia="仿宋_GB2312" w:cs="仿宋_GB2312"/>
                <w:color w:val="000000" w:themeColor="text1"/>
                <w:sz w:val="24"/>
                <w:szCs w:val="24"/>
                <w14:textFill>
                  <w14:solidFill>
                    <w14:schemeClr w14:val="tx1"/>
                  </w14:solidFill>
                </w14:textFill>
              </w:rPr>
              <w:t>，及时解决突发问题；</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重大节假日</w:t>
            </w:r>
            <w:r>
              <w:rPr>
                <w:rFonts w:hint="eastAsia" w:ascii="仿宋_GB2312" w:hAnsi="仿宋_GB2312" w:eastAsia="仿宋_GB2312" w:cs="仿宋_GB2312"/>
                <w:color w:val="000000" w:themeColor="text1"/>
                <w:sz w:val="24"/>
                <w:szCs w:val="24"/>
                <w14:textFill>
                  <w14:solidFill>
                    <w14:schemeClr w14:val="tx1"/>
                  </w14:solidFill>
                </w14:textFill>
              </w:rPr>
              <w:t>或重要时点</w:t>
            </w:r>
            <w:r>
              <w:rPr>
                <w:rFonts w:hint="eastAsia" w:ascii="仿宋_GB2312" w:hAnsi="仿宋_GB2312" w:eastAsia="仿宋_GB2312" w:cs="仿宋_GB2312"/>
                <w:color w:val="000000" w:themeColor="text1"/>
                <w:sz w:val="24"/>
                <w:szCs w:val="24"/>
                <w:lang w:eastAsia="zh-TW"/>
                <w14:textFill>
                  <w14:solidFill>
                    <w14:schemeClr w14:val="tx1"/>
                  </w14:solidFill>
                </w14:textFill>
              </w:rPr>
              <w:t>前，对运维对象进行系统级检查，并及时处理系统隐患及异常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特殊时段保障</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重大节假日或重大活动日保障系统正常运行。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技术咨询</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7*24小时响应用户电话咨询，进行系统维护指导；</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技术方案支持、规划咨询服务等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信息备份</w:t>
            </w:r>
          </w:p>
        </w:tc>
        <w:tc>
          <w:tcPr>
            <w:tcW w:w="547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对系统代码、系统配置信息、系统文档等进行备份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故障及缺陷处理</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对影响系统可用性的故障及缺陷或突发事件进行处置，最大化系统可用率、杜绝信息安全事件、保证系统应用性能</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对系统BUG或功能BUG进行处理完善</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对系统性能进行优化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w:t>
            </w:r>
          </w:p>
        </w:tc>
        <w:tc>
          <w:tcPr>
            <w:tcW w:w="547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完成系统运行环境、运行参数、操作系统补丁的升级和调优工作</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配合完成系统测试环境搭建</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配合完成系统迁移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产品</w:t>
            </w:r>
            <w:r>
              <w:rPr>
                <w:rFonts w:hint="eastAsia" w:ascii="仿宋_GB2312" w:hAnsi="仿宋_GB2312" w:eastAsia="仿宋_GB2312" w:cs="仿宋_GB2312"/>
                <w:color w:val="000000" w:themeColor="text1"/>
                <w:sz w:val="24"/>
                <w:szCs w:val="24"/>
                <w:lang w:eastAsia="zh-TW"/>
                <w14:textFill>
                  <w14:solidFill>
                    <w14:schemeClr w14:val="tx1"/>
                  </w14:solidFill>
                </w14:textFill>
              </w:rPr>
              <w:t>版本</w:t>
            </w:r>
            <w:r>
              <w:rPr>
                <w:rFonts w:hint="eastAsia" w:ascii="仿宋_GB2312" w:hAnsi="仿宋_GB2312" w:eastAsia="仿宋_GB2312" w:cs="仿宋_GB2312"/>
                <w:color w:val="000000" w:themeColor="text1"/>
                <w:sz w:val="24"/>
                <w:szCs w:val="24"/>
                <w14:textFill>
                  <w14:solidFill>
                    <w14:schemeClr w14:val="tx1"/>
                  </w14:solidFill>
                </w14:textFill>
              </w:rPr>
              <w:t>升级</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系统程序</w:t>
            </w:r>
            <w:r>
              <w:rPr>
                <w:rFonts w:hint="eastAsia" w:ascii="仿宋_GB2312" w:hAnsi="仿宋_GB2312" w:eastAsia="仿宋_GB2312" w:cs="仿宋_GB2312"/>
                <w:color w:val="000000" w:themeColor="text1"/>
                <w:sz w:val="24"/>
                <w:szCs w:val="24"/>
                <w14:textFill>
                  <w14:solidFill>
                    <w14:schemeClr w14:val="tx1"/>
                  </w14:solidFill>
                </w14:textFill>
              </w:rPr>
              <w:t>发布、部署及相关文档等</w:t>
            </w:r>
            <w:r>
              <w:rPr>
                <w:rFonts w:hint="eastAsia" w:ascii="仿宋_GB2312" w:hAnsi="仿宋_GB2312" w:eastAsia="仿宋_GB2312" w:cs="仿宋_GB2312"/>
                <w:color w:val="000000" w:themeColor="text1"/>
                <w:sz w:val="24"/>
                <w:szCs w:val="24"/>
                <w:lang w:eastAsia="zh-TW"/>
                <w14:textFill>
                  <w14:solidFill>
                    <w14:schemeClr w14:val="tx1"/>
                  </w14:solidFill>
                </w14:textFill>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局部功能调整</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对系统功能进行局部功能更改，并同步对《需求说明》、《设计文档》、《数据字典》、《使用手册》</w:t>
            </w:r>
            <w:r>
              <w:rPr>
                <w:rFonts w:hint="eastAsia" w:ascii="仿宋_GB2312" w:hAnsi="仿宋_GB2312" w:eastAsia="仿宋_GB2312" w:cs="仿宋_GB2312"/>
                <w:color w:val="000000" w:themeColor="text1"/>
                <w:sz w:val="24"/>
                <w:szCs w:val="24"/>
                <w14:textFill>
                  <w14:solidFill>
                    <w14:schemeClr w14:val="tx1"/>
                  </w14:solidFill>
                </w14:textFill>
              </w:rPr>
              <w:t>等</w:t>
            </w:r>
            <w:r>
              <w:rPr>
                <w:rFonts w:hint="eastAsia" w:ascii="仿宋_GB2312" w:hAnsi="仿宋_GB2312" w:eastAsia="仿宋_GB2312" w:cs="仿宋_GB2312"/>
                <w:color w:val="000000" w:themeColor="text1"/>
                <w:sz w:val="24"/>
                <w:szCs w:val="24"/>
                <w:lang w:eastAsia="zh-TW"/>
                <w14:textFill>
                  <w14:solidFill>
                    <w14:schemeClr w14:val="tx1"/>
                  </w14:solidFill>
                </w14:textFill>
              </w:rPr>
              <w:t>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w:t>
            </w:r>
          </w:p>
        </w:tc>
        <w:tc>
          <w:tcPr>
            <w:tcW w:w="547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对因用户误操作、通过系统功能无法更正的应用数据，在招标方书面授权后，进行后台修改，并对数据实行分级维护（对不同单位、个人授予相应权限）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1900"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其他</w:t>
            </w:r>
          </w:p>
        </w:tc>
        <w:tc>
          <w:tcPr>
            <w:tcW w:w="5474"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针对系统可能的突发事件，配合招标方编制应急预案，并配合招标方进行应急演练</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配合进行安全测评，以及安全整改和加固</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eastAsia="zh-TW"/>
                <w14:textFill>
                  <w14:solidFill>
                    <w14:schemeClr w14:val="tx1"/>
                  </w14:solidFill>
                </w14:textFill>
              </w:rPr>
              <w:t>配合完成与本系统相关的其它运维服务工作</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r>
              <w:rPr>
                <w:rFonts w:hint="eastAsia" w:ascii="仿宋_GB2312" w:hAnsi="仿宋_GB2312" w:eastAsia="仿宋_GB2312" w:cs="仿宋_GB2312"/>
                <w:color w:val="000000" w:themeColor="text1"/>
                <w:sz w:val="24"/>
                <w:szCs w:val="24"/>
                <w:lang w:eastAsia="zh-TW"/>
                <w14:textFill>
                  <w14:solidFill>
                    <w14:schemeClr w14:val="tx1"/>
                  </w14:solidFill>
                </w14:textFill>
              </w:rPr>
              <w:t>协助招标方完成制定IT服务的相关流程、制度，详细列出针对不同事件和问题的技术方案和解决方案，并提供相关技术参考资料等</w:t>
            </w:r>
          </w:p>
        </w:tc>
      </w:tr>
    </w:tbl>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3.服务响应时限和服务周期要求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896"/>
        <w:gridCol w:w="5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1896"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服务项</w:t>
            </w:r>
          </w:p>
        </w:tc>
        <w:tc>
          <w:tcPr>
            <w:tcW w:w="5471"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服务响应时限和服务周期要求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每月及重大节假日或重大活动日或重大事件前进行巡检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特殊时段保障</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招标方有权要求中标方在重大节假日或重大活动日派驻至少一名技术人员驻场保障系统正常运行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技术咨询</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提供7×24小时服务</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TW"/>
                <w14:textFill>
                  <w14:solidFill>
                    <w14:schemeClr w14:val="tx1"/>
                  </w14:solidFill>
                </w14:textFill>
              </w:rPr>
              <w:t>3小时内响应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信息备份</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系统代码、系统配置信息、系统文档发生改变后1个工作日内进行备份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故障及缺陷处理</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提供7×24小时服务</w:t>
            </w:r>
          </w:p>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（2）详见表下约定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开展配置变更的工作时间不能影响系统正常使用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产品版本升级</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开展程序发布的工作时间不能影响系统正常使用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896"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数据变更及其他</w:t>
            </w:r>
          </w:p>
        </w:tc>
        <w:tc>
          <w:tcPr>
            <w:tcW w:w="5471"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满足招标方时限要求</w:t>
            </w:r>
          </w:p>
        </w:tc>
      </w:tr>
    </w:tbl>
    <w:p>
      <w:pPr>
        <w:spacing w:line="560" w:lineRule="exact"/>
        <w:ind w:firstLine="480"/>
        <w:outlineLvl w:val="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（1）故障处理时限要求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级故障：要求30分钟内予以响应，经招标方评估，需要中标方到现场解决的，中标方维护人员如在招标方所在地或是招标方所辖内的机构（包括分支机构）所在地，要求2小时内到达现场；如在外地，到达现场所用时间应控制在12小时内。</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级故障：要求1小时内予以响应，经招标方评估，需要中标方到现场解决的，中标方维护人员如在招标方所在地或是招标方所辖内的机构（包括分支机构）所在地，要求4小时内到达现场；如在外地，到达现场所用时间应控制在24小时内。</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级故障：要求1小时内予以响应，经招标方评估，需要中标方到现场解决的，中标方维护人员如在招标方所在地或是招标方所辖内的机构（包括分支机构）所在地，要求8小时内到达现场；如在外地，到达现场时间应控制在48小时内。</w:t>
      </w:r>
    </w:p>
    <w:p>
      <w:pPr>
        <w:spacing w:line="560" w:lineRule="exact"/>
        <w:ind w:firstLine="480"/>
        <w:outlineLvl w:val="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（2）缺陷修复时限要求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紧急缺陷：要求1小时内予以响应，2天内予以解决。</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重大缺陷：要求1天内予以响应，7天内予以解决。</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普通缺陷：要求2天内予以响应，双方友好协商。</w:t>
      </w:r>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4.交付物要求清单/清单要求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77"/>
        <w:gridCol w:w="2965"/>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adjustRightInd w:val="0"/>
              <w:snapToGrid w:val="0"/>
              <w:spacing w:line="240" w:lineRule="auto"/>
              <w:ind w:firstLine="0" w:firstLineChars="0"/>
              <w:jc w:val="center"/>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1377"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服务项</w:t>
            </w:r>
          </w:p>
        </w:tc>
        <w:tc>
          <w:tcPr>
            <w:tcW w:w="2965"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交付物</w:t>
            </w:r>
          </w:p>
        </w:tc>
        <w:tc>
          <w:tcPr>
            <w:tcW w:w="3054" w:type="dxa"/>
            <w:noWrap w:val="0"/>
            <w:vAlign w:val="top"/>
          </w:tcPr>
          <w:p>
            <w:pPr>
              <w:adjustRightInd w:val="0"/>
              <w:snapToGrid w:val="0"/>
              <w:spacing w:line="240" w:lineRule="auto"/>
              <w:ind w:firstLine="0" w:firstLineChars="0"/>
              <w:jc w:val="both"/>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377" w:type="dxa"/>
            <w:vMerge w:val="restart"/>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《系统巡检指南》</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系统上线后20个工作日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2"/>
              </w:numPr>
              <w:adjustRightInd w:val="0"/>
              <w:snapToGrid w:val="0"/>
              <w:spacing w:line="240" w:lineRule="auto"/>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巡检报告</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巡检结束后5个工作日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377"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特殊时段保障</w:t>
            </w:r>
          </w:p>
        </w:tc>
        <w:tc>
          <w:tcPr>
            <w:tcW w:w="2965" w:type="dxa"/>
            <w:noWrap w:val="0"/>
            <w:vAlign w:val="top"/>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缺陷处理报告</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377" w:type="dxa"/>
            <w:vMerge w:val="restart"/>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故障处理</w:t>
            </w:r>
          </w:p>
        </w:tc>
        <w:tc>
          <w:tcPr>
            <w:tcW w:w="2965" w:type="dxa"/>
            <w:noWrap w:val="0"/>
            <w:vAlign w:val="center"/>
          </w:tcPr>
          <w:p>
            <w:pPr>
              <w:pStyle w:val="25"/>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故障处理报告或记录</w:t>
            </w:r>
          </w:p>
        </w:tc>
        <w:tc>
          <w:tcPr>
            <w:tcW w:w="3054" w:type="dxa"/>
            <w:noWrap w:val="0"/>
            <w:vAlign w:val="center"/>
          </w:tcPr>
          <w:p>
            <w:pPr>
              <w:pStyle w:val="25"/>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故障处理完成后1个工作日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2"/>
              </w:numPr>
              <w:adjustRightInd w:val="0"/>
              <w:snapToGrid w:val="0"/>
              <w:spacing w:line="240" w:lineRule="auto"/>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pStyle w:val="25"/>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更新《系统故障处置指南》</w:t>
            </w:r>
          </w:p>
        </w:tc>
        <w:tc>
          <w:tcPr>
            <w:tcW w:w="3054" w:type="dxa"/>
            <w:noWrap w:val="0"/>
            <w:vAlign w:val="center"/>
          </w:tcPr>
          <w:p>
            <w:pPr>
              <w:pStyle w:val="25"/>
              <w:ind w:left="0" w:leftChars="0" w:firstLine="0" w:firstLineChars="0"/>
              <w:rPr>
                <w:rFonts w:hint="eastAsia" w:ascii="仿宋_GB2312" w:hAnsi="仿宋_GB2312" w:eastAsia="仿宋_GB2312" w:cs="仿宋_GB2312"/>
                <w:color w:val="000000" w:themeColor="text1"/>
                <w:kern w:val="2"/>
                <w:sz w:val="24"/>
                <w:szCs w:val="24"/>
                <w:lang w:eastAsia="zh-TW"/>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TW"/>
                <w14:textFill>
                  <w14:solidFill>
                    <w14:schemeClr w14:val="tx1"/>
                  </w14:solidFill>
                </w14:textFill>
              </w:rPr>
              <w:t>故障处理完成后5个工作日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377" w:type="dxa"/>
            <w:vMerge w:val="restart"/>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缺陷处理报告或记录</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2"/>
              </w:numPr>
              <w:adjustRightInd w:val="0"/>
              <w:snapToGrid w:val="0"/>
              <w:spacing w:line="240" w:lineRule="auto"/>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更新《系统缺陷处置指南》</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377" w:type="dxa"/>
            <w:vMerge w:val="restart"/>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配置变更记录</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numPr>
                <w:ilvl w:val="0"/>
                <w:numId w:val="12"/>
              </w:numPr>
              <w:adjustRightInd w:val="0"/>
              <w:snapToGrid w:val="0"/>
              <w:spacing w:line="240" w:lineRule="auto"/>
              <w:ind w:firstLineChars="0"/>
              <w:jc w:val="center"/>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1377" w:type="dxa"/>
            <w:vMerge w:val="continue"/>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更新《系统配置指南》</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配置变更完成后5个工作日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377"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产品版本升级</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产品版本升级记录</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升级完成后1个工作日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377"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需求变更</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更新《需求说明书》、《设计文档》、《数据字典》、《使用手册》</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需求变更后5个工作日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377"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数据变更记录</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数据变更完成后1个工作日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1377"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其他</w:t>
            </w:r>
          </w:p>
        </w:tc>
        <w:tc>
          <w:tcPr>
            <w:tcW w:w="2965"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按招标方要求</w:t>
            </w:r>
          </w:p>
        </w:tc>
        <w:tc>
          <w:tcPr>
            <w:tcW w:w="3054" w:type="dxa"/>
            <w:noWrap w:val="0"/>
            <w:vAlign w:val="center"/>
          </w:tcPr>
          <w:p>
            <w:pPr>
              <w:adjustRightInd w:val="0"/>
              <w:snapToGrid w:val="0"/>
              <w:spacing w:line="240" w:lineRule="auto"/>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按招标方实际要求</w:t>
            </w:r>
          </w:p>
        </w:tc>
      </w:tr>
    </w:tbl>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招标方在收到中标方交付物后，若招标方认为交付物未满足项目要求，则中标方必须在招标方要求时限内对交付物做出修改，直至取得招标方认可后，方可再次提交。</w:t>
      </w:r>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5.运维服务质量要求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中标方提供的维保服务应规范、及时、有效，准确，满足以下质量要求：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保障运维期间系统运行稳定，不因为运维工作不规范、不及时、不到位或者工作失误，导致系统不可用；</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保障运维期间系统运行安全，不因为运维工作不规范、不及时、不到位或者工作失误，发生信息安全事件；</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不因运维工作不规范、不及时、不到位或工作失误以导致系统数据、应用数据和配置信息丢失；</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不因运维工作不规范、不及时、不到位或工作失误以及工作态度问题导致用户投诉；</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严格遵循贵州省农村信用社联合社运维管理相关规定开展工作，杜绝运维工作违规违纪现象发生。</w:t>
      </w:r>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6.维保人员要求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中标方按招标方要求派驻现场的技术人员，对不满足招标方工作要求的，招标方有权要求中标方予以更换。</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中标方派驻现场的技术人员需遵守：</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不在现场超过1天须向招标方提出书面申请，获得同意后方可离开； </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人员更换须向招标方提出书面申请，获得同意后方可更换；</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必须遵守招标方现场工作纪律规定，包括考勤、着装、纪律等。</w:t>
      </w:r>
    </w:p>
    <w:p>
      <w:pPr>
        <w:ind w:firstLine="480"/>
        <w:outlineLvl w:val="2"/>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7.工作规范要求</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中标方必须严格遵循招标方信息系统相关工作流程、规范、标准和制度要求，在招标方指定平台中按照开展维保服务工作，做好各项工作的过程及结果的详细记录；</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中标方必须严格执行工作审批流程，未经许可不得擅自扩大工作范围；</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中标方在运维工作中必须严格遵循早发现、早汇报、早处理原则。任何情况下，都不能向招标方隐瞒维保工作真实情况；</w:t>
      </w:r>
    </w:p>
    <w:p>
      <w:pPr>
        <w:pStyle w:val="23"/>
        <w:spacing w:line="360" w:lineRule="auto"/>
        <w:ind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中标方在维保工作中要做好备份、测试、监护等风险预防措施，杜绝工作失误造成的系统故障、数据丢失等事件；</w:t>
      </w:r>
    </w:p>
    <w:p>
      <w:pPr>
        <w:ind w:firstLine="480"/>
        <w:outlineLvl w:val="1"/>
        <w:rPr>
          <w:rFonts w:hint="eastAsia" w:ascii="仿宋_GB2312" w:hAnsi="仿宋_GB2312" w:eastAsia="仿宋_GB2312" w:cs="仿宋_GB2312"/>
          <w:color w:val="000000" w:themeColor="text1"/>
          <w:sz w:val="24"/>
          <w:szCs w:val="24"/>
          <w14:textFill>
            <w14:solidFill>
              <w14:schemeClr w14:val="tx1"/>
            </w14:solidFill>
          </w14:textFill>
        </w:rPr>
      </w:pPr>
      <w:bookmarkStart w:id="124" w:name="_Toc28444"/>
      <w:bookmarkStart w:id="125" w:name="_Toc5815"/>
      <w:bookmarkStart w:id="126" w:name="_Toc8345"/>
      <w:r>
        <w:rPr>
          <w:rFonts w:hint="eastAsia" w:ascii="仿宋_GB2312" w:hAnsi="仿宋_GB2312" w:eastAsia="仿宋_GB2312" w:cs="仿宋_GB2312"/>
          <w:color w:val="000000" w:themeColor="text1"/>
          <w:sz w:val="24"/>
          <w:szCs w:val="24"/>
          <w14:textFill>
            <w14:solidFill>
              <w14:schemeClr w14:val="tx1"/>
            </w14:solidFill>
          </w14:textFill>
        </w:rPr>
        <w:t>（四）维保服务考核</w:t>
      </w:r>
      <w:bookmarkEnd w:id="124"/>
      <w:bookmarkEnd w:id="125"/>
      <w:bookmarkEnd w:id="126"/>
    </w:p>
    <w:p>
      <w:pPr>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招标方根据下表所列考核方法对项目进行考核：（1）免费维保期间，招标方从合同剩余金额（质量保证金）中扣除考核款后支付予中标方；（2）免费维保期结束后，招标方从当期维保费用中扣除考核款后支付予中标方。</w:t>
      </w:r>
    </w:p>
    <w:tbl>
      <w:tblPr>
        <w:tblStyle w:val="18"/>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219"/>
        <w:gridCol w:w="4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序号</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eastAsia="zh-TW"/>
                <w14:textFill>
                  <w14:solidFill>
                    <w14:schemeClr w14:val="tx1"/>
                  </w14:solidFill>
                </w14:textFill>
              </w:rPr>
              <w:t>考核点</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b/>
                <w:bCs/>
                <w:color w:val="000000" w:themeColor="text1"/>
                <w:sz w:val="24"/>
                <w:szCs w:val="24"/>
                <w:lang w:eastAsia="zh-TW"/>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扣减</w:t>
            </w:r>
            <w:r>
              <w:rPr>
                <w:rFonts w:hint="eastAsia" w:ascii="仿宋_GB2312" w:hAnsi="仿宋_GB2312" w:eastAsia="仿宋_GB2312" w:cs="仿宋_GB2312"/>
                <w:b/>
                <w:bCs/>
                <w:color w:val="000000" w:themeColor="text1"/>
                <w:sz w:val="24"/>
                <w:szCs w:val="24"/>
                <w:lang w:eastAsia="zh-TW"/>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在合同履行过程中存在故意或过失行为造成招标方损失</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扣减当</w:t>
            </w:r>
            <w:r>
              <w:rPr>
                <w:rFonts w:hint="eastAsia" w:ascii="仿宋_GB2312" w:hAnsi="仿宋_GB2312" w:eastAsia="仿宋_GB2312" w:cs="仿宋_GB2312"/>
                <w:color w:val="000000" w:themeColor="text1"/>
                <w:sz w:val="24"/>
                <w:szCs w:val="24"/>
                <w14:textFill>
                  <w14:solidFill>
                    <w14:schemeClr w14:val="tx1"/>
                  </w14:solidFill>
                </w14:textFill>
              </w:rPr>
              <w:t>期全部维保费用</w:t>
            </w:r>
            <w:r>
              <w:rPr>
                <w:rFonts w:hint="eastAsia" w:ascii="仿宋_GB2312" w:hAnsi="仿宋_GB2312" w:eastAsia="仿宋_GB2312" w:cs="仿宋_GB2312"/>
                <w:color w:val="000000" w:themeColor="text1"/>
                <w:sz w:val="24"/>
                <w:szCs w:val="24"/>
                <w:lang w:eastAsia="zh-TW"/>
                <w14:textFill>
                  <w14:solidFill>
                    <w14:schemeClr w14:val="tx1"/>
                  </w14:solidFill>
                </w14:textFill>
              </w:rPr>
              <w:t>，并赔偿招标方损失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系统不可用超标</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当期维保期</w:t>
            </w:r>
            <w:r>
              <w:rPr>
                <w:rFonts w:hint="eastAsia" w:ascii="仿宋_GB2312" w:hAnsi="仿宋_GB2312" w:eastAsia="仿宋_GB2312" w:cs="仿宋_GB2312"/>
                <w:color w:val="000000" w:themeColor="text1"/>
                <w:sz w:val="24"/>
                <w:szCs w:val="24"/>
                <w:lang w:eastAsia="zh-TW"/>
                <w14:textFill>
                  <w14:solidFill>
                    <w14:schemeClr w14:val="tx1"/>
                  </w14:solidFill>
                </w14:textFill>
              </w:rPr>
              <w:t>内，</w:t>
            </w:r>
            <w:r>
              <w:rPr>
                <w:rFonts w:hint="eastAsia" w:ascii="仿宋_GB2312" w:hAnsi="仿宋_GB2312" w:eastAsia="仿宋_GB2312" w:cs="仿宋_GB2312"/>
                <w:color w:val="000000" w:themeColor="text1"/>
                <w:sz w:val="24"/>
                <w:szCs w:val="24"/>
                <w14:textFill>
                  <w14:solidFill>
                    <w14:schemeClr w14:val="tx1"/>
                  </w14:solidFill>
                </w14:textFill>
              </w:rPr>
              <w:t>因本系统自身原因导致</w:t>
            </w:r>
            <w:r>
              <w:rPr>
                <w:rFonts w:hint="eastAsia" w:ascii="仿宋_GB2312" w:hAnsi="仿宋_GB2312" w:eastAsia="仿宋_GB2312" w:cs="仿宋_GB2312"/>
                <w:color w:val="000000" w:themeColor="text1"/>
                <w:sz w:val="24"/>
                <w:szCs w:val="24"/>
                <w:lang w:eastAsia="zh-TW"/>
                <w14:textFill>
                  <w14:solidFill>
                    <w14:schemeClr w14:val="tx1"/>
                  </w14:solidFill>
                </w14:textFill>
              </w:rPr>
              <w:t>不可用时间每增加8小时，扣减5%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故障处理超时</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一级或二级故障处理超时，每发生1次，扣减2%当期维保费用</w:t>
            </w:r>
          </w:p>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三级故障处理超时，每发生1次，扣减0.1%当期维保费用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缺陷处理超时</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紧急缺陷处理超时，每发生1次，扣减2%</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普通缺陷处理超时，每发生1次，扣减0.1%</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不遵守招标方信息系统运维工作相关规定，进行违规操作</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每发生1次，扣减1%</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工作失误</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每发生1次，扣减0.5%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r>
              <w:rPr>
                <w:rFonts w:hint="eastAsia" w:ascii="仿宋_GB2312" w:hAnsi="仿宋_GB2312" w:eastAsia="仿宋_GB2312" w:cs="仿宋_GB2312"/>
                <w:color w:val="000000" w:themeColor="text1"/>
                <w:sz w:val="24"/>
                <w:szCs w:val="24"/>
                <w:lang w:eastAsia="zh-TW"/>
                <w14:textFill>
                  <w14:solidFill>
                    <w14:schemeClr w14:val="tx1"/>
                  </w14:solidFill>
                </w14:textFill>
              </w:rPr>
              <w:t>。造成重大影响的，酌情加重扣减。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客户投诉</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如经查实确为中标方原因造成系统客户投诉，每投诉1次，扣减0.5%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运维周报和月报、运行记录等运维文档提交或记录不及时，不完整，不规范，不参加工作例会</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每发生1次，扣减0.5%</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如要求中标方技术人员驻场工作但未驻场</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每发生1次，扣减</w:t>
            </w: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中标方未经招标方书面同意，</w:t>
            </w:r>
            <w:r>
              <w:rPr>
                <w:rFonts w:hint="eastAsia" w:ascii="仿宋_GB2312" w:hAnsi="仿宋_GB2312" w:eastAsia="仿宋_GB2312" w:cs="仿宋_GB2312"/>
                <w:color w:val="000000" w:themeColor="text1"/>
                <w:sz w:val="24"/>
                <w:szCs w:val="24"/>
                <w14:textFill>
                  <w14:solidFill>
                    <w14:schemeClr w14:val="tx1"/>
                  </w14:solidFill>
                </w14:textFill>
              </w:rPr>
              <w:t>擅自</w:t>
            </w:r>
            <w:r>
              <w:rPr>
                <w:rFonts w:hint="eastAsia" w:ascii="仿宋_GB2312" w:hAnsi="仿宋_GB2312" w:eastAsia="仿宋_GB2312" w:cs="仿宋_GB2312"/>
                <w:color w:val="000000" w:themeColor="text1"/>
                <w:sz w:val="24"/>
                <w:szCs w:val="24"/>
                <w:lang w:eastAsia="zh-TW"/>
                <w14:textFill>
                  <w14:solidFill>
                    <w14:schemeClr w14:val="tx1"/>
                  </w14:solidFill>
                </w14:textFill>
              </w:rPr>
              <w:t>更换维保服务人员</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每发生1人次，扣减</w:t>
            </w: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维保服务人员不遵守招标方工作纪律</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每发生1人次，扣减0.1%</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在遇到紧急事件处理时，维保服务人员电话未能及时接通</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lang w:eastAsia="zh-TW"/>
                <w14:textFill>
                  <w14:solidFill>
                    <w14:schemeClr w14:val="tx1"/>
                  </w14:solidFill>
                </w14:textFill>
              </w:rPr>
            </w:pPr>
            <w:r>
              <w:rPr>
                <w:rFonts w:hint="eastAsia" w:ascii="仿宋_GB2312" w:hAnsi="仿宋_GB2312" w:eastAsia="仿宋_GB2312" w:cs="仿宋_GB2312"/>
                <w:color w:val="000000" w:themeColor="text1"/>
                <w:sz w:val="24"/>
                <w:szCs w:val="24"/>
                <w:lang w:eastAsia="zh-TW"/>
                <w14:textFill>
                  <w14:solidFill>
                    <w14:schemeClr w14:val="tx1"/>
                  </w14:solidFill>
                </w14:textFill>
              </w:rPr>
              <w:t>每发生1人次，扣减0.</w:t>
            </w: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TW"/>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w:t>
            </w:r>
          </w:p>
        </w:tc>
        <w:tc>
          <w:tcPr>
            <w:tcW w:w="3219"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未按中标方要求完成对不影响系统架构的局部功能调整</w:t>
            </w:r>
          </w:p>
        </w:tc>
        <w:tc>
          <w:tcPr>
            <w:tcW w:w="4805" w:type="dxa"/>
            <w:noWrap w:val="0"/>
            <w:vAlign w:val="center"/>
          </w:tcPr>
          <w:p>
            <w:pPr>
              <w:widowControl/>
              <w:spacing w:line="440" w:lineRule="exact"/>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每发生1次，扣减1%当期维保费用</w:t>
            </w:r>
          </w:p>
        </w:tc>
      </w:tr>
    </w:tbl>
    <w:p>
      <w:pPr>
        <w:spacing w:line="560" w:lineRule="exact"/>
        <w:ind w:firstLine="480" w:firstLineChars="200"/>
        <w:outlineLvl w:val="1"/>
        <w:rPr>
          <w:rFonts w:hint="eastAsia" w:ascii="仿宋_GB2312" w:hAnsi="Calibri" w:eastAsia="仿宋_GB2312" w:cs="Times New Roman"/>
          <w:color w:val="000000" w:themeColor="text1"/>
          <w:sz w:val="24"/>
          <w:lang w:val="en-US" w:eastAsia="zh-CN"/>
          <w14:textFill>
            <w14:solidFill>
              <w14:schemeClr w14:val="tx1"/>
            </w14:solidFill>
          </w14:textFill>
        </w:rPr>
      </w:pPr>
      <w:bookmarkStart w:id="127" w:name="_Toc8737"/>
      <w:bookmarkStart w:id="128" w:name="_Toc21802"/>
      <w:r>
        <w:rPr>
          <w:rFonts w:hint="eastAsia" w:ascii="仿宋_GB2312" w:hAnsi="Calibri" w:eastAsia="仿宋_GB2312" w:cs="Times New Roman"/>
          <w:color w:val="000000" w:themeColor="text1"/>
          <w:sz w:val="24"/>
          <w:lang w:val="en-US" w:eastAsia="zh-CN"/>
          <w14:textFill>
            <w14:solidFill>
              <w14:schemeClr w14:val="tx1"/>
            </w14:solidFill>
          </w14:textFill>
        </w:rPr>
        <w:t>（五）其他服务</w:t>
      </w:r>
      <w:bookmarkEnd w:id="127"/>
      <w:bookmarkEnd w:id="128"/>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中标方应书面说明关于本项目的维护队伍情况、实施组织方式、服务模式，以及售后服务的开展方式；</w:t>
      </w:r>
    </w:p>
    <w:p>
      <w:pPr>
        <w:pStyle w:val="23"/>
        <w:spacing w:line="360" w:lineRule="auto"/>
        <w:ind w:firstLineChars="0"/>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t>中标方应对其本地的售后服务、技术支持方面的情况作出说明（包括在贵州省内如贵阳市有无相关服务机构、地点设在何处、维护人员构成、提供服务的时段、维保服务范围、收费情况及服务方式等）。</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Calibri Light">
    <w:altName w:val="Calibri"/>
    <w:panose1 w:val="020F0302020204030204"/>
    <w:charset w:val="00"/>
    <w:family w:val="auto"/>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posOffset>-31750</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pt;margin-top:0.8pt;height:144pt;width:144pt;mso-position-horizontal-relative:margin;mso-wrap-style:none;z-index:251659264;mso-width-relative:page;mso-height-relative:page;" filled="f" stroked="f" coordsize="21600,21600" o:gfxdata="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Ao/dN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posOffset>-31750</wp:posOffset>
              </wp:positionH>
              <wp:positionV relativeFrom="paragraph">
                <wp:posOffset>10160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pt;margin-top:0.8pt;height:144pt;width:144pt;mso-position-horizontal-relative:margin;mso-wrap-style:none;z-index:251660288;mso-width-relative:page;mso-height-relative:page;" filled="f" stroked="f" coordsize="21600,21600" o:gfxdata="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Ao/dN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A9D2A"/>
    <w:multiLevelType w:val="multilevel"/>
    <w:tmpl w:val="92EA9D2A"/>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default" w:ascii="仿宋_GB2312" w:hAnsi="仿宋_GB2312" w:eastAsia="仿宋_GB2312" w:cs="仿宋_GB2312"/>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7463019"/>
    <w:multiLevelType w:val="singleLevel"/>
    <w:tmpl w:val="C7463019"/>
    <w:lvl w:ilvl="0" w:tentative="0">
      <w:start w:val="1"/>
      <w:numFmt w:val="chineseCounting"/>
      <w:suff w:val="nothing"/>
      <w:lvlText w:val="（%1）"/>
      <w:lvlJc w:val="left"/>
      <w:pPr>
        <w:ind w:left="0" w:firstLine="420"/>
      </w:pPr>
      <w:rPr>
        <w:rFonts w:hint="eastAsia"/>
      </w:rPr>
    </w:lvl>
  </w:abstractNum>
  <w:abstractNum w:abstractNumId="2">
    <w:nsid w:val="D5D2AB5E"/>
    <w:multiLevelType w:val="singleLevel"/>
    <w:tmpl w:val="D5D2AB5E"/>
    <w:lvl w:ilvl="0" w:tentative="0">
      <w:start w:val="1"/>
      <w:numFmt w:val="decimal"/>
      <w:lvlText w:val="%1."/>
      <w:lvlJc w:val="left"/>
      <w:pPr>
        <w:tabs>
          <w:tab w:val="left" w:pos="312"/>
        </w:tabs>
      </w:pPr>
    </w:lvl>
  </w:abstractNum>
  <w:abstractNum w:abstractNumId="3">
    <w:nsid w:val="F2D2B87F"/>
    <w:multiLevelType w:val="singleLevel"/>
    <w:tmpl w:val="F2D2B87F"/>
    <w:lvl w:ilvl="0" w:tentative="0">
      <w:start w:val="1"/>
      <w:numFmt w:val="chineseCounting"/>
      <w:suff w:val="nothing"/>
      <w:lvlText w:val="（%1）"/>
      <w:lvlJc w:val="left"/>
      <w:pPr>
        <w:ind w:left="0" w:firstLine="420"/>
      </w:pPr>
      <w:rPr>
        <w:rFonts w:hint="eastAsia"/>
      </w:rPr>
    </w:lvl>
  </w:abstractNum>
  <w:abstractNum w:abstractNumId="4">
    <w:nsid w:val="037D14D4"/>
    <w:multiLevelType w:val="multilevel"/>
    <w:tmpl w:val="037D14D4"/>
    <w:lvl w:ilvl="0" w:tentative="0">
      <w:start w:val="1"/>
      <w:numFmt w:val="decimal"/>
      <w:suff w:val="nothing"/>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3B13F05"/>
    <w:multiLevelType w:val="multilevel"/>
    <w:tmpl w:val="03B13F0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36A9FA"/>
    <w:multiLevelType w:val="multilevel"/>
    <w:tmpl w:val="0536A9FA"/>
    <w:lvl w:ilvl="0" w:tentative="0">
      <w:start w:val="1"/>
      <w:numFmt w:val="decimal"/>
      <w:lvlText w:val="%1."/>
      <w:lvlJc w:val="left"/>
      <w:pPr>
        <w:tabs>
          <w:tab w:val="left" w:pos="840"/>
        </w:tabs>
        <w:ind w:left="1265" w:hanging="425"/>
      </w:pPr>
      <w:rPr>
        <w:rFonts w:hint="default"/>
      </w:rPr>
    </w:lvl>
    <w:lvl w:ilvl="1" w:tentative="0">
      <w:start w:val="1"/>
      <w:numFmt w:val="decimal"/>
      <w:lvlText w:val="(%2)"/>
      <w:lvlJc w:val="left"/>
      <w:pPr>
        <w:tabs>
          <w:tab w:val="left" w:pos="840"/>
        </w:tabs>
        <w:ind w:left="1680" w:leftChars="0" w:hanging="420" w:firstLineChars="0"/>
      </w:pPr>
      <w:rPr>
        <w:rFonts w:hint="default"/>
      </w:rPr>
    </w:lvl>
    <w:lvl w:ilvl="2" w:tentative="0">
      <w:start w:val="1"/>
      <w:numFmt w:val="decimalEnclosedCircleChinese"/>
      <w:lvlText w:val="%3"/>
      <w:lvlJc w:val="left"/>
      <w:pPr>
        <w:tabs>
          <w:tab w:val="left" w:pos="1260"/>
        </w:tabs>
        <w:ind w:left="2100" w:leftChars="0" w:hanging="420" w:firstLineChars="0"/>
      </w:pPr>
      <w:rPr>
        <w:rFonts w:hint="default"/>
      </w:rPr>
    </w:lvl>
    <w:lvl w:ilvl="3" w:tentative="0">
      <w:start w:val="1"/>
      <w:numFmt w:val="decimal"/>
      <w:lvlText w:val="%4)"/>
      <w:lvlJc w:val="left"/>
      <w:pPr>
        <w:tabs>
          <w:tab w:val="left" w:pos="1680"/>
        </w:tabs>
        <w:ind w:left="2520" w:leftChars="0" w:hanging="420" w:firstLineChars="0"/>
      </w:pPr>
      <w:rPr>
        <w:rFonts w:hint="default"/>
      </w:rPr>
    </w:lvl>
    <w:lvl w:ilvl="4" w:tentative="0">
      <w:start w:val="1"/>
      <w:numFmt w:val="lowerLetter"/>
      <w:lvlText w:val="%5."/>
      <w:lvlJc w:val="left"/>
      <w:pPr>
        <w:tabs>
          <w:tab w:val="left" w:pos="2100"/>
        </w:tabs>
        <w:ind w:left="2940" w:leftChars="0" w:hanging="420" w:firstLineChars="0"/>
      </w:pPr>
      <w:rPr>
        <w:rFonts w:hint="default"/>
      </w:rPr>
    </w:lvl>
    <w:lvl w:ilvl="5" w:tentative="0">
      <w:start w:val="1"/>
      <w:numFmt w:val="lowerLetter"/>
      <w:lvlText w:val="%6)"/>
      <w:lvlJc w:val="left"/>
      <w:pPr>
        <w:tabs>
          <w:tab w:val="left" w:pos="2520"/>
        </w:tabs>
        <w:ind w:left="3360" w:leftChars="0" w:hanging="420" w:firstLineChars="0"/>
      </w:pPr>
      <w:rPr>
        <w:rFonts w:hint="default"/>
      </w:rPr>
    </w:lvl>
    <w:lvl w:ilvl="6" w:tentative="0">
      <w:start w:val="1"/>
      <w:numFmt w:val="lowerRoman"/>
      <w:lvlText w:val="%7."/>
      <w:lvlJc w:val="left"/>
      <w:pPr>
        <w:tabs>
          <w:tab w:val="left" w:pos="2940"/>
        </w:tabs>
        <w:ind w:left="3780" w:leftChars="0" w:hanging="420" w:firstLineChars="0"/>
      </w:pPr>
      <w:rPr>
        <w:rFonts w:hint="default"/>
      </w:rPr>
    </w:lvl>
    <w:lvl w:ilvl="7" w:tentative="0">
      <w:start w:val="1"/>
      <w:numFmt w:val="lowerRoman"/>
      <w:lvlText w:val="%8)"/>
      <w:lvlJc w:val="left"/>
      <w:pPr>
        <w:tabs>
          <w:tab w:val="left" w:pos="3360"/>
        </w:tabs>
        <w:ind w:left="4200" w:leftChars="0" w:hanging="420" w:firstLineChars="0"/>
      </w:pPr>
      <w:rPr>
        <w:rFonts w:hint="default"/>
      </w:rPr>
    </w:lvl>
    <w:lvl w:ilvl="8" w:tentative="0">
      <w:start w:val="1"/>
      <w:numFmt w:val="lowerLetter"/>
      <w:lvlText w:val="%9."/>
      <w:lvlJc w:val="left"/>
      <w:pPr>
        <w:tabs>
          <w:tab w:val="left" w:pos="3780"/>
        </w:tabs>
        <w:ind w:left="4620" w:leftChars="0" w:hanging="420" w:firstLineChars="0"/>
      </w:pPr>
      <w:rPr>
        <w:rFonts w:hint="default"/>
      </w:rPr>
    </w:lvl>
  </w:abstractNum>
  <w:abstractNum w:abstractNumId="7">
    <w:nsid w:val="266529EE"/>
    <w:multiLevelType w:val="singleLevel"/>
    <w:tmpl w:val="266529EE"/>
    <w:lvl w:ilvl="0" w:tentative="0">
      <w:start w:val="1"/>
      <w:numFmt w:val="chineseCounting"/>
      <w:suff w:val="nothing"/>
      <w:lvlText w:val="（%1）"/>
      <w:lvlJc w:val="left"/>
      <w:pPr>
        <w:ind w:left="0" w:firstLine="420"/>
      </w:pPr>
      <w:rPr>
        <w:rFonts w:hint="eastAsia"/>
      </w:rPr>
    </w:lvl>
  </w:abstractNum>
  <w:abstractNum w:abstractNumId="8">
    <w:nsid w:val="3EA7F25A"/>
    <w:multiLevelType w:val="singleLevel"/>
    <w:tmpl w:val="3EA7F25A"/>
    <w:lvl w:ilvl="0" w:tentative="0">
      <w:start w:val="1"/>
      <w:numFmt w:val="decimal"/>
      <w:lvlText w:val="%1."/>
      <w:lvlJc w:val="left"/>
      <w:pPr>
        <w:tabs>
          <w:tab w:val="left" w:pos="840"/>
        </w:tabs>
        <w:ind w:left="1265" w:hanging="425"/>
      </w:pPr>
      <w:rPr>
        <w:rFonts w:hint="default"/>
      </w:rPr>
    </w:lvl>
  </w:abstractNum>
  <w:abstractNum w:abstractNumId="9">
    <w:nsid w:val="605912E3"/>
    <w:multiLevelType w:val="multilevel"/>
    <w:tmpl w:val="605912E3"/>
    <w:lvl w:ilvl="0" w:tentative="0">
      <w:start w:val="1"/>
      <w:numFmt w:val="decimal"/>
      <w:lvlText w:val="%1"/>
      <w:lvlJc w:val="left"/>
      <w:pPr>
        <w:ind w:left="425" w:hanging="425"/>
      </w:pPr>
      <w:rPr>
        <w:rFonts w:hint="eastAsia"/>
      </w:rPr>
    </w:lvl>
    <w:lvl w:ilvl="1" w:tentative="0">
      <w:start w:val="1"/>
      <w:numFmt w:val="decimal"/>
      <w:lvlText w:val="%1.%2"/>
      <w:lvlJc w:val="left"/>
      <w:pPr>
        <w:ind w:left="425" w:firstLine="0"/>
      </w:pPr>
      <w:rPr>
        <w:rFonts w:hint="eastAsia"/>
      </w:rPr>
    </w:lvl>
    <w:lvl w:ilvl="2" w:tentative="0">
      <w:start w:val="1"/>
      <w:numFmt w:val="decimal"/>
      <w:lvlText w:val="%1.%2.%3"/>
      <w:lvlJc w:val="left"/>
      <w:pPr>
        <w:ind w:left="425" w:firstLine="0"/>
      </w:pPr>
      <w:rPr>
        <w:rFonts w:hint="eastAsia" w:ascii="楷体" w:hAnsi="楷体" w:eastAsia="楷体"/>
        <w:b w:val="0"/>
        <w:bCs w:val="0"/>
        <w:sz w:val="32"/>
        <w:szCs w:val="32"/>
      </w:rPr>
    </w:lvl>
    <w:lvl w:ilvl="3" w:tentative="0">
      <w:start w:val="1"/>
      <w:numFmt w:val="decimal"/>
      <w:lvlText w:val="%1.%2.%3.%4"/>
      <w:lvlJc w:val="left"/>
      <w:pPr>
        <w:tabs>
          <w:tab w:val="left" w:pos="425"/>
        </w:tabs>
        <w:ind w:left="425" w:firstLine="0"/>
      </w:pPr>
      <w:rPr>
        <w:rFonts w:hint="eastAsia" w:ascii="楷体" w:hAnsi="楷体" w:eastAsia="楷体"/>
        <w:b w:val="0"/>
        <w:sz w:val="32"/>
        <w:szCs w:val="32"/>
      </w:rPr>
    </w:lvl>
    <w:lvl w:ilvl="4" w:tentative="0">
      <w:start w:val="1"/>
      <w:numFmt w:val="decimal"/>
      <w:lvlText w:val="%1.%2.%3.%4.%5"/>
      <w:lvlJc w:val="left"/>
      <w:pPr>
        <w:ind w:left="0" w:firstLine="0"/>
      </w:pPr>
      <w:rPr>
        <w:rFonts w:ascii="楷体" w:hAnsi="楷体" w:eastAsia="楷体"/>
        <w:b w:val="0"/>
        <w:bCs w:val="0"/>
        <w:i w:val="0"/>
        <w:iCs w:val="0"/>
        <w:caps w:val="0"/>
        <w:smallCaps w:val="0"/>
        <w:strike w:val="0"/>
        <w:dstrike w:val="0"/>
        <w:vanish w:val="0"/>
        <w:spacing w:val="0"/>
        <w:position w:val="0"/>
        <w:sz w:val="32"/>
        <w:szCs w:val="32"/>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lvlText w:val="%1.%2.%3.%4.%5.%6"/>
      <w:lvlJc w:val="left"/>
      <w:pPr>
        <w:ind w:left="425" w:firstLine="0"/>
      </w:pPr>
      <w:rPr>
        <w:rFonts w:hint="eastAsia"/>
      </w:rPr>
    </w:lvl>
    <w:lvl w:ilvl="6" w:tentative="0">
      <w:start w:val="1"/>
      <w:numFmt w:val="decimal"/>
      <w:lvlText w:val="%1.%2.%3.%4.%5.%6.%7"/>
      <w:lvlJc w:val="left"/>
      <w:pPr>
        <w:ind w:left="425"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63D366A8"/>
    <w:multiLevelType w:val="singleLevel"/>
    <w:tmpl w:val="63D366A8"/>
    <w:lvl w:ilvl="0" w:tentative="0">
      <w:start w:val="1"/>
      <w:numFmt w:val="decimal"/>
      <w:lvlText w:val="%1."/>
      <w:lvlJc w:val="left"/>
      <w:pPr>
        <w:tabs>
          <w:tab w:val="left" w:pos="420"/>
        </w:tabs>
        <w:ind w:left="845" w:hanging="425"/>
      </w:pPr>
      <w:rPr>
        <w:rFonts w:hint="default"/>
      </w:rPr>
    </w:lvl>
  </w:abstractNum>
  <w:abstractNum w:abstractNumId="11">
    <w:nsid w:val="75165C69"/>
    <w:multiLevelType w:val="multilevel"/>
    <w:tmpl w:val="75165C69"/>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9"/>
  </w:num>
  <w:num w:numId="2">
    <w:abstractNumId w:val="11"/>
  </w:num>
  <w:num w:numId="3">
    <w:abstractNumId w:val="0"/>
  </w:num>
  <w:num w:numId="4">
    <w:abstractNumId w:val="7"/>
  </w:num>
  <w:num w:numId="5">
    <w:abstractNumId w:val="1"/>
  </w:num>
  <w:num w:numId="6">
    <w:abstractNumId w:val="6"/>
  </w:num>
  <w:num w:numId="7">
    <w:abstractNumId w:val="8"/>
  </w:num>
  <w:num w:numId="8">
    <w:abstractNumId w:val="3"/>
  </w:num>
  <w:num w:numId="9">
    <w:abstractNumId w:val="4"/>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YTg2ZDU0NGZhYTgzMzM0OTkzYTYyYmVlOTFmOWQifQ=="/>
  </w:docVars>
  <w:rsids>
    <w:rsidRoot w:val="00000000"/>
    <w:rsid w:val="007C2D64"/>
    <w:rsid w:val="00B42DC8"/>
    <w:rsid w:val="0111123C"/>
    <w:rsid w:val="0127594B"/>
    <w:rsid w:val="068756ED"/>
    <w:rsid w:val="08E367EA"/>
    <w:rsid w:val="09151F1E"/>
    <w:rsid w:val="09BD7FD6"/>
    <w:rsid w:val="09FD3758"/>
    <w:rsid w:val="0AE50A6E"/>
    <w:rsid w:val="0C4134E6"/>
    <w:rsid w:val="0DFB13D1"/>
    <w:rsid w:val="0EC766F3"/>
    <w:rsid w:val="0FAF420E"/>
    <w:rsid w:val="103D4CAB"/>
    <w:rsid w:val="1335295A"/>
    <w:rsid w:val="148E0DD7"/>
    <w:rsid w:val="156806C6"/>
    <w:rsid w:val="15833285"/>
    <w:rsid w:val="17C0595E"/>
    <w:rsid w:val="18065369"/>
    <w:rsid w:val="19E61CAF"/>
    <w:rsid w:val="1A8E4F86"/>
    <w:rsid w:val="1B6A434C"/>
    <w:rsid w:val="1DF93B20"/>
    <w:rsid w:val="1ED35FA5"/>
    <w:rsid w:val="1EDA21E4"/>
    <w:rsid w:val="1F2E1863"/>
    <w:rsid w:val="20816650"/>
    <w:rsid w:val="22332BD6"/>
    <w:rsid w:val="227710FC"/>
    <w:rsid w:val="22942F5A"/>
    <w:rsid w:val="264430C6"/>
    <w:rsid w:val="28F2529B"/>
    <w:rsid w:val="291A7A20"/>
    <w:rsid w:val="2B6975CC"/>
    <w:rsid w:val="2CB02B4D"/>
    <w:rsid w:val="2D216FB2"/>
    <w:rsid w:val="30694E3E"/>
    <w:rsid w:val="333A3331"/>
    <w:rsid w:val="35C0308E"/>
    <w:rsid w:val="366248FA"/>
    <w:rsid w:val="366D4898"/>
    <w:rsid w:val="37E9635A"/>
    <w:rsid w:val="387D2CAF"/>
    <w:rsid w:val="394A0EC1"/>
    <w:rsid w:val="39677CC5"/>
    <w:rsid w:val="3AD97FA4"/>
    <w:rsid w:val="3C2015D1"/>
    <w:rsid w:val="3D5A0966"/>
    <w:rsid w:val="3D84460C"/>
    <w:rsid w:val="3F994B49"/>
    <w:rsid w:val="3FF65E5B"/>
    <w:rsid w:val="40AE2F3B"/>
    <w:rsid w:val="40B13888"/>
    <w:rsid w:val="41A1312A"/>
    <w:rsid w:val="422C7A95"/>
    <w:rsid w:val="428667F4"/>
    <w:rsid w:val="437E79B5"/>
    <w:rsid w:val="43D55013"/>
    <w:rsid w:val="444F5F9F"/>
    <w:rsid w:val="44832515"/>
    <w:rsid w:val="46732094"/>
    <w:rsid w:val="470844C2"/>
    <w:rsid w:val="48376AB4"/>
    <w:rsid w:val="4ADF5C32"/>
    <w:rsid w:val="4B5A3DF9"/>
    <w:rsid w:val="4C8B5E60"/>
    <w:rsid w:val="4CA138B7"/>
    <w:rsid w:val="4DAE34C2"/>
    <w:rsid w:val="50262331"/>
    <w:rsid w:val="53B1460A"/>
    <w:rsid w:val="549577B6"/>
    <w:rsid w:val="551254BD"/>
    <w:rsid w:val="577410C2"/>
    <w:rsid w:val="57F0418F"/>
    <w:rsid w:val="5D387860"/>
    <w:rsid w:val="5E864CFF"/>
    <w:rsid w:val="5E873E9A"/>
    <w:rsid w:val="620A1B99"/>
    <w:rsid w:val="64690604"/>
    <w:rsid w:val="64CA5827"/>
    <w:rsid w:val="64E846EC"/>
    <w:rsid w:val="65994838"/>
    <w:rsid w:val="65FC33BF"/>
    <w:rsid w:val="66773604"/>
    <w:rsid w:val="66835BF2"/>
    <w:rsid w:val="674227C6"/>
    <w:rsid w:val="67E53097"/>
    <w:rsid w:val="681545CD"/>
    <w:rsid w:val="68B26B33"/>
    <w:rsid w:val="68C63BC5"/>
    <w:rsid w:val="68C85954"/>
    <w:rsid w:val="6A5A06B4"/>
    <w:rsid w:val="6C0722C1"/>
    <w:rsid w:val="6C103720"/>
    <w:rsid w:val="6E290AC9"/>
    <w:rsid w:val="6FCB5AFE"/>
    <w:rsid w:val="755336DF"/>
    <w:rsid w:val="755F1A92"/>
    <w:rsid w:val="794060C5"/>
    <w:rsid w:val="79C73300"/>
    <w:rsid w:val="7A4A028D"/>
    <w:rsid w:val="7AF14110"/>
    <w:rsid w:val="7B825A3E"/>
    <w:rsid w:val="7C8B6E81"/>
    <w:rsid w:val="7D585D1B"/>
    <w:rsid w:val="7E505BFE"/>
    <w:rsid w:val="7F2A7880"/>
    <w:rsid w:val="7F74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numPr>
        <w:ilvl w:val="0"/>
        <w:numId w:val="2"/>
      </w:numPr>
      <w:spacing w:before="260" w:after="260" w:line="560" w:lineRule="exact"/>
      <w:ind w:left="0" w:firstLine="0" w:firstLineChars="0"/>
      <w:jc w:val="left"/>
      <w:outlineLvl w:val="0"/>
      <w:pPrChange w:id="0" w:author="王静怡" w:date="2023-09-07T09:06:00Z">
        <w:pPr>
          <w:keepNext/>
          <w:keepLines/>
          <w:widowControl w:val="0"/>
          <w:numPr>
            <w:numId w:val="1"/>
          </w:numPr>
          <w:spacing w:before="260" w:after="260" w:line="560" w:lineRule="exact"/>
          <w:outlineLvl w:val="0"/>
        </w:pPr>
      </w:pPrChange>
    </w:pPr>
    <w:rPr>
      <w:rFonts w:ascii="黑体" w:hAnsi="黑体" w:eastAsia="楷体" w:cs="宋体"/>
      <w:bCs/>
      <w:kern w:val="44"/>
      <w:szCs w:val="44"/>
      <w:rPrChange w:id="1" w:author="王静怡" w:date="2023-09-07T09:06:00Z">
        <w:rPr>
          <w:rFonts w:ascii="黑体" w:hAnsi="黑体" w:eastAsia="楷体" w:cs="宋体"/>
          <w:bCs/>
          <w:kern w:val="44"/>
          <w:sz w:val="32"/>
          <w:szCs w:val="44"/>
          <w:lang w:val="en-US" w:eastAsia="zh-CN" w:bidi="ar-SA"/>
        </w:rPr>
      </w:rPrChange>
    </w:rPr>
  </w:style>
  <w:style w:type="paragraph" w:styleId="4">
    <w:name w:val="heading 2"/>
    <w:basedOn w:val="1"/>
    <w:next w:val="1"/>
    <w:unhideWhenUsed/>
    <w:qFormat/>
    <w:uiPriority w:val="99"/>
    <w:pPr>
      <w:keepNext/>
      <w:keepLines/>
      <w:numPr>
        <w:ilvl w:val="1"/>
        <w:numId w:val="3"/>
      </w:numPr>
      <w:adjustRightInd w:val="0"/>
      <w:snapToGrid w:val="0"/>
      <w:spacing w:before="120" w:after="120"/>
      <w:jc w:val="both"/>
      <w:outlineLvl w:val="1"/>
    </w:pPr>
    <w:rPr>
      <w:rFonts w:ascii="黑体" w:hAnsi="黑体" w:eastAsia="黑体" w:cs="黑体"/>
      <w:bCs/>
      <w:kern w:val="2"/>
      <w:sz w:val="24"/>
      <w:szCs w:val="24"/>
      <w:lang w:val="en-US" w:eastAsia="zh-CN" w:bidi="ar-SA"/>
    </w:rPr>
  </w:style>
  <w:style w:type="paragraph" w:styleId="5">
    <w:name w:val="heading 3"/>
    <w:basedOn w:val="1"/>
    <w:next w:val="1"/>
    <w:unhideWhenUsed/>
    <w:qFormat/>
    <w:uiPriority w:val="99"/>
    <w:pPr>
      <w:keepNext/>
      <w:keepLines/>
      <w:numPr>
        <w:ilvl w:val="2"/>
        <w:numId w:val="3"/>
      </w:numPr>
      <w:adjustRightInd w:val="0"/>
      <w:snapToGrid w:val="0"/>
      <w:spacing w:before="163" w:beforeLines="50" w:after="163" w:afterLines="50"/>
      <w:ind w:left="0" w:firstLine="400"/>
      <w:jc w:val="both"/>
      <w:outlineLvl w:val="2"/>
    </w:pPr>
    <w:rPr>
      <w:rFonts w:ascii="黑体" w:hAnsi="黑体" w:eastAsia="黑体" w:cs="黑体"/>
      <w:kern w:val="2"/>
      <w:sz w:val="24"/>
      <w:szCs w:val="24"/>
      <w:lang w:val="en-US" w:eastAsia="zh-CN" w:bidi="ar-SA"/>
    </w:rPr>
  </w:style>
  <w:style w:type="paragraph" w:styleId="6">
    <w:name w:val="heading 4"/>
    <w:basedOn w:val="1"/>
    <w:next w:val="1"/>
    <w:qFormat/>
    <w:uiPriority w:val="9"/>
    <w:pPr>
      <w:spacing w:line="360" w:lineRule="auto"/>
      <w:ind w:firstLine="402" w:firstLineChars="0"/>
      <w:outlineLvl w:val="3"/>
    </w:pPr>
    <w:rPr>
      <w:rFonts w:ascii="宋体" w:hAnsi="宋体" w:eastAsia="宋体" w:cs="Times New Roman"/>
      <w:kern w:val="2"/>
      <w:sz w:val="24"/>
      <w:szCs w:val="24"/>
      <w:lang w:val="en-US" w:eastAsia="zh-CN" w:bidi="ar-SA"/>
    </w:rPr>
  </w:style>
  <w:style w:type="paragraph" w:styleId="7">
    <w:name w:val="heading 5"/>
    <w:basedOn w:val="1"/>
    <w:next w:val="1"/>
    <w:qFormat/>
    <w:uiPriority w:val="0"/>
    <w:pPr>
      <w:keepNext/>
      <w:keepLines/>
      <w:numPr>
        <w:ilvl w:val="4"/>
        <w:numId w:val="3"/>
      </w:numPr>
      <w:tabs>
        <w:tab w:val="left" w:pos="432"/>
        <w:tab w:val="left" w:pos="1150"/>
      </w:tabs>
      <w:spacing w:line="240" w:lineRule="atLeast"/>
      <w:ind w:left="0" w:firstLine="402"/>
      <w:jc w:val="left"/>
      <w:outlineLvl w:val="4"/>
    </w:pPr>
    <w:rPr>
      <w:rFonts w:ascii="Tahoma" w:hAnsi="Tahoma" w:eastAsia="黑体"/>
      <w:kern w:val="20"/>
      <w:sz w:val="28"/>
      <w:szCs w:val="20"/>
    </w:rPr>
  </w:style>
  <w:style w:type="paragraph" w:styleId="8">
    <w:name w:val="heading 6"/>
    <w:basedOn w:val="1"/>
    <w:next w:val="1"/>
    <w:semiHidden/>
    <w:unhideWhenUsed/>
    <w:qFormat/>
    <w:uiPriority w:val="9"/>
    <w:pPr>
      <w:keepNext/>
      <w:keepLines/>
      <w:numPr>
        <w:ilvl w:val="5"/>
        <w:numId w:val="2"/>
      </w:numPr>
      <w:spacing w:before="240" w:after="64" w:line="320" w:lineRule="auto"/>
      <w:ind w:left="0" w:firstLine="402" w:firstLineChars="0"/>
      <w:outlineLvl w:val="5"/>
    </w:pPr>
    <w:rPr>
      <w:rFonts w:asciiTheme="majorHAnsi" w:hAnsiTheme="majorHAnsi" w:eastAsiaTheme="majorEastAsia" w:cstheme="majorBidi"/>
      <w:b/>
      <w:bCs/>
      <w:szCs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Change w:id="2" w:author="王静怡" w:date="2023-09-07T09:06:00Z">
        <w:pPr>
          <w:widowControl w:val="0"/>
          <w:spacing w:before="100" w:beforeAutospacing="1" w:after="100" w:afterAutospacing="1" w:line="360" w:lineRule="auto"/>
          <w:ind w:left="420" w:leftChars="200" w:firstLine="200" w:firstLineChars="200"/>
          <w:jc w:val="both"/>
        </w:pPr>
      </w:pPrChange>
    </w:pPr>
    <w:rPr>
      <w:rPrChange w:id="3" w:author="王静怡" w:date="2023-09-07T09:06:00Z">
        <w:rPr>
          <w:rFonts w:eastAsia="仿宋_GB2312" w:asciiTheme="minorHAnsi" w:hAnsiTheme="minorHAnsi" w:cstheme="minorBidi"/>
          <w:kern w:val="2"/>
          <w:sz w:val="32"/>
          <w:szCs w:val="22"/>
          <w:lang w:val="en-US" w:eastAsia="zh-CN" w:bidi="ar-SA"/>
        </w:rPr>
      </w:rPrChange>
    </w:rPr>
  </w:style>
  <w:style w:type="paragraph" w:styleId="9">
    <w:name w:val="Normal Indent"/>
    <w:basedOn w:val="1"/>
    <w:qFormat/>
    <w:uiPriority w:val="99"/>
    <w:pPr>
      <w:spacing w:beforeLines="25" w:afterLines="25" w:line="480" w:lineRule="exact"/>
      <w:ind w:firstLine="560" w:firstLineChars="200"/>
    </w:pPr>
    <w:rPr>
      <w:rFonts w:ascii="楷体_GB2312" w:hAnsi="Times New Roman" w:eastAsia="楷体_GB2312" w:cs="Times New Roman"/>
      <w:kern w:val="0"/>
      <w:sz w:val="28"/>
      <w:szCs w:val="20"/>
    </w:rPr>
  </w:style>
  <w:style w:type="paragraph" w:styleId="10">
    <w:name w:val="Body Text"/>
    <w:basedOn w:val="1"/>
    <w:next w:val="1"/>
    <w:qFormat/>
    <w:uiPriority w:val="0"/>
    <w:pPr>
      <w:spacing w:line="240" w:lineRule="auto"/>
    </w:pPr>
    <w:rPr>
      <w:rFonts w:ascii="Times New Roman" w:hAnsi="Times New Roman" w:cs="Times New Roman"/>
      <w:i/>
      <w:iCs/>
      <w:sz w:val="18"/>
    </w:rPr>
  </w:style>
  <w:style w:type="paragraph" w:styleId="11">
    <w:name w:val="Body Text Indent"/>
    <w:basedOn w:val="1"/>
    <w:qFormat/>
    <w:uiPriority w:val="0"/>
    <w:pPr>
      <w:spacing w:after="120" w:afterLines="0"/>
      <w:ind w:left="420" w:leftChars="200"/>
    </w:pPr>
    <w:rPr>
      <w:kern w:val="2"/>
      <w:sz w:val="21"/>
      <w:szCs w:val="24"/>
      <w:lang w:bidi="ar-SA"/>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ahoma" w:hAnsi="Tahoma"/>
      <w:sz w:val="18"/>
      <w:szCs w:val="20"/>
    </w:rPr>
  </w:style>
  <w:style w:type="paragraph" w:styleId="14">
    <w:name w:val="toc 1"/>
    <w:basedOn w:val="1"/>
    <w:next w:val="1"/>
    <w:qFormat/>
    <w:uiPriority w:val="39"/>
    <w:pPr>
      <w:spacing w:after="0" w:line="220" w:lineRule="exact"/>
    </w:pPr>
    <w:rPr>
      <w:rFonts w:cs="Calibri"/>
      <w:b/>
      <w:bCs/>
      <w:caps/>
      <w:color w:val="0070C0"/>
      <w:sz w:val="15"/>
      <w:szCs w:val="20"/>
    </w:rPr>
  </w:style>
  <w:style w:type="paragraph" w:styleId="15">
    <w:name w:val="toc 2"/>
    <w:basedOn w:val="1"/>
    <w:next w:val="1"/>
    <w:qFormat/>
    <w:uiPriority w:val="0"/>
    <w:pPr>
      <w:ind w:left="420" w:leftChars="200"/>
    </w:pPr>
  </w:style>
  <w:style w:type="paragraph" w:styleId="16">
    <w:name w:val="Normal (Web)"/>
    <w:basedOn w:val="1"/>
    <w:unhideWhenUsed/>
    <w:qFormat/>
    <w:uiPriority w:val="99"/>
    <w:pPr>
      <w:widowControl/>
      <w:jc w:val="left"/>
    </w:pPr>
    <w:rPr>
      <w:rFonts w:ascii="宋体" w:hAnsi="宋体" w:cs="宋体"/>
      <w:kern w:val="0"/>
      <w:szCs w:val="24"/>
    </w:rPr>
  </w:style>
  <w:style w:type="paragraph" w:styleId="17">
    <w:name w:val="Body Text First Indent"/>
    <w:basedOn w:val="10"/>
    <w:qFormat/>
    <w:uiPriority w:val="0"/>
    <w:pPr>
      <w:ind w:firstLine="420" w:firstLineChars="100"/>
    </w:pPr>
  </w:style>
  <w:style w:type="character" w:styleId="20">
    <w:name w:val="page number"/>
    <w:basedOn w:val="19"/>
    <w:qFormat/>
    <w:uiPriority w:val="0"/>
  </w:style>
  <w:style w:type="paragraph" w:customStyle="1" w:styleId="21">
    <w:name w:val="PwC Normal"/>
    <w:basedOn w:val="1"/>
    <w:qFormat/>
    <w:uiPriority w:val="99"/>
    <w:pPr>
      <w:spacing w:before="180" w:after="180" w:line="240" w:lineRule="atLeast"/>
    </w:pPr>
  </w:style>
  <w:style w:type="paragraph" w:styleId="22">
    <w:name w:val="List Paragraph"/>
    <w:basedOn w:val="1"/>
    <w:qFormat/>
    <w:uiPriority w:val="34"/>
    <w:pPr>
      <w:ind w:firstLine="420"/>
    </w:pPr>
  </w:style>
  <w:style w:type="paragraph" w:customStyle="1" w:styleId="23">
    <w:name w:val="List Paragraph1"/>
    <w:basedOn w:val="1"/>
    <w:qFormat/>
    <w:uiPriority w:val="0"/>
    <w:pPr>
      <w:spacing w:line="240" w:lineRule="auto"/>
      <w:ind w:firstLine="420"/>
    </w:pPr>
    <w:rPr>
      <w:rFonts w:ascii="Times New Roman" w:hAnsi="Times New Roman" w:cs="Times New Roman"/>
      <w:sz w:val="21"/>
      <w:szCs w:val="21"/>
    </w:rPr>
  </w:style>
  <w:style w:type="paragraph" w:customStyle="1" w:styleId="24">
    <w:name w:val="列出段落1"/>
    <w:basedOn w:val="1"/>
    <w:qFormat/>
    <w:uiPriority w:val="34"/>
    <w:pPr>
      <w:ind w:firstLine="420"/>
    </w:pPr>
  </w:style>
  <w:style w:type="paragraph" w:customStyle="1" w:styleId="25">
    <w:name w:val="表内容"/>
    <w:qFormat/>
    <w:uiPriority w:val="0"/>
    <w:pPr>
      <w:spacing w:after="200" w:line="440" w:lineRule="exact"/>
      <w:ind w:firstLine="200" w:firstLineChars="200"/>
      <w:jc w:val="both"/>
    </w:pPr>
    <w:rPr>
      <w:rFonts w:ascii="宋体" w:hAnsi="宋体" w:eastAsia="宋体" w:cs="Times New Roman"/>
      <w:kern w:val="2"/>
      <w:sz w:val="24"/>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2022-09-15T05:37:00Z</dcterms:created>
  <dc:creator>gwooding</dc:creator>
  <cp:lastModifiedBy>100171-石经</cp:lastModifiedBy>
  <cp:lastPrinted>2023-09-18T05:55:00Z</cp:lastPrinted>
  <dcterms:modified xsi:type="dcterms:W3CDTF">2024-04-09T03:04:58Z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EA315A3FB7094A3EB7FBF899C51D5DA0_12</vt:lpwstr>
  </property>
</Properties>
</file>