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方正小标宋简体" w:eastAsia="方正小标宋简体" w:cs="Times New Roman"/>
          <w:sz w:val="44"/>
          <w:szCs w:val="44"/>
          <w:lang w:val="zh-CN"/>
        </w:rPr>
      </w:pPr>
      <w:r>
        <w:rPr>
          <w:rFonts w:ascii="Times New Roman" w:hAnsi="方正小标宋简体" w:eastAsia="方正小标宋简体" w:cs="Times New Roman"/>
          <w:sz w:val="44"/>
          <w:szCs w:val="44"/>
        </w:rPr>
        <w:t>贵州清镇农村商业银行股份有限公司关于与</w:t>
      </w:r>
      <w:r>
        <w:rPr>
          <w:rFonts w:hint="eastAsia" w:ascii="Times New Roman" w:hAnsi="方正小标宋简体" w:eastAsia="方正小标宋简体" w:cs="Times New Roman"/>
          <w:sz w:val="44"/>
          <w:szCs w:val="44"/>
          <w:lang w:val="zh-CN"/>
        </w:rPr>
        <w:t>贵州晨运交通设施工程有限公司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sz w:val="44"/>
          <w:szCs w:val="44"/>
        </w:rPr>
      </w:pPr>
      <w:r>
        <w:rPr>
          <w:rFonts w:ascii="Times New Roman" w:hAnsi="方正小标宋简体" w:eastAsia="方正小标宋简体" w:cs="Times New Roman"/>
          <w:sz w:val="44"/>
          <w:szCs w:val="44"/>
        </w:rPr>
        <w:t>重大关联交易事项的公告</w:t>
      </w:r>
    </w:p>
    <w:p>
      <w:pPr>
        <w:keepNext w:val="0"/>
        <w:keepLines w:val="0"/>
        <w:pageBreakBefore w:val="0"/>
        <w:widowControl w:val="0"/>
        <w:kinsoku/>
        <w:wordWrap/>
        <w:overflowPunct/>
        <w:topLinePunct w:val="0"/>
        <w:autoSpaceDE/>
        <w:autoSpaceDN/>
        <w:bidi w:val="0"/>
        <w:adjustRightInd/>
        <w:snapToGrid/>
        <w:spacing w:line="600" w:lineRule="exact"/>
        <w:ind w:firstLine="380" w:firstLineChars="200"/>
        <w:textAlignment w:val="auto"/>
        <w:rPr>
          <w:rFonts w:ascii="Times New Roman" w:hAnsi="Times New Roman" w:eastAsia="sans-serif" w:cs="Times New Roman"/>
          <w:color w:val="333333"/>
          <w:sz w:val="19"/>
          <w:szCs w:val="19"/>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根据《银行保险机构关联交易管理办法》（中国银行保险监督管理委员会令〔</w:t>
      </w:r>
      <w:r>
        <w:rPr>
          <w:rFonts w:hint="default" w:ascii="Times New Roman" w:hAnsi="Times New Roman" w:eastAsia="仿宋_GB2312" w:cs="Times New Roman"/>
          <w:sz w:val="32"/>
          <w:szCs w:val="32"/>
        </w:rPr>
        <w:t>2022</w:t>
      </w:r>
      <w:r>
        <w:rPr>
          <w:rFonts w:ascii="Times New Roman" w:hAnsi="仿宋_GB2312" w:eastAsia="仿宋_GB2312" w:cs="Times New Roman"/>
          <w:sz w:val="32"/>
          <w:szCs w:val="32"/>
        </w:rPr>
        <w:t>〕</w:t>
      </w:r>
      <w:r>
        <w:rPr>
          <w:rFonts w:hint="default" w:ascii="Times New Roman" w:hAnsi="Times New Roman" w:eastAsia="仿宋_GB2312" w:cs="Times New Roman"/>
          <w:sz w:val="32"/>
          <w:szCs w:val="32"/>
        </w:rPr>
        <w:t>1</w:t>
      </w:r>
      <w:r>
        <w:rPr>
          <w:rFonts w:ascii="Times New Roman" w:hAnsi="仿宋_GB2312" w:eastAsia="仿宋_GB2312" w:cs="Times New Roman"/>
          <w:sz w:val="32"/>
          <w:szCs w:val="32"/>
        </w:rPr>
        <w:t>号），现将贵州清镇农村商业银行股份有限公司（以下简称</w:t>
      </w:r>
      <w:r>
        <w:rPr>
          <w:rFonts w:ascii="Times New Roman" w:hAnsi="Times New Roman" w:eastAsia="仿宋_GB2312" w:cs="Times New Roman"/>
          <w:sz w:val="32"/>
          <w:szCs w:val="32"/>
        </w:rPr>
        <w:t>“</w:t>
      </w:r>
      <w:r>
        <w:rPr>
          <w:rFonts w:ascii="Times New Roman" w:hAnsi="仿宋_GB2312" w:eastAsia="仿宋_GB2312" w:cs="Times New Roman"/>
          <w:sz w:val="32"/>
          <w:szCs w:val="32"/>
        </w:rPr>
        <w:t>本行</w:t>
      </w:r>
      <w:r>
        <w:rPr>
          <w:rFonts w:ascii="Times New Roman" w:hAnsi="Times New Roman" w:eastAsia="仿宋_GB2312" w:cs="Times New Roman"/>
          <w:sz w:val="32"/>
          <w:szCs w:val="32"/>
        </w:rPr>
        <w:t>”</w:t>
      </w:r>
      <w:r>
        <w:rPr>
          <w:rFonts w:ascii="Times New Roman" w:hAnsi="仿宋_GB2312" w:eastAsia="仿宋_GB2312" w:cs="Times New Roman"/>
          <w:sz w:val="32"/>
          <w:szCs w:val="32"/>
        </w:rPr>
        <w:t>）与</w:t>
      </w:r>
      <w:r>
        <w:rPr>
          <w:rFonts w:hint="eastAsia" w:ascii="仿宋_GB2312" w:eastAsia="仿宋_GB2312"/>
          <w:sz w:val="32"/>
          <w:szCs w:val="32"/>
          <w:lang w:val="zh-CN"/>
        </w:rPr>
        <w:t>贵州晨运交通设施工程有限公司</w:t>
      </w:r>
      <w:r>
        <w:rPr>
          <w:rFonts w:ascii="Times New Roman" w:hAnsi="仿宋_GB2312" w:eastAsia="仿宋_GB2312" w:cs="Times New Roman"/>
          <w:sz w:val="32"/>
          <w:szCs w:val="32"/>
        </w:rPr>
        <w:t>重大关联交易情况公告如下：</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黑体" w:eastAsia="黑体" w:cs="Times New Roman"/>
          <w:sz w:val="32"/>
          <w:szCs w:val="32"/>
        </w:rPr>
        <w:t>一、基本概述</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2024</w:t>
      </w:r>
      <w:r>
        <w:rPr>
          <w:rFonts w:ascii="Times New Roman" w:hAnsi="仿宋_GB2312"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月</w:t>
      </w:r>
      <w:r>
        <w:rPr>
          <w:rFonts w:hint="default" w:ascii="Times New Roman" w:hAnsi="Times New Roman" w:eastAsia="仿宋_GB2312" w:cs="Times New Roman"/>
          <w:sz w:val="32"/>
          <w:szCs w:val="32"/>
          <w:lang w:val="en-US" w:eastAsia="zh-CN"/>
        </w:rPr>
        <w:t>27</w:t>
      </w:r>
      <w:r>
        <w:rPr>
          <w:rFonts w:ascii="Times New Roman" w:hAnsi="仿宋_GB2312" w:eastAsia="仿宋_GB2312" w:cs="Times New Roman"/>
          <w:sz w:val="32"/>
          <w:szCs w:val="32"/>
        </w:rPr>
        <w:t>日，本行向</w:t>
      </w:r>
      <w:r>
        <w:rPr>
          <w:rFonts w:hint="eastAsia" w:ascii="Times New Roman" w:hAnsi="仿宋_GB2312" w:eastAsia="仿宋_GB2312" w:cs="Times New Roman"/>
          <w:sz w:val="32"/>
          <w:szCs w:val="32"/>
          <w:lang w:eastAsia="zh-CN"/>
        </w:rPr>
        <w:t>贵州晨运交通设施工程有限公司</w:t>
      </w:r>
      <w:r>
        <w:rPr>
          <w:rFonts w:ascii="Times New Roman" w:hAnsi="仿宋_GB2312" w:eastAsia="仿宋_GB2312" w:cs="Times New Roman"/>
          <w:sz w:val="32"/>
          <w:szCs w:val="32"/>
        </w:rPr>
        <w:t>发放贷款</w:t>
      </w:r>
      <w:r>
        <w:rPr>
          <w:rFonts w:hint="default" w:ascii="Times New Roman" w:hAnsi="Times New Roman" w:eastAsia="仿宋_GB2312" w:cs="Times New Roman"/>
          <w:sz w:val="32"/>
          <w:szCs w:val="32"/>
        </w:rPr>
        <w:t>1</w:t>
      </w:r>
      <w:r>
        <w:rPr>
          <w:rFonts w:ascii="Times New Roman" w:hAnsi="仿宋_GB2312" w:eastAsia="仿宋_GB2312" w:cs="Times New Roman"/>
          <w:sz w:val="32"/>
          <w:szCs w:val="32"/>
        </w:rPr>
        <w:t>笔，金额</w:t>
      </w:r>
      <w:r>
        <w:rPr>
          <w:rFonts w:hint="default" w:ascii="Times New Roman" w:hAnsi="Times New Roman" w:eastAsia="仿宋_GB2312" w:cs="Times New Roman"/>
          <w:sz w:val="32"/>
          <w:szCs w:val="32"/>
          <w:lang w:val="en-US" w:eastAsia="zh-CN"/>
        </w:rPr>
        <w:t>1250</w:t>
      </w:r>
      <w:r>
        <w:rPr>
          <w:rFonts w:ascii="Times New Roman" w:hAnsi="仿宋_GB2312" w:eastAsia="仿宋_GB2312" w:cs="Times New Roman"/>
          <w:sz w:val="32"/>
          <w:szCs w:val="32"/>
        </w:rPr>
        <w:t>万元，期限</w:t>
      </w:r>
      <w:r>
        <w:rPr>
          <w:rFonts w:hint="default" w:ascii="Times New Roman" w:hAnsi="Times New Roman" w:eastAsia="仿宋_GB2312" w:cs="Times New Roman"/>
          <w:sz w:val="32"/>
          <w:szCs w:val="32"/>
          <w:lang w:val="en-US" w:eastAsia="zh-CN"/>
        </w:rPr>
        <w:t>3</w:t>
      </w:r>
      <w:r>
        <w:rPr>
          <w:rFonts w:ascii="Times New Roman" w:hAnsi="仿宋_GB2312" w:eastAsia="仿宋_GB2312" w:cs="Times New Roman"/>
          <w:sz w:val="32"/>
          <w:szCs w:val="32"/>
        </w:rPr>
        <w:t>年，贷款利率</w:t>
      </w:r>
      <w:r>
        <w:rPr>
          <w:rFonts w:hint="default"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黑体" w:eastAsia="黑体" w:cs="Times New Roman"/>
          <w:sz w:val="32"/>
          <w:szCs w:val="32"/>
        </w:rPr>
        <w:t>二、交易对手情况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贵州晨运交通设施工程有限公司成立于</w:t>
      </w:r>
      <w:r>
        <w:rPr>
          <w:rFonts w:hint="default" w:ascii="Times New Roman" w:hAnsi="Times New Roman" w:eastAsia="仿宋_GB2312" w:cs="Times New Roman"/>
          <w:sz w:val="32"/>
          <w:szCs w:val="32"/>
        </w:rPr>
        <w:t>2007</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日，注册资本为</w:t>
      </w:r>
      <w:r>
        <w:rPr>
          <w:rFonts w:hint="default" w:ascii="Times New Roman" w:hAnsi="Times New Roman" w:eastAsia="仿宋_GB2312" w:cs="Times New Roman"/>
          <w:sz w:val="32"/>
          <w:szCs w:val="32"/>
        </w:rPr>
        <w:t>600</w:t>
      </w:r>
      <w:r>
        <w:rPr>
          <w:rFonts w:hint="eastAsia" w:ascii="仿宋_GB2312" w:hAnsi="仿宋_GB2312" w:eastAsia="仿宋_GB2312" w:cs="仿宋_GB2312"/>
          <w:sz w:val="32"/>
          <w:szCs w:val="32"/>
        </w:rPr>
        <w:t>万元，统一社会信用代码：</w:t>
      </w:r>
      <w:r>
        <w:rPr>
          <w:rFonts w:hint="default" w:ascii="Times New Roman" w:hAnsi="Times New Roman" w:eastAsia="仿宋_GB2312" w:cs="Times New Roman"/>
          <w:sz w:val="32"/>
          <w:szCs w:val="32"/>
        </w:rPr>
        <w:t>915201156669837368</w:t>
      </w:r>
      <w:r>
        <w:rPr>
          <w:rFonts w:hint="eastAsia" w:ascii="仿宋_GB2312" w:hAnsi="仿宋_GB2312" w:eastAsia="仿宋_GB2312" w:cs="仿宋_GB2312"/>
          <w:sz w:val="32"/>
          <w:szCs w:val="32"/>
        </w:rPr>
        <w:t>，注册地址：贵州省贵阳市云岩区黄山冲路</w:t>
      </w:r>
      <w:r>
        <w:rPr>
          <w:rFonts w:hint="default" w:ascii="Times New Roman" w:hAnsi="Times New Roman" w:eastAsia="仿宋_GB2312" w:cs="Times New Roman"/>
          <w:sz w:val="32"/>
          <w:szCs w:val="32"/>
        </w:rPr>
        <w:t>71</w:t>
      </w:r>
      <w:r>
        <w:rPr>
          <w:rFonts w:hint="eastAsia" w:ascii="仿宋_GB2312" w:hAnsi="仿宋_GB2312" w:eastAsia="仿宋_GB2312" w:cs="仿宋_GB2312"/>
          <w:sz w:val="32"/>
          <w:szCs w:val="32"/>
        </w:rPr>
        <w:t>号，法定代表人：李陶。主营业务：一般经营项目：制作、销售、建筑工程施工等。</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仿宋_GB2312" w:eastAsia="仿宋_GB2312" w:cs="仿宋_GB2312"/>
          <w:sz w:val="32"/>
          <w:szCs w:val="32"/>
        </w:rPr>
      </w:pPr>
      <w:r>
        <w:rPr>
          <w:rFonts w:ascii="Times New Roman" w:hAnsi="仿宋_GB2312" w:eastAsia="仿宋_GB2312" w:cs="Times New Roman"/>
          <w:sz w:val="32"/>
          <w:szCs w:val="32"/>
        </w:rPr>
        <w:t>根据《银行保险机构关联交易管理办法》，</w:t>
      </w:r>
      <w:r>
        <w:rPr>
          <w:rFonts w:hint="eastAsia" w:ascii="仿宋_GB2312" w:hAnsi="仿宋_GB2312" w:eastAsia="仿宋_GB2312" w:cs="仿宋_GB2312"/>
          <w:sz w:val="32"/>
          <w:szCs w:val="32"/>
        </w:rPr>
        <w:t>本行董事控制或施加重大影响的法人或非法人组织为本行关联方认定范围，将贵州晨运交通设施工程有限公司认定为本行关联方。</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黑体" w:eastAsia="黑体" w:cs="Times New Roman"/>
          <w:sz w:val="32"/>
          <w:szCs w:val="32"/>
        </w:rPr>
        <w:t>三、定价政策</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定价不优于其他非关联方。</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黑体" w:eastAsia="黑体" w:cs="Times New Roman"/>
          <w:sz w:val="32"/>
          <w:szCs w:val="32"/>
        </w:rPr>
        <w:t>四、交易金额及相应比例</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截止</w:t>
      </w:r>
      <w:r>
        <w:rPr>
          <w:rFonts w:hint="default" w:ascii="Times New Roman" w:hAnsi="Times New Roman" w:eastAsia="仿宋_GB2312" w:cs="Times New Roman"/>
          <w:sz w:val="32"/>
          <w:szCs w:val="32"/>
        </w:rPr>
        <w:t>2023</w:t>
      </w:r>
      <w:r>
        <w:rPr>
          <w:rFonts w:ascii="Times New Roman" w:hAnsi="仿宋_GB2312" w:eastAsia="仿宋_GB2312" w:cs="Times New Roman"/>
          <w:sz w:val="32"/>
          <w:szCs w:val="32"/>
        </w:rPr>
        <w:t>年</w:t>
      </w:r>
      <w:r>
        <w:rPr>
          <w:rFonts w:hint="default" w:ascii="Times New Roman" w:hAnsi="Times New Roman" w:eastAsia="仿宋_GB2312" w:cs="Times New Roman"/>
          <w:sz w:val="32"/>
          <w:szCs w:val="32"/>
        </w:rPr>
        <w:t>12</w:t>
      </w:r>
      <w:r>
        <w:rPr>
          <w:rFonts w:ascii="Times New Roman" w:hAnsi="仿宋_GB2312" w:eastAsia="仿宋_GB2312" w:cs="Times New Roman"/>
          <w:sz w:val="32"/>
          <w:szCs w:val="32"/>
        </w:rPr>
        <w:t>月末，本行资本净额</w:t>
      </w:r>
      <w:r>
        <w:rPr>
          <w:rFonts w:hint="default" w:ascii="Times New Roman" w:hAnsi="Times New Roman" w:eastAsia="仿宋_GB2312" w:cs="Times New Roman"/>
          <w:sz w:val="32"/>
          <w:szCs w:val="32"/>
        </w:rPr>
        <w:t>96432</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54</w:t>
      </w:r>
      <w:r>
        <w:rPr>
          <w:rFonts w:ascii="Times New Roman" w:hAnsi="仿宋_GB2312" w:eastAsia="仿宋_GB2312" w:cs="Times New Roman"/>
          <w:sz w:val="32"/>
          <w:szCs w:val="32"/>
        </w:rPr>
        <w:t>万元，本笔关联交易金额</w:t>
      </w:r>
      <w:r>
        <w:rPr>
          <w:rFonts w:hint="default" w:ascii="Times New Roman" w:hAnsi="Times New Roman" w:eastAsia="仿宋_GB2312" w:cs="Times New Roman"/>
          <w:sz w:val="32"/>
          <w:szCs w:val="32"/>
          <w:lang w:val="en-US" w:eastAsia="zh-CN"/>
        </w:rPr>
        <w:t>1250</w:t>
      </w:r>
      <w:r>
        <w:rPr>
          <w:rFonts w:ascii="Times New Roman" w:hAnsi="仿宋_GB2312" w:eastAsia="仿宋_GB2312" w:cs="Times New Roman"/>
          <w:sz w:val="32"/>
          <w:szCs w:val="32"/>
        </w:rPr>
        <w:t>万元，为存量贷款续贷业务，与本行资本净额占比为</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w:t>
      </w:r>
      <w:r>
        <w:rPr>
          <w:rFonts w:ascii="Times New Roman" w:hAnsi="仿宋_GB2312" w:eastAsia="仿宋_GB2312" w:cs="Times New Roman"/>
          <w:sz w:val="32"/>
          <w:szCs w:val="32"/>
        </w:rPr>
        <w:t>，未超出监管机构监管要求（对单个关联方的授信余额不得超过资本净额的</w:t>
      </w:r>
      <w:r>
        <w:rPr>
          <w:rFonts w:hint="default" w:ascii="Times New Roman" w:hAnsi="Times New Roman" w:eastAsia="仿宋_GB2312" w:cs="Times New Roman"/>
          <w:sz w:val="32"/>
          <w:szCs w:val="32"/>
        </w:rPr>
        <w:t>10</w:t>
      </w:r>
      <w:r>
        <w:rPr>
          <w:rFonts w:ascii="Times New Roman" w:hAnsi="Times New Roman" w:eastAsia="仿宋_GB2312" w:cs="Times New Roman"/>
          <w:sz w:val="32"/>
          <w:szCs w:val="32"/>
        </w:rPr>
        <w:t>%</w:t>
      </w:r>
      <w:r>
        <w:rPr>
          <w:rFonts w:ascii="Times New Roman" w:hAnsi="仿宋_GB2312"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黑体" w:eastAsia="黑体" w:cs="Times New Roman"/>
          <w:sz w:val="32"/>
          <w:szCs w:val="32"/>
        </w:rPr>
        <w:t>五、审查审批流程</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作为重大关联交易业务，</w:t>
      </w:r>
      <w:r>
        <w:rPr>
          <w:rFonts w:hint="eastAsia" w:ascii="Times New Roman" w:hAnsi="仿宋_GB2312" w:eastAsia="仿宋_GB2312" w:cs="Times New Roman"/>
          <w:sz w:val="32"/>
          <w:szCs w:val="32"/>
          <w:lang w:val="en-US" w:eastAsia="zh-CN"/>
        </w:rPr>
        <w:t>在</w:t>
      </w:r>
      <w:r>
        <w:rPr>
          <w:rFonts w:hint="eastAsia" w:ascii="仿宋_GB2312" w:hAnsi="仿宋_GB2312" w:eastAsia="仿宋_GB2312" w:cs="仿宋_GB2312"/>
          <w:sz w:val="32"/>
          <w:szCs w:val="32"/>
        </w:rPr>
        <w:t>经资产保全中心受理调查、普惠金融部审查、</w:t>
      </w:r>
      <w:r>
        <w:rPr>
          <w:rFonts w:hint="eastAsia" w:ascii="仿宋_GB2312" w:hAnsi="仿宋_GB2312" w:eastAsia="仿宋_GB2312" w:cs="仿宋_GB2312"/>
          <w:sz w:val="32"/>
          <w:szCs w:val="32"/>
          <w:lang w:val="en-US" w:eastAsia="zh-CN"/>
        </w:rPr>
        <w:t>合规风险部评价、总</w:t>
      </w:r>
      <w:r>
        <w:rPr>
          <w:rFonts w:hint="eastAsia" w:ascii="仿宋_GB2312" w:hAnsi="仿宋_GB2312" w:eastAsia="仿宋_GB2312" w:cs="仿宋_GB2312"/>
          <w:sz w:val="32"/>
          <w:szCs w:val="32"/>
        </w:rPr>
        <w:t>行</w:t>
      </w:r>
      <w:r>
        <w:rPr>
          <w:rFonts w:hint="eastAsia" w:ascii="仿宋_GB2312" w:hAnsi="仿宋_GB2312" w:eastAsia="仿宋_GB2312" w:cs="仿宋_GB2312"/>
          <w:sz w:val="32"/>
          <w:szCs w:val="32"/>
          <w:lang w:val="en-US" w:eastAsia="zh-CN"/>
        </w:rPr>
        <w:t>授信审批委员会审批后，</w:t>
      </w:r>
      <w:r>
        <w:rPr>
          <w:rFonts w:ascii="Times New Roman" w:hAnsi="仿宋_GB2312" w:eastAsia="仿宋_GB2312" w:cs="Times New Roman"/>
          <w:sz w:val="32"/>
          <w:szCs w:val="32"/>
        </w:rPr>
        <w:t>按照关联交易管理要求，经</w:t>
      </w:r>
      <w:r>
        <w:rPr>
          <w:rFonts w:hint="eastAsia" w:ascii="Times New Roman" w:hAnsi="仿宋_GB2312" w:eastAsia="仿宋_GB2312" w:cs="Times New Roman"/>
          <w:sz w:val="32"/>
          <w:szCs w:val="32"/>
          <w:lang w:val="en-US" w:eastAsia="zh-CN"/>
        </w:rPr>
        <w:t>独立董事审核、</w:t>
      </w:r>
      <w:r>
        <w:rPr>
          <w:rFonts w:ascii="Times New Roman" w:hAnsi="仿宋_GB2312" w:eastAsia="仿宋_GB2312" w:cs="Times New Roman"/>
          <w:sz w:val="32"/>
          <w:szCs w:val="32"/>
        </w:rPr>
        <w:t>关联交易控制委员会审</w:t>
      </w:r>
      <w:r>
        <w:rPr>
          <w:rFonts w:hint="eastAsia" w:ascii="Times New Roman" w:hAnsi="仿宋_GB2312" w:eastAsia="仿宋_GB2312" w:cs="Times New Roman"/>
          <w:sz w:val="32"/>
          <w:szCs w:val="32"/>
          <w:lang w:val="en-US" w:eastAsia="zh-CN"/>
        </w:rPr>
        <w:t>查</w:t>
      </w:r>
      <w:r>
        <w:rPr>
          <w:rFonts w:ascii="Times New Roman" w:hAnsi="仿宋_GB2312" w:eastAsia="仿宋_GB2312" w:cs="Times New Roman"/>
          <w:sz w:val="32"/>
          <w:szCs w:val="32"/>
        </w:rPr>
        <w:t>、董事会审议审批。</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黑体" w:cs="Times New Roman"/>
          <w:sz w:val="32"/>
          <w:szCs w:val="32"/>
        </w:rPr>
      </w:pPr>
      <w:r>
        <w:rPr>
          <w:rFonts w:ascii="Times New Roman" w:hAnsi="黑体" w:eastAsia="黑体" w:cs="Times New Roman"/>
          <w:sz w:val="32"/>
          <w:szCs w:val="32"/>
        </w:rPr>
        <w:t>六、独立董事意见</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r>
        <w:rPr>
          <w:rFonts w:ascii="Times New Roman" w:hAnsi="仿宋_GB2312" w:eastAsia="仿宋_GB2312" w:cs="Times New Roman"/>
          <w:sz w:val="32"/>
          <w:szCs w:val="32"/>
        </w:rPr>
        <w:t>关于重大关联交易，本行独立董事就公允性、合规性、内部审批程序发表书面意见，认定符合规定。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ascii="Times New Roman" w:hAnsi="Times New Roman" w:eastAsia="仿宋_GB2312" w:cs="Times New Roman"/>
          <w:color w:val="333333"/>
          <w:sz w:val="32"/>
          <w:szCs w:val="32"/>
          <w:shd w:val="clear" w:color="auto" w:fill="FFFFFF"/>
        </w:rPr>
      </w:pPr>
      <w:r>
        <w:rPr>
          <w:rFonts w:ascii="Times New Roman" w:hAnsi="仿宋_GB2312" w:eastAsia="仿宋_GB2312" w:cs="Times New Roman"/>
          <w:color w:val="333333"/>
          <w:sz w:val="32"/>
          <w:szCs w:val="32"/>
          <w:shd w:val="clear" w:color="auto" w:fill="FFFFFF"/>
        </w:rPr>
        <w:t>贵州清镇农村商业银行股份有限公司</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600" w:lineRule="exact"/>
        <w:ind w:firstLine="3520" w:firstLineChars="1100"/>
        <w:textAlignment w:val="auto"/>
        <w:rPr>
          <w:rFonts w:ascii="Times New Roman" w:hAnsi="Times New Roman" w:cs="Times New Roman"/>
          <w:sz w:val="32"/>
          <w:szCs w:val="32"/>
        </w:rPr>
      </w:pPr>
      <w:r>
        <w:rPr>
          <w:rFonts w:hint="default" w:ascii="Times New Roman" w:hAnsi="Times New Roman" w:eastAsia="仿宋_GB2312" w:cs="Times New Roman"/>
          <w:color w:val="333333"/>
          <w:sz w:val="32"/>
          <w:szCs w:val="32"/>
          <w:shd w:val="clear" w:color="auto" w:fill="FFFFFF"/>
        </w:rPr>
        <w:t>2024</w:t>
      </w:r>
      <w:r>
        <w:rPr>
          <w:rFonts w:ascii="Times New Roman" w:hAnsi="仿宋_GB2312" w:eastAsia="仿宋_GB2312" w:cs="Times New Roman"/>
          <w:color w:val="333333"/>
          <w:sz w:val="32"/>
          <w:szCs w:val="32"/>
          <w:shd w:val="clear" w:color="auto" w:fill="FFFFFF"/>
        </w:rPr>
        <w:t>年</w:t>
      </w:r>
      <w:r>
        <w:rPr>
          <w:rFonts w:hint="default" w:ascii="Times New Roman" w:hAnsi="Times New Roman" w:eastAsia="仿宋_GB2312" w:cs="Times New Roman"/>
          <w:color w:val="333333"/>
          <w:sz w:val="32"/>
          <w:szCs w:val="32"/>
          <w:shd w:val="clear" w:color="auto" w:fill="FFFFFF"/>
          <w:lang w:val="en-US" w:eastAsia="zh-CN"/>
        </w:rPr>
        <w:t>4</w:t>
      </w:r>
      <w:r>
        <w:rPr>
          <w:rFonts w:ascii="Times New Roman" w:hAnsi="仿宋_GB2312" w:eastAsia="仿宋_GB2312" w:cs="Times New Roman"/>
          <w:color w:val="333333"/>
          <w:sz w:val="32"/>
          <w:szCs w:val="32"/>
          <w:shd w:val="clear" w:color="auto" w:fill="FFFFFF"/>
        </w:rPr>
        <w:t>月</w:t>
      </w:r>
      <w:r>
        <w:rPr>
          <w:rFonts w:hint="eastAsia" w:ascii="Times New Roman" w:hAnsi="Times New Roman" w:eastAsia="仿宋_GB2312" w:cs="Times New Roman"/>
          <w:color w:val="333333"/>
          <w:sz w:val="32"/>
          <w:szCs w:val="32"/>
          <w:shd w:val="clear" w:color="auto" w:fill="FFFFFF"/>
          <w:lang w:val="en-US" w:eastAsia="zh-CN"/>
        </w:rPr>
        <w:t>9</w:t>
      </w:r>
      <w:r>
        <w:rPr>
          <w:rFonts w:ascii="Times New Roman" w:hAnsi="仿宋_GB2312" w:eastAsia="仿宋_GB2312" w:cs="Times New Roman"/>
          <w:color w:val="333333"/>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5OGZiZDRiNjA3Y2U0ZDhkODg5YjAxNWEyNzNjM2MifQ=="/>
  </w:docVars>
  <w:rsids>
    <w:rsidRoot w:val="007630C8"/>
    <w:rsid w:val="00487D53"/>
    <w:rsid w:val="005A7EDA"/>
    <w:rsid w:val="007630C8"/>
    <w:rsid w:val="00805D08"/>
    <w:rsid w:val="00A2399E"/>
    <w:rsid w:val="00AA0F4E"/>
    <w:rsid w:val="00D909D3"/>
    <w:rsid w:val="00E74DDD"/>
    <w:rsid w:val="03292E3E"/>
    <w:rsid w:val="03BB5C30"/>
    <w:rsid w:val="03DD24AD"/>
    <w:rsid w:val="05B9677F"/>
    <w:rsid w:val="0E6F20D1"/>
    <w:rsid w:val="0F8971C2"/>
    <w:rsid w:val="10BC5375"/>
    <w:rsid w:val="12656690"/>
    <w:rsid w:val="13DA0AAC"/>
    <w:rsid w:val="151211D1"/>
    <w:rsid w:val="1A5D3725"/>
    <w:rsid w:val="23040BE2"/>
    <w:rsid w:val="24280900"/>
    <w:rsid w:val="26CC7C68"/>
    <w:rsid w:val="28D472A8"/>
    <w:rsid w:val="290A60E3"/>
    <w:rsid w:val="296A19BB"/>
    <w:rsid w:val="2C0003B4"/>
    <w:rsid w:val="33ED121E"/>
    <w:rsid w:val="363F59CF"/>
    <w:rsid w:val="38A367D8"/>
    <w:rsid w:val="39496747"/>
    <w:rsid w:val="3C365E9F"/>
    <w:rsid w:val="41E94CAC"/>
    <w:rsid w:val="42BD668F"/>
    <w:rsid w:val="449000D0"/>
    <w:rsid w:val="467152AF"/>
    <w:rsid w:val="4C2B067F"/>
    <w:rsid w:val="4CBE2078"/>
    <w:rsid w:val="4DFE254E"/>
    <w:rsid w:val="4EB948D3"/>
    <w:rsid w:val="51273B6A"/>
    <w:rsid w:val="555F108D"/>
    <w:rsid w:val="5623359A"/>
    <w:rsid w:val="57DD1426"/>
    <w:rsid w:val="5B3D02AB"/>
    <w:rsid w:val="60364E32"/>
    <w:rsid w:val="61262616"/>
    <w:rsid w:val="6D924104"/>
    <w:rsid w:val="71BC7EA6"/>
    <w:rsid w:val="73526025"/>
    <w:rsid w:val="79020895"/>
    <w:rsid w:val="7A61783D"/>
    <w:rsid w:val="7B3D3E06"/>
    <w:rsid w:val="7BB37D64"/>
    <w:rsid w:val="7C7C61B3"/>
    <w:rsid w:val="7F590E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730</Characters>
  <Lines>5</Lines>
  <Paragraphs>1</Paragraphs>
  <TotalTime>2</TotalTime>
  <ScaleCrop>false</ScaleCrop>
  <LinksUpToDate>false</LinksUpToDate>
  <CharactersWithSpaces>730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2023-07-12T02:19:00Z</dcterms:created>
  <dc:creator>XYL</dc:creator>
  <cp:lastModifiedBy>❦✯Shine✭❧</cp:lastModifiedBy>
  <cp:lastPrinted>2024-04-09T03:17:19Z</cp:lastPrinted>
  <dcterms:modified xsi:type="dcterms:W3CDTF">2024-04-09T03:17:22Z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8A0F55A462AB45918CF816053EE353C0_12</vt:lpwstr>
  </property>
</Properties>
</file>