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7D" w:rsidRDefault="00544EA5">
      <w:pPr>
        <w:pStyle w:val="1"/>
        <w:widowControl/>
        <w:spacing w:beforeAutospacing="0" w:afterAutospacing="0" w:line="600" w:lineRule="exact"/>
        <w:jc w:val="center"/>
        <w:textAlignment w:val="center"/>
        <w:rPr>
          <w:rFonts w:ascii="方正小标宋简体" w:eastAsia="方正小标宋简体" w:hAnsi="sans-serif" w:cs="sans-serif"/>
          <w:color w:val="333333"/>
          <w:sz w:val="44"/>
          <w:szCs w:val="44"/>
        </w:rPr>
      </w:pPr>
      <w:r>
        <w:rPr>
          <w:rFonts w:ascii="方正小标宋简体" w:eastAsia="方正小标宋简体" w:hAnsi="sans-serif" w:cs="sans-serif"/>
          <w:color w:val="333333"/>
          <w:sz w:val="44"/>
          <w:szCs w:val="44"/>
          <w:shd w:val="clear" w:color="auto" w:fill="FFFFFF"/>
        </w:rPr>
        <w:t>贵州清镇农村商业银行股份有限公司关于</w:t>
      </w:r>
      <w:r>
        <w:rPr>
          <w:rFonts w:ascii="Times New Roman" w:eastAsia="方正小标宋简体" w:hAnsi="Times New Roman" w:hint="default"/>
          <w:color w:val="333333"/>
          <w:sz w:val="44"/>
          <w:szCs w:val="44"/>
          <w:shd w:val="clear" w:color="auto" w:fill="FFFFFF"/>
        </w:rPr>
        <w:t>202</w:t>
      </w:r>
      <w:r>
        <w:rPr>
          <w:rFonts w:ascii="Times New Roman" w:eastAsia="方正小标宋简体" w:hAnsi="Times New Roman" w:hint="default"/>
          <w:color w:val="333333"/>
          <w:sz w:val="44"/>
          <w:szCs w:val="44"/>
          <w:shd w:val="clear" w:color="auto" w:fill="FFFFFF"/>
        </w:rPr>
        <w:t>4</w:t>
      </w:r>
      <w:r>
        <w:rPr>
          <w:rFonts w:ascii="方正小标宋简体" w:eastAsia="方正小标宋简体" w:hAnsi="sans-serif" w:cs="sans-serif"/>
          <w:color w:val="333333"/>
          <w:sz w:val="44"/>
          <w:szCs w:val="44"/>
          <w:shd w:val="clear" w:color="auto" w:fill="FFFFFF"/>
        </w:rPr>
        <w:t>年</w:t>
      </w:r>
      <w:r>
        <w:rPr>
          <w:rFonts w:ascii="Times New Roman" w:eastAsia="方正小标宋简体" w:hAnsi="Times New Roman" w:hint="default"/>
          <w:color w:val="333333"/>
          <w:sz w:val="44"/>
          <w:szCs w:val="44"/>
          <w:shd w:val="clear" w:color="auto" w:fill="FFFFFF"/>
        </w:rPr>
        <w:t>1</w:t>
      </w:r>
      <w:r>
        <w:rPr>
          <w:rFonts w:ascii="方正小标宋简体" w:eastAsia="方正小标宋简体" w:hAnsi="sans-serif" w:cs="sans-serif"/>
          <w:color w:val="333333"/>
          <w:sz w:val="44"/>
          <w:szCs w:val="44"/>
          <w:shd w:val="clear" w:color="auto" w:fill="FFFFFF"/>
        </w:rPr>
        <w:t>季度关联交易情况事项的公告</w:t>
      </w:r>
    </w:p>
    <w:p w:rsidR="0047397D" w:rsidRDefault="0047397D">
      <w:pPr>
        <w:spacing w:line="600" w:lineRule="exact"/>
        <w:rPr>
          <w:rFonts w:ascii="仿宋_GB2312" w:eastAsia="仿宋_GB2312" w:hAnsi="仿宋"/>
          <w:sz w:val="32"/>
          <w:szCs w:val="32"/>
        </w:rPr>
      </w:pPr>
    </w:p>
    <w:p w:rsidR="0047397D" w:rsidRDefault="00544EA5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根据《银行保险机构关联交易管理办法》（中国银行保</w:t>
      </w:r>
    </w:p>
    <w:p w:rsidR="0047397D" w:rsidRDefault="00544EA5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险监督管理委员会令〔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仿宋_GB2312" w:eastAsia="仿宋_GB2312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1 </w:t>
      </w:r>
      <w:r>
        <w:rPr>
          <w:rFonts w:ascii="仿宋_GB2312" w:eastAsia="仿宋_GB2312" w:hAnsi="仿宋" w:hint="eastAsia"/>
          <w:sz w:val="32"/>
          <w:szCs w:val="32"/>
        </w:rPr>
        <w:t>号），现将贵州清镇农村商</w:t>
      </w:r>
    </w:p>
    <w:p w:rsidR="0047397D" w:rsidRDefault="00544EA5">
      <w:pPr>
        <w:spacing w:line="60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业银行股份有限公司（以下简称“本行”）</w:t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季度关联交易情况公告如下：</w:t>
      </w:r>
    </w:p>
    <w:p w:rsidR="0047397D" w:rsidRDefault="00544EA5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一、资本净额情况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截止</w:t>
      </w:r>
      <w:r>
        <w:rPr>
          <w:rFonts w:ascii="Times New Roman" w:eastAsia="仿宋_GB2312" w:hAnsi="Times New Roman"/>
          <w:color w:val="333333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Times New Roman" w:eastAsia="仿宋_GB2312" w:hAnsi="Times New Roman"/>
          <w:color w:val="333333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Times New Roman" w:eastAsia="仿宋_GB2312" w:hAnsi="Times New Roman"/>
          <w:color w:val="333333"/>
          <w:sz w:val="32"/>
          <w:szCs w:val="32"/>
        </w:rPr>
        <w:t>3</w:t>
      </w:r>
      <w:r>
        <w:rPr>
          <w:rFonts w:ascii="Times New Roman" w:eastAsia="仿宋_GB2312" w:hAnsi="Times New Roman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日，本行资本净额</w:t>
      </w:r>
      <w:r>
        <w:rPr>
          <w:rFonts w:ascii="Times New Roman" w:eastAsia="仿宋_GB2312" w:hAnsi="Times New Roman"/>
          <w:sz w:val="32"/>
          <w:szCs w:val="32"/>
        </w:rPr>
        <w:t>96432</w:t>
      </w:r>
      <w:r>
        <w:rPr>
          <w:rFonts w:ascii="Times New Roman" w:eastAsia="仿宋_GB2312" w:hAnsi="Times New Roman" w:hint="eastAsia"/>
          <w:sz w:val="32"/>
          <w:szCs w:val="32"/>
        </w:rPr>
        <w:t>.</w:t>
      </w:r>
      <w:r>
        <w:rPr>
          <w:rFonts w:ascii="Times New Roman" w:eastAsia="仿宋_GB2312" w:hAnsi="Times New Roman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万元。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  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color w:val="333333"/>
          <w:sz w:val="32"/>
          <w:szCs w:val="32"/>
        </w:rPr>
        <w:t>二、关联交易情况</w:t>
      </w:r>
    </w:p>
    <w:p w:rsidR="0047397D" w:rsidRDefault="00544EA5">
      <w:pPr>
        <w:pStyle w:val="-1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日，本行关联人</w:t>
      </w:r>
      <w:r>
        <w:rPr>
          <w:rFonts w:eastAsia="仿宋_GB2312"/>
          <w:sz w:val="32"/>
          <w:szCs w:val="32"/>
        </w:rPr>
        <w:t>596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人，其中关联法人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人，关联自然人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58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47397D" w:rsidRDefault="00544EA5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（一）授信类关联交易</w:t>
      </w:r>
    </w:p>
    <w:p w:rsidR="0047397D" w:rsidRDefault="00544EA5">
      <w:pPr>
        <w:pStyle w:val="-1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日，本行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发生关联交易</w:t>
      </w: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笔</w:t>
      </w:r>
      <w:r>
        <w:rPr>
          <w:rFonts w:eastAsia="仿宋_GB2312"/>
          <w:sz w:val="32"/>
          <w:szCs w:val="32"/>
        </w:rPr>
        <w:t>1718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万元，其中未发生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一般关联交易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发生重大关联交易业务</w:t>
      </w: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eastAsia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笔</w:t>
      </w:r>
      <w:r>
        <w:rPr>
          <w:rFonts w:eastAsia="仿宋_GB2312"/>
          <w:sz w:val="32"/>
          <w:szCs w:val="32"/>
        </w:rPr>
        <w:t>1718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47397D" w:rsidRDefault="00544EA5">
      <w:pPr>
        <w:pStyle w:val="-1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截止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日，本行授信类关联交易共</w:t>
      </w:r>
      <w:r>
        <w:rPr>
          <w:rFonts w:eastAsia="仿宋_GB2312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eastAsia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笔，关联交易余额合计</w:t>
      </w:r>
      <w:r>
        <w:rPr>
          <w:rFonts w:eastAsia="仿宋_GB2312"/>
          <w:sz w:val="32"/>
          <w:szCs w:val="32"/>
        </w:rPr>
        <w:t>3586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万元，其中重大关联交易</w:t>
      </w: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eastAsia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笔金额</w:t>
      </w:r>
      <w:r>
        <w:rPr>
          <w:rFonts w:eastAsia="仿宋_GB2312"/>
          <w:sz w:val="32"/>
          <w:szCs w:val="32"/>
        </w:rPr>
        <w:t>2768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万元，一般关联交易</w:t>
      </w:r>
      <w:r>
        <w:rPr>
          <w:rFonts w:eastAsia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户</w:t>
      </w:r>
      <w:r>
        <w:rPr>
          <w:rFonts w:eastAsia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笔金额</w:t>
      </w:r>
      <w:r>
        <w:rPr>
          <w:rFonts w:eastAsia="仿宋_GB2312"/>
          <w:sz w:val="32"/>
          <w:szCs w:val="32"/>
        </w:rPr>
        <w:t>817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 xml:space="preserve">  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资产转移类关联交易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  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无。</w:t>
      </w:r>
    </w:p>
    <w:p w:rsidR="0047397D" w:rsidRDefault="00544EA5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服务类关联交易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无。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 xml:space="preserve">  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(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)</w:t>
      </w:r>
      <w:r>
        <w:rPr>
          <w:rFonts w:ascii="楷体_GB2312" w:eastAsia="楷体_GB2312" w:hAnsi="楷体_GB2312" w:cs="楷体_GB2312" w:hint="eastAsia"/>
          <w:color w:val="333333"/>
          <w:sz w:val="32"/>
          <w:szCs w:val="32"/>
        </w:rPr>
        <w:t>存款和其他类型关联交易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  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无。</w:t>
      </w:r>
    </w:p>
    <w:p w:rsidR="0047397D" w:rsidRDefault="00544EA5">
      <w:pPr>
        <w:pStyle w:val="a3"/>
        <w:widowControl/>
        <w:spacing w:beforeAutospacing="0" w:afterAutospacing="0" w:line="600" w:lineRule="exact"/>
        <w:ind w:firstLineChars="200" w:firstLine="640"/>
        <w:jc w:val="both"/>
        <w:textAlignment w:val="center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三、全部关联交易情况</w:t>
      </w:r>
    </w:p>
    <w:p w:rsidR="0047397D" w:rsidRDefault="00544EA5">
      <w:pPr>
        <w:pStyle w:val="-1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截止</w:t>
      </w:r>
      <w:r>
        <w:rPr>
          <w:rFonts w:eastAsia="仿宋_GB2312"/>
          <w:color w:val="333333"/>
          <w:sz w:val="32"/>
          <w:szCs w:val="32"/>
        </w:rPr>
        <w:t>20</w:t>
      </w:r>
      <w:r>
        <w:rPr>
          <w:rFonts w:eastAsia="仿宋_GB2312"/>
          <w:color w:val="333333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eastAsia="仿宋_GB2312"/>
          <w:color w:val="33333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月末，</w:t>
      </w:r>
      <w:r>
        <w:rPr>
          <w:rFonts w:ascii="仿宋_GB2312" w:eastAsia="仿宋_GB2312" w:hAnsi="仿宋_GB2312" w:cs="仿宋_GB2312" w:hint="eastAsia"/>
          <w:sz w:val="32"/>
          <w:szCs w:val="32"/>
        </w:rPr>
        <w:t>本行全部关联交易均为授信业务，本行对全部关联方的授信总额为</w:t>
      </w:r>
      <w:r>
        <w:rPr>
          <w:rFonts w:eastAsia="仿宋_GB2312"/>
          <w:color w:val="333333"/>
          <w:sz w:val="32"/>
          <w:szCs w:val="32"/>
        </w:rPr>
        <w:t>3586</w:t>
      </w:r>
      <w:r>
        <w:rPr>
          <w:rFonts w:eastAsia="仿宋_GB2312" w:hint="eastAsia"/>
          <w:color w:val="333333"/>
          <w:sz w:val="32"/>
          <w:szCs w:val="32"/>
        </w:rPr>
        <w:t>.</w:t>
      </w:r>
      <w:r>
        <w:rPr>
          <w:rFonts w:eastAsia="仿宋_GB2312"/>
          <w:color w:val="333333"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与资本净额占比为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，未超出监管机构监管要求（对全部关联方的授信余额不得超过资本净额的</w:t>
      </w:r>
      <w:r>
        <w:rPr>
          <w:rFonts w:eastAsia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sans-serif" w:eastAsia="sans-serif" w:hAnsi="sans-serif" w:cs="sans-serif"/>
        </w:rPr>
      </w:pPr>
      <w:r>
        <w:rPr>
          <w:rFonts w:ascii="sans-serif" w:eastAsia="sans-serif" w:hAnsi="sans-serif" w:cs="sans-serif"/>
          <w:color w:val="333333"/>
          <w:sz w:val="19"/>
          <w:szCs w:val="19"/>
        </w:rPr>
        <w:t> 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sans-serif" w:eastAsia="sans-serif" w:hAnsi="sans-serif" w:cs="sans-serif"/>
          <w:color w:val="333333"/>
          <w:sz w:val="19"/>
          <w:szCs w:val="19"/>
        </w:rPr>
      </w:pPr>
      <w:r>
        <w:rPr>
          <w:rFonts w:ascii="sans-serif" w:eastAsia="sans-serif" w:hAnsi="sans-serif" w:cs="sans-serif"/>
          <w:color w:val="333333"/>
          <w:sz w:val="19"/>
          <w:szCs w:val="19"/>
        </w:rPr>
        <w:t> </w:t>
      </w:r>
    </w:p>
    <w:p w:rsidR="0047397D" w:rsidRDefault="0047397D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sans-serif" w:eastAsia="sans-serif" w:hAnsi="sans-serif" w:cs="sans-serif"/>
          <w:color w:val="333333"/>
          <w:sz w:val="19"/>
          <w:szCs w:val="19"/>
        </w:rPr>
      </w:pPr>
      <w:bookmarkStart w:id="0" w:name="_GoBack"/>
      <w:bookmarkEnd w:id="0"/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kern w:val="2"/>
          <w:sz w:val="32"/>
          <w:szCs w:val="32"/>
        </w:rPr>
        <w:t xml:space="preserve">                          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贵州清镇农村商业银行股份有限公司</w:t>
      </w:r>
    </w:p>
    <w:p w:rsidR="0047397D" w:rsidRDefault="00544EA5">
      <w:pPr>
        <w:pStyle w:val="a3"/>
        <w:widowControl/>
        <w:spacing w:beforeAutospacing="0" w:afterAutospacing="0" w:line="600" w:lineRule="exact"/>
        <w:jc w:val="both"/>
        <w:textAlignment w:val="center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sans-serif" w:eastAsia="sans-serif" w:hAnsi="sans-serif" w:cs="sans-serif"/>
          <w:color w:val="333333"/>
          <w:sz w:val="19"/>
          <w:szCs w:val="19"/>
        </w:rPr>
        <w:t xml:space="preserve">                                  </w:t>
      </w:r>
      <w:r>
        <w:rPr>
          <w:rFonts w:ascii="sans-serif" w:hAnsi="sans-serif" w:cs="sans-serif" w:hint="eastAsia"/>
          <w:color w:val="333333"/>
          <w:sz w:val="19"/>
          <w:szCs w:val="19"/>
        </w:rPr>
        <w:t xml:space="preserve">             </w:t>
      </w:r>
      <w:r>
        <w:rPr>
          <w:rFonts w:ascii="sans-serif" w:eastAsia="sans-serif" w:hAnsi="sans-serif" w:cs="sans-serif"/>
          <w:color w:val="333333"/>
          <w:sz w:val="19"/>
          <w:szCs w:val="19"/>
        </w:rPr>
        <w:t>         </w:t>
      </w:r>
      <w:r>
        <w:rPr>
          <w:rFonts w:ascii="Times New Roman" w:eastAsia="仿宋_GB2312" w:hAnsi="Times New Roman"/>
          <w:kern w:val="2"/>
          <w:sz w:val="32"/>
          <w:szCs w:val="32"/>
        </w:rPr>
        <w:t>202</w:t>
      </w:r>
      <w:r>
        <w:rPr>
          <w:rFonts w:ascii="Times New Roman" w:eastAsia="仿宋_GB2312" w:hAnsi="Times New Roman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年</w:t>
      </w:r>
      <w:r>
        <w:rPr>
          <w:rFonts w:ascii="Times New Roman" w:eastAsia="仿宋_GB2312" w:hAnsi="Times New Roman"/>
          <w:kern w:val="2"/>
          <w:sz w:val="32"/>
          <w:szCs w:val="32"/>
        </w:rPr>
        <w:t>4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月</w:t>
      </w:r>
      <w:r>
        <w:rPr>
          <w:rFonts w:ascii="Times New Roman" w:eastAsia="仿宋_GB2312" w:hAnsi="Times New Roman"/>
          <w:kern w:val="2"/>
          <w:sz w:val="32"/>
          <w:szCs w:val="32"/>
        </w:rPr>
        <w:t>9</w:t>
      </w:r>
      <w:r>
        <w:rPr>
          <w:rFonts w:ascii="仿宋_GB2312" w:eastAsia="仿宋_GB2312" w:hAnsi="仿宋_GB2312" w:cs="仿宋_GB2312"/>
          <w:kern w:val="2"/>
          <w:sz w:val="32"/>
          <w:szCs w:val="32"/>
        </w:rPr>
        <w:t>日</w:t>
      </w:r>
    </w:p>
    <w:p w:rsidR="0047397D" w:rsidRDefault="0047397D">
      <w:pPr>
        <w:spacing w:line="600" w:lineRule="exact"/>
      </w:pPr>
    </w:p>
    <w:sectPr w:rsidR="00473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A5" w:rsidRDefault="00544EA5" w:rsidP="00544EA5">
      <w:r>
        <w:separator/>
      </w:r>
    </w:p>
  </w:endnote>
  <w:endnote w:type="continuationSeparator" w:id="0">
    <w:p w:rsidR="00544EA5" w:rsidRDefault="00544EA5" w:rsidP="0054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ans-serif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A5" w:rsidRDefault="00544EA5" w:rsidP="00544EA5">
      <w:r>
        <w:separator/>
      </w:r>
    </w:p>
  </w:footnote>
  <w:footnote w:type="continuationSeparator" w:id="0">
    <w:p w:rsidR="00544EA5" w:rsidRDefault="00544EA5" w:rsidP="00544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c5OGZiZDRiNjA3Y2U0ZDhkODg5YjAxNWEyNzNjM2MifQ=="/>
  </w:docVars>
  <w:rsids>
    <w:rsidRoot w:val="00146BB3"/>
    <w:rsid w:val="00146BB3"/>
    <w:rsid w:val="00156152"/>
    <w:rsid w:val="0047397D"/>
    <w:rsid w:val="00544EA5"/>
    <w:rsid w:val="07CD52EC"/>
    <w:rsid w:val="194D4897"/>
    <w:rsid w:val="1FEC5866"/>
    <w:rsid w:val="23DE6932"/>
    <w:rsid w:val="592135AC"/>
    <w:rsid w:val="76B462C0"/>
    <w:rsid w:val="7B63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C4816802-85E1-49F5-8BCF-9D32C2BE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-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pPr>
      <w:ind w:firstLineChars="200" w:firstLine="200"/>
    </w:pPr>
    <w:rPr>
      <w:rFonts w:ascii="Times New Roman" w:eastAsia="宋体" w:hAnsi="Times New Roman" w:cs="Times New Roman"/>
    </w:rPr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44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4E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44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4E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XYL</dc:creator>
  <cp:lastModifiedBy>122165-许玉亮</cp:lastModifiedBy>
  <cp:revision>3</cp:revision>
  <dcterms:created xsi:type="dcterms:W3CDTF">2023-10-18T02:50:00Z</dcterms:created>
  <dcterms:modified xsi:type="dcterms:W3CDTF">2024-04-09T03:47:00Z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125E2CD0CF214058A17F6CE7D2BCCAD7_12</vt:lpwstr>
  </property>
</Properties>
</file>