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宋体"/>
          <w:b/>
          <w:sz w:val="84"/>
          <w:szCs w:val="84"/>
        </w:rPr>
      </w:pPr>
    </w:p>
    <w:p>
      <w:pPr>
        <w:widowControl w:val="0"/>
        <w:spacing w:line="1000" w:lineRule="exact"/>
        <w:jc w:val="center"/>
        <w:textAlignment w:val="auto"/>
        <w:rPr>
          <w:rFonts w:hint="eastAsia" w:ascii="宋体"/>
          <w:b/>
          <w:bCs/>
          <w:sz w:val="56"/>
          <w:szCs w:val="48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贵州普定农村商业银行股份有限公司广告宣传制作</w:t>
      </w:r>
    </w:p>
    <w:p>
      <w:pPr>
        <w:widowControl w:val="0"/>
        <w:spacing w:line="1000" w:lineRule="exact"/>
        <w:jc w:val="center"/>
        <w:textAlignment w:val="auto"/>
        <w:rPr>
          <w:rFonts w:hint="eastAsia" w:ascii="宋体"/>
          <w:b/>
          <w:bCs/>
          <w:sz w:val="56"/>
          <w:szCs w:val="48"/>
          <w:lang w:val="en-US" w:eastAsia="zh-CN"/>
        </w:rPr>
      </w:pPr>
    </w:p>
    <w:p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磋商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>
      <w:pPr>
        <w:widowControl w:val="0"/>
        <w:textAlignment w:val="auto"/>
        <w:rPr>
          <w:rFonts w:ascii="Calibri" w:hAnsi="Calibri"/>
        </w:rPr>
      </w:pPr>
    </w:p>
    <w:p>
      <w:pPr>
        <w:spacing w:line="600" w:lineRule="atLeast"/>
        <w:rPr>
          <w:rStyle w:val="10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NumType w:fmt="decimal" w:start="1"/>
          <w:cols w:space="425" w:num="1"/>
          <w:docGrid w:linePitch="312" w:charSpace="0"/>
        </w:sectPr>
      </w:pPr>
      <w:r>
        <w:rPr>
          <w:rStyle w:val="10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2024年3月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0"/>
          <w:rFonts w:ascii="宋体"/>
          <w:b/>
          <w:bCs/>
          <w:sz w:val="44"/>
          <w:szCs w:val="44"/>
        </w:rPr>
      </w:pPr>
      <w:r>
        <w:rPr>
          <w:rStyle w:val="10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0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0"/>
          <w:rFonts w:hint="eastAsia" w:ascii="宋体" w:hAnsi="宋体"/>
          <w:b/>
          <w:bCs/>
          <w:sz w:val="44"/>
          <w:szCs w:val="44"/>
        </w:rPr>
        <w:t>录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0"/>
          <w:rFonts w:ascii="宋体"/>
          <w:b/>
          <w:bCs/>
          <w:sz w:val="44"/>
          <w:szCs w:val="44"/>
        </w:rPr>
      </w:pP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pacing w:val="24"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第一章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pacing w:val="24"/>
          <w:sz w:val="24"/>
          <w:lang w:val="en-US"/>
        </w:rPr>
        <w:t>磋商</w:t>
      </w:r>
      <w:r>
        <w:rPr>
          <w:rStyle w:val="10"/>
          <w:rFonts w:hint="eastAsia" w:ascii="宋体" w:hAnsi="宋体"/>
          <w:bCs/>
          <w:spacing w:val="24"/>
          <w:sz w:val="24"/>
        </w:rPr>
        <w:t>公告…</w:t>
      </w:r>
      <w:r>
        <w:rPr>
          <w:rStyle w:val="10"/>
          <w:rFonts w:hint="eastAsia" w:ascii="宋体"/>
          <w:bCs/>
          <w:sz w:val="24"/>
        </w:rPr>
        <w:t>…………………………</w:t>
      </w:r>
      <w:r>
        <w:rPr>
          <w:rStyle w:val="10"/>
          <w:rFonts w:hint="eastAsia" w:ascii="宋体" w:hAnsi="宋体"/>
          <w:bCs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……………………………………</w:t>
      </w:r>
      <w:r>
        <w:rPr>
          <w:rStyle w:val="10"/>
          <w:rFonts w:hint="eastAsia" w:ascii="宋体" w:hAnsi="宋体"/>
          <w:bCs/>
          <w:sz w:val="24"/>
        </w:rPr>
        <w:t>………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  <w:lang w:val="en-US"/>
        </w:rPr>
        <w:t>3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第二章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  <w:lang w:val="en-US"/>
        </w:rPr>
        <w:t>磋商</w:t>
      </w:r>
      <w:r>
        <w:rPr>
          <w:rStyle w:val="10"/>
          <w:rFonts w:hint="eastAsia" w:ascii="宋体" w:hAnsi="宋体"/>
          <w:bCs/>
          <w:sz w:val="24"/>
        </w:rPr>
        <w:t>须知</w:t>
      </w:r>
      <w:r>
        <w:rPr>
          <w:rStyle w:val="10"/>
          <w:rFonts w:hint="eastAsia" w:ascii="宋体" w:hAnsi="宋体"/>
          <w:bCs/>
          <w:spacing w:val="24"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…………………………</w:t>
      </w:r>
      <w:r>
        <w:rPr>
          <w:rStyle w:val="10"/>
          <w:rFonts w:hint="eastAsia" w:ascii="宋体" w:hAnsi="宋体"/>
          <w:bCs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……………………………………</w:t>
      </w:r>
      <w:r>
        <w:rPr>
          <w:rStyle w:val="10"/>
          <w:rFonts w:hint="eastAsia" w:ascii="宋体" w:hAnsi="宋体"/>
          <w:bCs/>
          <w:sz w:val="24"/>
        </w:rPr>
        <w:t>………</w:t>
      </w:r>
      <w:r>
        <w:rPr>
          <w:rStyle w:val="10"/>
          <w:rFonts w:hint="eastAsia" w:ascii="宋体" w:hAnsi="宋体"/>
          <w:bCs/>
          <w:sz w:val="24"/>
          <w:lang w:val="en-US"/>
        </w:rPr>
        <w:t xml:space="preserve">  4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第三章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0"/>
          <w:rFonts w:hint="eastAsia" w:ascii="宋体"/>
          <w:bCs/>
          <w:sz w:val="24"/>
        </w:rPr>
        <w:t>…………</w:t>
      </w:r>
      <w:r>
        <w:rPr>
          <w:rStyle w:val="10"/>
          <w:rFonts w:ascii="宋体" w:hAnsi="宋体"/>
          <w:bCs/>
          <w:sz w:val="24"/>
        </w:rPr>
        <w:t xml:space="preserve"> </w:t>
      </w:r>
      <w:r>
        <w:rPr>
          <w:rStyle w:val="10"/>
          <w:rFonts w:hint="eastAsia" w:ascii="宋体" w:hAnsi="宋体"/>
          <w:bCs/>
          <w:sz w:val="24"/>
          <w:lang w:val="en-US"/>
        </w:rPr>
        <w:t>6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第四章</w:t>
      </w:r>
      <w:r>
        <w:rPr>
          <w:rStyle w:val="10"/>
          <w:rFonts w:ascii="宋体" w:hAnsi="宋体"/>
          <w:bCs/>
          <w:sz w:val="24"/>
        </w:rPr>
        <w:t xml:space="preserve"> </w:t>
      </w:r>
      <w:r>
        <w:rPr>
          <w:rStyle w:val="10"/>
          <w:rFonts w:hint="eastAsia" w:ascii="宋体" w:hAnsi="宋体"/>
          <w:bCs/>
          <w:sz w:val="24"/>
        </w:rPr>
        <w:t>竞选文件格式</w:t>
      </w:r>
      <w:r>
        <w:rPr>
          <w:rStyle w:val="10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0"/>
          <w:rFonts w:hint="eastAsia" w:ascii="宋体" w:hAnsi="宋体"/>
          <w:bCs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</w:t>
      </w:r>
      <w:r>
        <w:rPr>
          <w:rStyle w:val="10"/>
          <w:rFonts w:ascii="宋体" w:hAnsi="宋体"/>
          <w:bCs/>
          <w:sz w:val="24"/>
        </w:rPr>
        <w:t xml:space="preserve"> </w:t>
      </w:r>
      <w:r>
        <w:rPr>
          <w:rStyle w:val="10"/>
          <w:rFonts w:hint="eastAsia" w:ascii="宋体" w:hAnsi="宋体"/>
          <w:bCs/>
          <w:sz w:val="24"/>
          <w:lang w:val="en-US"/>
        </w:rPr>
        <w:t>8</w:t>
      </w: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公告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项目名称：贵州普定农村商业银行股份有限公司广告宣传制作项目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竞选人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资格要求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1.具有独立承担民事责任的能力：提供有效的营业执照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2.具有依法缴纳税收的良好记录：提供相关证明材料或承诺书；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3.参加活动前3年内在经营活动中没有重大违法记录的书面声明：提供书面声明函；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4.法人代表人身份证明书、身份证复印件（或授权委托书原件、被授权人身份证原件及复印件）。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5.竞选人应具备应具备承担经营范围的资格条件、能力和信誉。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报名时，须提供以上资料复印件加盖公章一套，不提供或提供不齐全不予报名。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三、获取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磋商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文件信息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磋商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文件获取方式：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贵州普定农村商业银行官方网站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响应文件的递交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1.响应文件递交的截止时间：2024年3月21日15时30分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2.开标时间：2024年3月22日16时00分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3.开标地点：安顺市普定县穿洞街道中心大道（新县委大楼旁）（贵州普定农村商业银行股份有限公司）；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【逾期送达的、未送达指定地点的或者不按照磋商文件要求密封的响应文件，将予以拒收。】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采购单位：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地址：贵州省安顺市普定县穿洞街道中心大道（新县委大楼旁）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周凯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电话：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18722753183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tabs>
          <w:tab w:val="center" w:pos="4790"/>
        </w:tabs>
        <w:spacing w:line="400" w:lineRule="exact"/>
        <w:ind w:right="-38" w:rightChars="-18"/>
        <w:jc w:val="center"/>
        <w:rPr>
          <w:rFonts w:ascii="宋体"/>
          <w:b/>
          <w:sz w:val="24"/>
          <w:szCs w:val="24"/>
        </w:rPr>
      </w:pPr>
    </w:p>
    <w:p>
      <w:pPr>
        <w:tabs>
          <w:tab w:val="center" w:pos="4790"/>
        </w:tabs>
        <w:wordWrap w:val="0"/>
        <w:spacing w:line="400" w:lineRule="exact"/>
        <w:ind w:right="-38" w:rightChars="-18"/>
        <w:jc w:val="right"/>
        <w:rPr>
          <w:rFonts w:ascii="宋体"/>
          <w:b/>
        </w:rPr>
      </w:pPr>
      <w:r>
        <w:rPr>
          <w:rFonts w:ascii="宋体" w:hAnsi="宋体"/>
          <w:b/>
        </w:rPr>
        <w:t xml:space="preserve"> </w:t>
      </w:r>
    </w:p>
    <w:p>
      <w:pPr>
        <w:numPr>
          <w:ilvl w:val="0"/>
          <w:numId w:val="0"/>
        </w:numPr>
        <w:tabs>
          <w:tab w:val="center" w:pos="4790"/>
        </w:tabs>
        <w:spacing w:line="400" w:lineRule="exact"/>
        <w:ind w:right="-38" w:rightChars="-18"/>
        <w:jc w:val="center"/>
        <w:rPr>
          <w:rFonts w:hint="eastAsia" w:ascii="黑体" w:hAnsi="华文中宋" w:eastAsia="黑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须知</w:t>
      </w: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="宋体" w:hAnsi="宋体" w:eastAsia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1"/>
        </w:rPr>
        <w:t>内容及要求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1.项目名称：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贵州普定农村商业银行股份有限公司广告宣传制作项目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2.项目要求：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（一）</w:t>
      </w:r>
      <w:r>
        <w:rPr>
          <w:rFonts w:ascii="宋体" w:hAnsi="宋体" w:eastAsia="宋体" w:cs="宋体"/>
          <w:sz w:val="24"/>
          <w:szCs w:val="24"/>
        </w:rPr>
        <w:t>拟选取不超过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3(含)</w:t>
      </w:r>
      <w:r>
        <w:rPr>
          <w:rFonts w:ascii="宋体" w:hAnsi="宋体" w:eastAsia="宋体" w:cs="宋体"/>
          <w:sz w:val="24"/>
          <w:szCs w:val="24"/>
        </w:rPr>
        <w:t>家供应商提供日常零星广告宣传设计、制作安装服务。主要包括灯片、写真贴、宣传展板、喷绘+高空安装、</w:t>
      </w:r>
      <w:r>
        <w:rPr>
          <w:rFonts w:hint="eastAsia" w:ascii="宋体" w:hAnsi="宋体" w:eastAsia="宋体" w:cs="宋体"/>
          <w:sz w:val="24"/>
          <w:szCs w:val="24"/>
        </w:rPr>
        <w:t>A4宣传单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PVC板UV打印</w:t>
      </w:r>
      <w:r>
        <w:rPr>
          <w:rFonts w:ascii="宋体" w:hAnsi="宋体" w:eastAsia="宋体" w:cs="宋体"/>
          <w:sz w:val="24"/>
          <w:szCs w:val="24"/>
        </w:rPr>
        <w:t>、条幅、A4强磁台牌等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（二）</w:t>
      </w:r>
      <w:bookmarkStart w:id="0" w:name="_Toc257724565"/>
      <w:bookmarkStart w:id="1" w:name="_Toc138581101"/>
      <w:bookmarkStart w:id="2" w:name="_Toc132254106"/>
      <w:bookmarkStart w:id="3" w:name="_Toc132254458"/>
      <w:bookmarkStart w:id="4" w:name="_Toc138581182"/>
      <w:bookmarkStart w:id="5" w:name="_Toc132253940"/>
      <w:bookmarkStart w:id="6" w:name="_Toc134953364"/>
      <w:bookmarkStart w:id="7" w:name="_Toc140467269"/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项目清单及相关要求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70"/>
        <w:gridCol w:w="1128"/>
        <w:gridCol w:w="1386"/>
        <w:gridCol w:w="1100"/>
        <w:gridCol w:w="1014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114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11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3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47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不含安装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711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写真1㎡以内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60x90cm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60x80cm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50x70cm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40x60cm以下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写真裱KT版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5mmPVC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2cmPVC板UV打印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1.5cmPVC板+2mm亚克力面板UV打印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2mm亚克力UV打印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钛金牌（40x60cm）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三证合一牌照框（5mmPVC+有机板盒子）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125x40cm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强磁台签A4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500-1000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500-1000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铜版纸名片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镀锌板雕塑造型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总行门口旗帜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网点安装、网点整改修复运费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1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注：1、本次采购以单价进行招标，按每次实际</w:t>
      </w:r>
      <w:r>
        <w:rPr>
          <w:rFonts w:hint="eastAsia" w:ascii="宋体" w:hAnsi="宋体" w:cs="宋体"/>
          <w:kern w:val="0"/>
          <w:sz w:val="24"/>
          <w:lang w:val="en-US" w:eastAsia="zh-CN"/>
        </w:rPr>
        <w:t>制作</w:t>
      </w:r>
      <w:r>
        <w:rPr>
          <w:rFonts w:hint="eastAsia" w:ascii="宋体" w:hAnsi="宋体" w:cs="宋体"/>
          <w:kern w:val="0"/>
          <w:sz w:val="24"/>
        </w:rPr>
        <w:t>内容数量结合中标单价结算。</w:t>
      </w:r>
    </w:p>
    <w:p>
      <w:pPr>
        <w:pStyle w:val="2"/>
        <w:numPr>
          <w:ilvl w:val="0"/>
          <w:numId w:val="2"/>
        </w:numPr>
        <w:ind w:firstLine="480" w:firstLineChars="200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临时采购不在报价单内的商品需按不高于当时市场价的价格计价</w:t>
      </w:r>
    </w:p>
    <w:p>
      <w:pPr>
        <w:pStyle w:val="2"/>
        <w:numPr>
          <w:ilvl w:val="0"/>
          <w:numId w:val="2"/>
        </w:numPr>
        <w:ind w:firstLine="480" w:firstLineChars="200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val="en-US" w:eastAsia="zh-CN"/>
        </w:rPr>
        <w:t>具体相关内容按每次招标单位要求内容制作</w:t>
      </w: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1"/>
          <w:lang w:val="en-US" w:eastAsia="zh-CN"/>
        </w:rPr>
        <w:t>二、磋商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>
      <w:pPr>
        <w:pStyle w:val="11"/>
        <w:numPr>
          <w:ilvl w:val="0"/>
          <w:numId w:val="3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法定代表人授权委托书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报价表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服务方案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>
      <w:pPr>
        <w:pStyle w:val="11"/>
        <w:numPr>
          <w:ilvl w:val="0"/>
          <w:numId w:val="3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257724566"/>
      <w:bookmarkStart w:id="9" w:name="_Toc134953365"/>
      <w:bookmarkStart w:id="10" w:name="_Toc140467270"/>
      <w:bookmarkStart w:id="11" w:name="_Toc138581102"/>
      <w:bookmarkStart w:id="12" w:name="_Toc138581183"/>
      <w:bookmarkStart w:id="13" w:name="_Toc211218925"/>
      <w:bookmarkStart w:id="14" w:name="_Toc132254459"/>
      <w:bookmarkStart w:id="15" w:name="_Toc132254107"/>
      <w:bookmarkStart w:id="16" w:name="_Toc13225394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装订、密封、递交要求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磋商单位未按上述规定提交，其将被拒收，并原封退还给竞选单位。 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正、副本不一致时，以正本为准。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2.5  递交截止时间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2024年3月21日15时30分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>
      <w:pPr>
        <w:pStyle w:val="13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134953366"/>
      <w:bookmarkStart w:id="18" w:name="_Toc257724568"/>
      <w:bookmarkStart w:id="19" w:name="_Toc140467271"/>
      <w:bookmarkStart w:id="20" w:name="_Toc138581103"/>
      <w:bookmarkStart w:id="21" w:name="_Toc211218926"/>
      <w:bookmarkStart w:id="22" w:name="_Toc132254108"/>
      <w:bookmarkStart w:id="23" w:name="_Toc138581184"/>
      <w:bookmarkStart w:id="24" w:name="_Toc132254460"/>
      <w:bookmarkStart w:id="25" w:name="_Toc132253942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9620192"/>
      <w:bookmarkStart w:id="27" w:name="_Toc385992353"/>
      <w:bookmarkStart w:id="28" w:name="_Toc138581112"/>
      <w:bookmarkStart w:id="29" w:name="_Toc132254117"/>
      <w:bookmarkStart w:id="30" w:name="_Toc132253951"/>
      <w:bookmarkStart w:id="31" w:name="_Toc138581193"/>
      <w:bookmarkStart w:id="32" w:name="_Toc132254469"/>
      <w:bookmarkStart w:id="33" w:name="_Toc182068833"/>
      <w:bookmarkStart w:id="34" w:name="_Toc173680909"/>
      <w:bookmarkStart w:id="35" w:name="_Toc140467280"/>
      <w:bookmarkStart w:id="36" w:name="_Toc134953375"/>
    </w:p>
    <w:p>
      <w:pPr>
        <w:pStyle w:val="13"/>
        <w:spacing w:beforeLines="0" w:afterLines="0" w:line="360" w:lineRule="exact"/>
        <w:jc w:val="center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>
      <w:pPr>
        <w:pStyle w:val="11"/>
        <w:numPr>
          <w:ilvl w:val="0"/>
          <w:numId w:val="4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磋商程序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竞选人全权代表向磋商小组递交响应文件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磋商小组审阅响应文件</w:t>
      </w:r>
    </w:p>
    <w:p>
      <w:pPr>
        <w:pStyle w:val="12"/>
        <w:numPr>
          <w:ilvl w:val="0"/>
          <w:numId w:val="5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磋商小组依据磋商文件的规定，对响应文件的有效性、完整性和对磋商文件的响应程度进行审查，</w:t>
      </w:r>
    </w:p>
    <w:p>
      <w:pPr>
        <w:pStyle w:val="12"/>
        <w:numPr>
          <w:ilvl w:val="0"/>
          <w:numId w:val="5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在磋商文件及程序符合法律规定的前提下，未响应磋商文件的竞选将不进入综合评分环节。递交响应文件作出实质响应的竞选人不足3家的，终止磋商，重新组织采购。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>
      <w:pPr>
        <w:pStyle w:val="12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由磋商小组采用综合评分法对竞选人的响应文件进行综合评分。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>
      <w:pPr>
        <w:pStyle w:val="11"/>
        <w:numPr>
          <w:ilvl w:val="0"/>
          <w:numId w:val="4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>
      <w:pPr>
        <w:pStyle w:val="12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磋商遵循公开透明、公平竞争、公正和诚实信用的原则。磋商小组成员按照客观、公正、审慎的原则，根据磋商文件规定的评审程序、评审方法和评审标准进行独立评审。未实质性响应磋商文件的响应文件按无效响应处理，并告知提交响应文件的竞选人。 </w:t>
      </w:r>
    </w:p>
    <w:p>
      <w:pPr>
        <w:pStyle w:val="12"/>
        <w:numPr>
          <w:ilvl w:val="1"/>
          <w:numId w:val="4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根据有关规定，磋商小组成员按照客观、公正、谨慎的原则，根据磋商文件规定的评审程序、评审方法和评审标准进行独立评审。根据排名先后确定成交候选竞选人。</w:t>
      </w: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08"/>
        <w:gridCol w:w="75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pct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评标项目</w:t>
            </w:r>
          </w:p>
        </w:tc>
        <w:tc>
          <w:tcPr>
            <w:tcW w:w="465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分值</w:t>
            </w:r>
          </w:p>
        </w:tc>
        <w:tc>
          <w:tcPr>
            <w:tcW w:w="3880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snapToGrid w:val="0"/>
                <w:color w:val="000000"/>
                <w:kern w:val="10"/>
              </w:rPr>
            </w:pPr>
            <w:r>
              <w:rPr>
                <w:rFonts w:hint="eastAsia"/>
                <w:iCs/>
                <w:color w:val="000000"/>
              </w:rPr>
              <w:t>评分内容及打分办法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5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</w:t>
            </w:r>
          </w:p>
        </w:tc>
        <w:tc>
          <w:tcPr>
            <w:tcW w:w="46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0分</w:t>
            </w:r>
          </w:p>
        </w:tc>
        <w:tc>
          <w:tcPr>
            <w:tcW w:w="3880" w:type="pct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报价得分=〔有效投标人最低投标价÷本投标人投标价〕×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3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技术</w:t>
            </w:r>
            <w:r>
              <w:rPr>
                <w:rFonts w:hint="eastAsia"/>
                <w:iCs/>
                <w:color w:val="000000"/>
              </w:rPr>
              <w:t>要求</w:t>
            </w:r>
          </w:p>
        </w:tc>
        <w:tc>
          <w:tcPr>
            <w:tcW w:w="46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8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技术规格能符合行业标准, 用材、做工、性能要求、色调等完全满足招标文件要求得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20</w:t>
            </w:r>
            <w:r>
              <w:rPr>
                <w:rFonts w:hint="eastAsia"/>
                <w:iCs/>
                <w:color w:val="000000"/>
              </w:rPr>
              <w:t>分；</w:t>
            </w:r>
            <w:r>
              <w:rPr>
                <w:rFonts w:hint="eastAsia"/>
                <w:iCs/>
                <w:color w:val="000000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3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质量保证措施及验收方案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10分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left"/>
              <w:rPr>
                <w:rFonts w:hint="eastAsia"/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对比各投标人的质量保证措施和验收方案（包括项目人员配置、分配、项目管理、执行进度计划、应急处理措施、质量保证及验收方案等）同比优，得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10-6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分；</w:t>
            </w:r>
            <w:bookmarkStart w:id="38" w:name="_GoBack"/>
            <w:bookmarkEnd w:id="38"/>
            <w:r>
              <w:rPr>
                <w:rFonts w:hint="eastAsia"/>
                <w:iCs/>
                <w:color w:val="000000"/>
                <w:lang w:eastAsia="zh-CN"/>
              </w:rPr>
              <w:t>同比一般，得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5-3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分；同比较差，得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2-1</w:t>
            </w:r>
            <w:r>
              <w:rPr>
                <w:rFonts w:hint="eastAsia"/>
                <w:iCs/>
                <w:color w:val="000000"/>
                <w:lang w:eastAsia="zh-CN"/>
              </w:rPr>
              <w:t>分；不提供不得分。</w:t>
            </w:r>
          </w:p>
          <w:p>
            <w:pPr>
              <w:spacing w:line="360" w:lineRule="exact"/>
              <w:ind w:left="-1" w:leftChars="-1" w:hanging="1"/>
              <w:jc w:val="center"/>
              <w:rPr>
                <w:rFonts w:hint="eastAsia"/>
                <w:i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3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iCs/>
                <w:color w:val="000000"/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业绩经验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iCs/>
                <w:color w:val="000000"/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20分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投标人</w:t>
            </w:r>
            <w:r>
              <w:rPr>
                <w:rFonts w:hint="eastAsia"/>
                <w:iCs/>
                <w:lang w:val="en-US" w:eastAsia="zh-CN"/>
              </w:rPr>
              <w:t>为银行机构提供广告设计制作服务</w:t>
            </w:r>
            <w:r>
              <w:rPr>
                <w:rFonts w:hint="eastAsia"/>
                <w:iCs/>
              </w:rPr>
              <w:t>，</w:t>
            </w:r>
            <w:r>
              <w:rPr>
                <w:rFonts w:hint="eastAsia"/>
                <w:iCs/>
                <w:lang w:val="en-US" w:eastAsia="zh-CN"/>
              </w:rPr>
              <w:t>提供一个得5分，最高20分</w:t>
            </w:r>
            <w:r>
              <w:rPr>
                <w:rFonts w:hint="eastAsia"/>
                <w:iCs/>
              </w:rPr>
              <w:t>【须提供同类型项目的业绩中标通知书或合同</w:t>
            </w:r>
            <w:r>
              <w:rPr>
                <w:rFonts w:hint="eastAsia"/>
                <w:iCs/>
                <w:lang w:val="en-US" w:eastAsia="zh-CN"/>
              </w:rPr>
              <w:t>复印件</w:t>
            </w:r>
            <w:r>
              <w:rPr>
                <w:rFonts w:hint="eastAsia"/>
                <w:iCs/>
              </w:rPr>
              <w:t>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3" w:type="pct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服务方案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</w:rPr>
              <w:t>20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iCs/>
              </w:rPr>
            </w:pPr>
            <w:r>
              <w:rPr>
                <w:rFonts w:hint="eastAsia"/>
                <w:iCs/>
                <w:color w:val="000000"/>
              </w:rPr>
              <w:t>投标人针对本项目制定整体服务实施方案，总体架构思路清晰、方案详细、符合实际情况且可行性强的得</w:t>
            </w:r>
            <w:r>
              <w:rPr>
                <w:rFonts w:hint="eastAsia" w:eastAsia="宋体"/>
                <w:iCs/>
                <w:color w:val="000000"/>
              </w:rPr>
              <w:t>20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</w:rPr>
              <w:t>15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分，总体架构思路较清晰、方案较详细、符合实际情况且具有可操作性的得</w:t>
            </w:r>
            <w:r>
              <w:rPr>
                <w:rFonts w:hint="eastAsia" w:eastAsia="宋体"/>
                <w:iCs/>
                <w:color w:val="000000"/>
              </w:rPr>
              <w:t>14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</w:rPr>
              <w:t>10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分，总体架构思路较清晰、方案较详细、符合实际情况、具有一定的可操作性的得</w:t>
            </w:r>
            <w:r>
              <w:rPr>
                <w:rFonts w:hint="eastAsia" w:eastAsia="宋体"/>
                <w:iCs/>
                <w:color w:val="000000"/>
              </w:rPr>
              <w:t>9</w:t>
            </w:r>
            <w:r>
              <w:rPr>
                <w:rFonts w:hint="eastAsia"/>
                <w:iCs/>
                <w:color w:val="000000"/>
              </w:rPr>
              <w:t>-1分，方案存在重大缺陷或无方案的不得分。</w:t>
            </w:r>
          </w:p>
        </w:tc>
      </w:tr>
    </w:tbl>
    <w:p>
      <w:pPr>
        <w:pStyle w:val="12"/>
        <w:spacing w:line="440" w:lineRule="exact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br w:type="page"/>
      </w: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>
      <w:pPr>
        <w:pStyle w:val="4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>
      <w:pPr>
        <w:spacing w:line="440" w:lineRule="exact"/>
        <w:ind w:left="420" w:leftChars="200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</w:t>
      </w:r>
    </w:p>
    <w:tbl>
      <w:tblPr>
        <w:tblStyle w:val="7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>
      <w:pPr>
        <w:spacing w:line="440" w:lineRule="exact"/>
        <w:rPr>
          <w:rFonts w:ascii="宋体"/>
        </w:rPr>
      </w:pPr>
      <w:r>
        <w:rPr>
          <w:rFonts w:ascii="宋体" w:hAnsi="宋体"/>
          <w:u w:val="single"/>
        </w:rPr>
        <w:t xml:space="preserve">                     </w:t>
      </w:r>
    </w:p>
    <w:p>
      <w:pPr>
        <w:spacing w:line="440" w:lineRule="exact"/>
        <w:rPr>
          <w:rFonts w:ascii="宋体"/>
        </w:rPr>
      </w:pPr>
    </w:p>
    <w:p>
      <w:pPr>
        <w:spacing w:beforeLines="100" w:afterLines="100" w:line="300" w:lineRule="exact"/>
        <w:jc w:val="center"/>
        <w:rPr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  <w:lang w:val="en-US" w:eastAsia="zh-CN"/>
        </w:rPr>
        <w:t>二</w:t>
      </w:r>
      <w:r>
        <w:rPr>
          <w:rFonts w:hint="eastAsia"/>
          <w:b/>
          <w:sz w:val="32"/>
        </w:rPr>
        <w:t>、报价表</w:t>
      </w:r>
    </w:p>
    <w:p>
      <w:pPr>
        <w:widowControl/>
        <w:snapToGrid w:val="0"/>
        <w:spacing w:before="0" w:beforeAutospacing="0" w:after="0" w:afterAutospacing="0" w:line="400" w:lineRule="exact"/>
        <w:ind w:left="210" w:leftChars="100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竞选人名称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70"/>
        <w:gridCol w:w="1128"/>
        <w:gridCol w:w="1386"/>
        <w:gridCol w:w="1100"/>
        <w:gridCol w:w="1014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trHeight w:val="777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114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11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trHeight w:val="428" w:hRule="atLeast"/>
          <w:jc w:val="center"/>
        </w:trPr>
        <w:tc>
          <w:tcPr>
            <w:tcW w:w="713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470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不含安装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711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trHeight w:val="485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1㎡以上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写真1㎡以内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60x90cm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60x80cm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50x70cm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trHeight w:val="429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40x60cm以下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写真裱KT版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5mmPVC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2cmPVC板UV打印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1.5cmPVC板+2mm亚克力面板UV打印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2mm亚克力UV打印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5mm亚克力UV打印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钛金牌（40x60cm）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三证合一牌照框（5mmPVC+有机板盒子）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125x40cm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强磁台签A4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A4宣传单（157g铜版纸印刷）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500-1000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A4折页（157g铜版纸三折页）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500-1000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铜版纸名片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镀锌板雕塑造型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总行门口旗帜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02" w:type="dxa"/>
          <w:trHeight w:val="677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网点安装、网点整改修复运费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1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注：请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竞选单位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按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磋商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文件中采购要求填写，根据自身具体情况可扩展。</w:t>
      </w: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人名称（加盖公章）：  </w:t>
      </w: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法定代表人或其代理人（签字）：</w:t>
      </w: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报价日期：</w:t>
      </w:r>
      <w:r>
        <w:rPr>
          <w:rFonts w:hint="eastAsia"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                联系电话：</w:t>
      </w:r>
    </w:p>
    <w:p>
      <w:pPr>
        <w:spacing w:line="500" w:lineRule="exact"/>
        <w:jc w:val="center"/>
        <w:rPr>
          <w:b/>
          <w:sz w:val="32"/>
        </w:rPr>
      </w:pPr>
      <w:r>
        <w:rPr>
          <w:rFonts w:cs="Times New Roman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、服务方案</w:t>
      </w:r>
    </w:p>
    <w:p>
      <w:pPr>
        <w:pStyle w:val="4"/>
        <w:spacing w:beforeLines="100"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人自拟格式）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  <w:lang w:eastAsia="zh-CN"/>
        </w:rPr>
        <w:t>竞选</w:t>
      </w:r>
      <w:r>
        <w:rPr>
          <w:rFonts w:hint="eastAsia" w:ascii="宋体" w:hAnsi="宋体"/>
          <w:b/>
        </w:rPr>
        <w:t>人名称：</w:t>
      </w:r>
      <w:r>
        <w:rPr>
          <w:rFonts w:ascii="宋体" w:hAnsi="宋体"/>
          <w:b/>
          <w:u w:val="single"/>
        </w:rPr>
        <w:t xml:space="preserve">                                    </w:t>
      </w:r>
      <w:r>
        <w:rPr>
          <w:rFonts w:hint="eastAsia" w:ascii="宋体" w:hAnsi="宋体"/>
          <w:b/>
        </w:rPr>
        <w:t>（加盖公章）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</w:rPr>
        <w:t>法定代表人或其代理人：</w:t>
      </w:r>
      <w:r>
        <w:rPr>
          <w:rFonts w:ascii="宋体" w:hAnsi="宋体"/>
          <w:b/>
          <w:u w:val="single"/>
        </w:rPr>
        <w:t xml:space="preserve">                          </w:t>
      </w:r>
      <w:r>
        <w:rPr>
          <w:rFonts w:hint="eastAsia" w:ascii="宋体" w:hAnsi="宋体"/>
          <w:b/>
        </w:rPr>
        <w:t>（签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字）</w:t>
      </w:r>
    </w:p>
    <w:p>
      <w:pPr>
        <w:pStyle w:val="4"/>
        <w:spacing w:line="480" w:lineRule="exact"/>
        <w:ind w:firstLine="422" w:firstLineChars="200"/>
        <w:rPr>
          <w:rFonts w:ascii="宋体"/>
          <w:b/>
          <w:szCs w:val="21"/>
        </w:rPr>
      </w:pPr>
    </w:p>
    <w:p>
      <w:pPr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  <w:lang w:val="en-US" w:eastAsia="zh-CN"/>
        </w:rPr>
        <w:t>四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eastAsia="zh-CN"/>
        </w:rPr>
        <w:t>磋商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>
      <w:pPr>
        <w:adjustRightInd w:val="0"/>
        <w:snapToGrid w:val="0"/>
        <w:spacing w:line="340" w:lineRule="exact"/>
        <w:ind w:firstLine="420" w:firstLineChars="200"/>
      </w:pPr>
    </w:p>
    <w:p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>
      <w:pPr>
        <w:pStyle w:val="14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</w:rPr>
        <w:t>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rPr>
          <w:rStyle w:val="10"/>
          <w:rFonts w:ascii="宋体"/>
          <w:b/>
          <w:sz w:val="32"/>
          <w:szCs w:val="32"/>
        </w:rPr>
      </w:pPr>
    </w:p>
    <w:p/>
    <w:p/>
    <w:p/>
    <w:p/>
    <w:p/>
    <w:sectPr>
      <w:footerReference r:id="rId5" w:type="default"/>
      <w:pgSz w:w="11906" w:h="16838"/>
      <w:pgMar w:top="1089" w:right="1106" w:bottom="829" w:left="1259" w:header="624" w:footer="720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0"/>
                            </w:rPr>
                            <w:t xml:space="preserve"> 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0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0"/>
                            </w:rPr>
                            <w:t xml:space="preserve"> 31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页</w:t>
                          </w:r>
                        </w:p>
                        <w:p>
                          <w:pPr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0"/>
                      </w:rPr>
                    </w:pPr>
                    <w:r>
                      <w:rPr>
                        <w:rStyle w:val="10"/>
                        <w:rFonts w:hint="eastAsia"/>
                      </w:rPr>
                      <w:t>第</w:t>
                    </w:r>
                    <w:r>
                      <w:rPr>
                        <w:rStyle w:val="10"/>
                      </w:rPr>
                      <w:t xml:space="preserve">  </w:t>
                    </w:r>
                    <w:r>
                      <w:rPr>
                        <w:rStyle w:val="10"/>
                        <w:rFonts w:hint="eastAsia"/>
                      </w:rPr>
                      <w:t>页</w:t>
                    </w:r>
                    <w:r>
                      <w:rPr>
                        <w:rStyle w:val="10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</w:rPr>
                      <w:t>共</w:t>
                    </w:r>
                    <w:r>
                      <w:rPr>
                        <w:rStyle w:val="10"/>
                      </w:rPr>
                      <w:t xml:space="preserve"> 31 </w:t>
                    </w:r>
                    <w:r>
                      <w:rPr>
                        <w:rStyle w:val="10"/>
                        <w:rFonts w:hint="eastAsia"/>
                      </w:rPr>
                      <w:t>页</w:t>
                    </w:r>
                  </w:p>
                  <w:p>
                    <w:pPr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1CD3F"/>
    <w:multiLevelType w:val="singleLevel"/>
    <w:tmpl w:val="CA41CD3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pStyle w:val="11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4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864CE"/>
    <w:rsid w:val="4EB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5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99"/>
    <w:rPr>
      <w:rFonts w:ascii="Times New Roman" w:hAnsi="Times New Roman" w:eastAsia="宋体" w:cs="Times New Roman"/>
      <w:b/>
    </w:rPr>
  </w:style>
  <w:style w:type="character" w:customStyle="1" w:styleId="10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2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13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14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2024-03-18T10:19:00Z</dcterms:created>
  <dc:creator>126133-周凯</dc:creator>
  <cp:lastModifiedBy>126133-周凯</cp:lastModifiedBy>
  <dcterms:modified xsi:type="dcterms:W3CDTF">2024-03-19T03:36:11Z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