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清镇农商银行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年“开门红”活动宣传物资采购项目（二次）中标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（成交）结果公告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ascii="宋体" w:hAnsi="宋体" w:eastAsia="宋体" w:cs="宋体"/>
          <w:sz w:val="2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一、项目信息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项目名称：清镇农商银行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年“开门红”活动宣传物资采购项目（二次）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项目编号：SHQ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ZB-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019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采购方式：竞争性磋商</w:t>
      </w:r>
    </w:p>
    <w:p>
      <w:pPr>
        <w:pStyle w:val="2"/>
        <w:rPr>
          <w:rFonts w:hint="eastAsia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二、中标（成交）信息</w:t>
      </w:r>
    </w:p>
    <w:tbl>
      <w:tblPr>
        <w:tblpPr w:vertAnchor="page" w:horzAnchor="page" w:tblpX="1382" w:tblpY="7917"/>
        <w:tblW w:w="973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971"/>
        <w:gridCol w:w="2322"/>
        <w:gridCol w:w="3116"/>
        <w:gridCol w:w="1559"/>
      </w:tblGrid>
      <w:tr>
        <w:trPr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成交供应商</w:t>
            </w:r>
          </w:p>
        </w:tc>
        <w:tc>
          <w:tcPr>
            <w:tcW w:w="23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成交供应商地址</w:t>
            </w:r>
          </w:p>
        </w:tc>
        <w:tc>
          <w:tcPr>
            <w:tcW w:w="311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主要成交内容</w:t>
            </w:r>
          </w:p>
        </w:tc>
        <w:tc>
          <w:tcPr>
            <w:tcW w:w="155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成交金额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</w:tr>
      <w:tr>
        <w:trPr>
          <w:trHeight w:val="1086" w:hRule="atLeast"/>
          <w:jc w:val="center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贵州祥亿昇科技有限公司</w:t>
            </w:r>
          </w:p>
        </w:tc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贵州省贵阳市南明区花果园五里冲棚户区、危旧房、城中村改造项目R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号[小车河办事处]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年“开门红”活动宣传物资采购项目（二次）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890000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三、公告期限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四、代理服务收费标准及金额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收费标准：代理机构参考国家发改委发改办价格[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857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号、国家计委计价格[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2002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号等文件规定，向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收取代理服务费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11880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评审地点：贵州三合庆工程咨询有限公司开标室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评审委员会名单：周秉正、班睿、赵云强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项目用途、简要技术要求及合同履行日期：详见竞争性磋商文件。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书面推荐供应商参加采购活动的采购人和评审专家推荐意见：无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六、凡对本次公告内容提出询问，请按以下方式联系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.采购人信息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贵州清镇农村商业银行股份有限公司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集采办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贵州省贵阳市清镇市青龙街道办事处云岭东路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0851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82600367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.代理机构信息（如有）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代理全称：贵州三合庆工程咨询有限公司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刘先生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地址：贵州省贵阳市云岩区延安西路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号中国银行后面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18085086628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table of authorities"/>
    <w:basedOn w:val="1"/>
    <w:next w:val="1"/>
    <w:pPr>
      <w:ind w:left="420" w:leftChars="200"/>
    </w:p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character" w:styleId="8">
    <w:name w:val="Strong"/>
    <w:basedOn w:val="5"/>
    <w:rPr>
      <w:b/>
    </w:rPr>
  </w:style>
  <w:style w:type="paragraph" w:customStyle="1" w:styleId="9">
    <w:name w:val="Normal (Web)"/>
    <w:basedOn w:val="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97</Words>
  <Characters>555</Characters>
  <Lines>4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2021-08-14T08:12:00Z</dcterms:created>
  <dc:creator>123</dc:creator>
  <cp:lastModifiedBy>106623-董婧玮</cp:lastModifiedBy>
  <cp:lastPrinted>2021-12-24T03:31:00Z</cp:lastPrinted>
  <dcterms:modified xsi:type="dcterms:W3CDTF">2024-01-08T03:10:27Z</dcterms:modified>
  <dc:title>清镇农商银行2024年“开门红”活动宣传物资采购项目（二次）中标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5CA4F5626A084763871611552CFE1A21</vt:lpwstr>
  </property>
</Properties>
</file>