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1760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贵州清镇农村商业银行股份有限公司</w:t>
      </w:r>
    </w:p>
    <w:p>
      <w:pPr>
        <w:widowControl w:val="0"/>
        <w:wordWrap/>
        <w:adjustRightInd/>
        <w:snapToGrid/>
        <w:spacing w:line="600" w:lineRule="exact"/>
        <w:ind w:left="1760" w:hanging="1760" w:hangingChars="4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2024年第一期大额存单发行公告</w:t>
      </w:r>
    </w:p>
    <w:p>
      <w:pPr>
        <w:widowControl w:val="0"/>
        <w:wordWrap/>
        <w:adjustRightInd/>
        <w:snapToGrid/>
        <w:spacing w:line="600" w:lineRule="exact"/>
        <w:ind w:left="1760" w:hanging="1760" w:hangingChars="4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发行金额</w:t>
      </w:r>
    </w:p>
    <w:p>
      <w:pPr>
        <w:widowControl w:val="0"/>
        <w:numPr>
          <w:numId w:val="0"/>
        </w:numPr>
        <w:wordWrap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本期发行总额3亿元。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二</w:t>
      </w:r>
      <w:r>
        <w:rPr>
          <w:rFonts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</w:rPr>
        <w:t>发</w:t>
      </w:r>
      <w:r>
        <w:rPr>
          <w:rFonts w:hint="eastAsia" w:eastAsia="黑体"/>
          <w:sz w:val="32"/>
          <w:szCs w:val="32"/>
          <w:lang w:eastAsia="zh-CN"/>
        </w:rPr>
        <w:t>行时间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hint="eastAsia"/>
          <w:sz w:val="32"/>
          <w:szCs w:val="32"/>
          <w:lang w:val="en-US" w:eastAsia="zh-CN"/>
        </w:rPr>
        <w:t>2024年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/>
          <w:sz w:val="32"/>
          <w:szCs w:val="32"/>
        </w:rPr>
        <w:t>日。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ascii="Times New Roman" w:hAnsi="Times New Roman" w:eastAsia="黑体"/>
          <w:sz w:val="32"/>
          <w:szCs w:val="32"/>
        </w:rPr>
        <w:t>、办理渠道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贵州清镇农村商业银行股份有限公司各</w:t>
      </w:r>
      <w:r>
        <w:rPr>
          <w:rFonts w:ascii="Times New Roman" w:hAnsi="Times New Roman" w:eastAsia="仿宋_GB2312"/>
          <w:sz w:val="32"/>
          <w:szCs w:val="32"/>
        </w:rPr>
        <w:t>营业网点</w:t>
      </w:r>
      <w:r>
        <w:rPr>
          <w:rFonts w:hint="eastAsia"/>
          <w:sz w:val="32"/>
          <w:szCs w:val="32"/>
          <w:lang w:eastAsia="zh-CN"/>
        </w:rPr>
        <w:t>柜面办理或通过黔农云办理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ascii="Times New Roman" w:hAnsi="Times New Roman" w:eastAsia="黑体"/>
          <w:sz w:val="32"/>
          <w:szCs w:val="32"/>
        </w:rPr>
        <w:t>、产品要素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（一）起存金额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个人投资人认购大额存单的单笔起点金额不低于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szCs w:val="32"/>
        </w:rPr>
        <w:t>万元，机构投资人认购大额存单的单笔起点金额不低于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1000</w:t>
      </w:r>
      <w:r>
        <w:rPr>
          <w:rFonts w:ascii="Times New Roman" w:hAnsi="Times New Roman" w:eastAsia="仿宋_GB2312"/>
          <w:sz w:val="32"/>
          <w:szCs w:val="32"/>
        </w:rPr>
        <w:t>万元。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" w:eastAsia="楷体_GB2312" w:cs="楷体"/>
          <w:sz w:val="32"/>
          <w:szCs w:val="32"/>
        </w:rPr>
      </w:pPr>
      <w:r>
        <w:rPr>
          <w:rFonts w:hint="eastAsia" w:ascii="楷体_GB2312" w:hAnsi="楷体" w:eastAsia="楷体_GB2312" w:cs="楷体"/>
          <w:sz w:val="32"/>
          <w:szCs w:val="32"/>
        </w:rPr>
        <w:t>期限、利率</w:t>
      </w:r>
    </w:p>
    <w:tbl>
      <w:tblPr>
        <w:tblpPr w:leftFromText="180" w:rightFromText="180" w:vertAnchor="text" w:horzAnchor="page" w:tblpX="2608" w:tblpY="327"/>
        <w:tblOverlap w:val="never"/>
        <w:tblW w:w="44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1"/>
        <w:gridCol w:w="2019"/>
      </w:tblGrid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期限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利率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1.90%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1.90%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个月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2.10%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2.20%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2.80%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3.45%</w:t>
            </w:r>
          </w:p>
        </w:tc>
      </w:tr>
      <w:tr>
        <w:trPr>
          <w:trHeight w:val="420" w:hRule="atLeast"/>
        </w:trPr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3.95%</w:t>
            </w:r>
          </w:p>
        </w:tc>
      </w:tr>
    </w:tbl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（三）计息规则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本金一次存入，到期一次性兑付本息，并自动划转至客户认购的账户内；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是否部提，支持部提一次，部提后余额不得低于起存金额，提前支取部分按照支取日挂牌公告的活期利率计息；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是否转存，不支持自动转存；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>是否转让，暂不支持存单转让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/>
    <w:p/>
    <w:p/>
    <w:p>
      <w:pPr>
        <w:ind w:firstLine="2560" w:firstLineChars="80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贵州清镇农村商业银行股份有限公司                                                    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/>
          <w:lang w:val="en-US" w:eastAsia="zh-CN"/>
        </w:rPr>
        <w:t>2024年1月4日</w:t>
      </w:r>
    </w:p>
    <w:p/>
    <w:p>
      <w:pPr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sectPr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right="360" w:firstLine="360"/>
      <w:jc w:val="center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w:pict>
        <v:shape id="_x0000_s4097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hAnchor="margin" w:vAnchor="text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10882027">
    <w:nsid w:val="A78AA7EB"/>
    <w:multiLevelType w:val="singleLevel"/>
    <w:tmpl w:val="A78AA7EB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89471545">
    <w:nsid w:val="2F0E6139"/>
    <w:multiLevelType w:val="singleLevel"/>
    <w:tmpl w:val="2F0E6139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789471545"/>
  </w:num>
  <w:num w:numId="2">
    <w:abstractNumId w:val="28108820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/>
      <w:sz w:val="18"/>
    </w:rPr>
  </w:style>
  <w:style w:type="character" w:customStyle="1" w:styleId="5">
    <w:name w:val="page number"/>
    <w:basedOn w:val="4"/>
    <w:rPr>
      <w:rFonts w:ascii="Calibri" w:hAnsi="Calibri" w:eastAsia="宋体" w:cs="Times New Roman"/>
    </w:rPr>
  </w:style>
  <w:style w:type="character" w:customStyle="1" w:styleId="6">
    <w:name w:val="font41"/>
    <w:basedOn w:val="4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7">
    <w:name w:val="font11"/>
    <w:basedOn w:val="4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2023-08-18T07:56:00Z</dcterms:created>
  <dc:creator>aichouchou</dc:creator>
  <cp:lastModifiedBy>106623-董婧玮</cp:lastModifiedBy>
  <cp:lastPrinted>2023-12-31T10:08:00Z</cp:lastPrinted>
  <dcterms:modified xsi:type="dcterms:W3CDTF">2024-01-04T08:13:21Z</dcterms:modified>
  <dc:title>贵州清镇农村商业银行股份有限公司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  <property fmtid="{D5CDD505-2E9C-101B-9397-08002B2CF9AE}" pid="3" name="ICV">
    <vt:lpwstr>84BF9FEA2E6D4D55AF8FA4257C063388_11</vt:lpwstr>
  </property>
</Properties>
</file>