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CFDFF"/>
          <w:lang w:eastAsia="zh-CN"/>
        </w:rPr>
        <w:t>清镇农商银行二级资本债券承做项目（二次）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CFDFF"/>
        </w:rPr>
        <w:t>中标（成交）结果公告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、项目名称:清镇农商银行二级资本债券承做项目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(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、项目编号: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GZHS-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ZB-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050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CG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、项目联系人: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、项目联系人电话: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0851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84840607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、采购需求：详见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、采购方式: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询价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、采购日期 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、公告媒体：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贵州省招标投标公共服务平台、中国招标投标公共服务平台及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官网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、评审时间: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、评审地点: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贵州宏升项目咨询管理有限公司金阳办事处（贵阳市观山湖区富力新天地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、定标日期：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、中标（成交）信息:</w:t>
      </w:r>
    </w:p>
    <w:tbl>
      <w:tblPr>
        <w:tblStyle w:val="6"/>
        <w:tblW w:w="52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1645"/>
        <w:gridCol w:w="2572"/>
        <w:gridCol w:w="2527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91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中标（成交）供应商</w:t>
            </w:r>
          </w:p>
        </w:tc>
        <w:tc>
          <w:tcPr>
            <w:tcW w:w="142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中标（成交）供应商地址</w:t>
            </w:r>
          </w:p>
        </w:tc>
        <w:tc>
          <w:tcPr>
            <w:tcW w:w="140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主要中标（成交）内容</w:t>
            </w:r>
          </w:p>
        </w:tc>
        <w:tc>
          <w:tcPr>
            <w:tcW w:w="9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中标（成交）报价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29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长城证券股份有限公司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深圳市福田区福田街道金田路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号能源大厦南塔楼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层</w:t>
            </w:r>
          </w:p>
        </w:tc>
        <w:tc>
          <w:tcPr>
            <w:tcW w:w="14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详见文件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采购人名称: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贵州清镇农村商业银行股份有限公司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贵州省贵阳市清镇市青龙街道办事处云岭东路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项目联系人: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集采办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 w:firstLine="480" w:firstLineChars="15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82600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367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采购代理机构全称: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贵州宏升项目咨询管理有限公司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48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贵阳市观山湖区富力新天地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84840607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20" w:firstLineChars="135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DI5NWMzZDMzYmMwOWMzMDVkYTAyZGEzNTJjZDEifQ=="/>
  </w:docVars>
  <w:rsids>
    <w:rsidRoot w:val="00000000"/>
    <w:rsid w:val="17D46287"/>
    <w:rsid w:val="25432FA4"/>
    <w:rsid w:val="44335FDF"/>
    <w:rsid w:val="5A9A0292"/>
    <w:rsid w:val="665723A3"/>
    <w:rsid w:val="709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2023-12-26T07:18:00Z</dcterms:created>
  <dc:creator>ym</dc:creator>
  <cp:lastModifiedBy>办公室</cp:lastModifiedBy>
  <dcterms:modified xsi:type="dcterms:W3CDTF">2023-12-27T02:03:37Z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A95BBECBADA94139951ACFD31B19EA31_12</vt:lpwstr>
  </property>
</Properties>
</file>