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清镇农商银行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年“开门红”活动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宣传物资采购项目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竞争性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谈判采购公告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.项目情况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清镇农商银行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年“开门红”活动宣传物资采购项目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SHQ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ZB-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019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交货地点：采购人指定地点(双方在签订合同时明确)。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交货期：合同签订之日后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内完成（具体以合同约定为准）。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资金来源：企业自筹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采购内容：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清镇农商银行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年“开门红”活动宣传物资采购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须具有独立承担民事责任能力的法人或其他组织：提供有效的营业执照复印件或扫描件加盖供应商公章；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须具有履行合同所必需的设备及专业技术能力：提供承诺函，加盖供应商公章；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具有良好的商业信誉及健全的财务会计制度：提供财务状况报告材料（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年或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年经第三方审计的审计报告），新成立不足一年的公司提供开户银行出具的资信证明（复印件或扫描件加盖供应商公章）；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参与本次招标采购活动前三年内，在经营活动中没有重大违法记录：提供承诺函，加盖供应商公章，评标委员会保留查询复核的权利，查询复核不满足要求的，该项审查不通过；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、行政法规规定的其他条件：供应商在“信用中国”网站（www.creditchina.gov.cn）、中国政府采购网（www.ccgp.gov.cn）等渠道查询中未被列入失信被执行人名单、重大税收违法失信主体、政府采购严重违法失信行为记录名单中，提供查询网页截图加盖供应商公章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查询网页需体现查询时间，查询时间需在谈判公告发布之后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截图内容须清晰可见）；如被列入失信被执行人、重大税收违法失信主体、政府采购严重违法失信行为记录名单中的供应商取消其投标资格，并承担由此造成的一切法律责任及后果。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本项目所需特殊行业资质或要求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sectPr>
          <w:footerReference r:id="rId3" w:type="default"/>
          <w:pgSz w:w="11907" w:h="16840"/>
          <w:pgMar w:top="1304" w:right="1588" w:bottom="1304" w:left="1588" w:header="720" w:footer="720" w:gutter="0"/>
          <w:pgNumType w:fmt="decimal"/>
          <w:cols w:space="720" w:num="1"/>
          <w:docGrid w:linePitch="326" w:charSpace="0"/>
        </w:sect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单位负责人为同一人或者存在直接控股、管理关系的不同供应商，不得参加同一合同项下的竞争性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谈判。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.竞争性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谈判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文件的获取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日，每天上午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，下午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（北京时间，休息日节假日除外）。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获取方式：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网上报名。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须提供的材料：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）有效的营业执照扫描件加盖单位公章；（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法定代表人报名的：需提供法人身份证明书扫描件，法定代表人身份证扫描件；授权委托人报名的：需提供法人身份证明书扫描件，法定代表人授权委托书扫描件及被委托人身份证扫描件（上述资料须加盖单位公章）；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）缴纳报名费回执单。（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）必须是一般纳税人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开具合法真实有效的增值税专用发票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才能参与本项目的报名。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注：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、报名资料需在法定代表人证明书或授权书上注明项目名称、编号、联系电话及邮箱等内容；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、报名费汇入我公司账户时请备注好项目名称或项目编号（字数超出可简称）；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、以上资料发送至采购代理机构邮箱并致电告知。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邮箱地址及结算信息：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）邮箱地址：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"mailto:GZSHQYX@163.com"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GZSHQYX@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163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）开户户名：贵州三合庆工程咨询有限公司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）开户银行：中国建设银行股份有限公司贵阳团破桥支行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）帐　　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52001615036052500859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）电    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18085086628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招标文件售价：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元/份（人民币）含电子档，售后不退。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.投标文件的递交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递交投标文件及开标时间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（投标截止时间，下同）：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投标文件线下签到、递交；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递交投标文件及开标地点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：贵州三合庆工程咨询有限公司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.联系方式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采购人：贵州清镇农村商业银行股份有限公司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联系地址：贵州省贵阳市清镇市青龙街道办事处云岭东路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联系人：集采办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82600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367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招标代理：贵州三合庆工程咨询有限公司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联系地址：贵州省贵阳市云岩区延安西路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号中国银行后面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楼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刘先生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18085086628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ind w:firstLine="4160" w:firstLineChars="1300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DFkNTYwN2ZjYzQ4ZmI5NGRkYmMxMzJhMDgwM2YifQ=="/>
  </w:docVars>
  <w:rsids>
    <w:rsidRoot w:val="00000000"/>
    <w:rsid w:val="1B3A5C69"/>
    <w:rsid w:val="27383550"/>
    <w:rsid w:val="310426F5"/>
    <w:rsid w:val="3266404D"/>
    <w:rsid w:val="45715E6E"/>
    <w:rsid w:val="53D235AE"/>
    <w:rsid w:val="5D085C54"/>
    <w:rsid w:val="6DA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2023-12-26T03:44:00Z</dcterms:created>
  <dc:creator>Administrator</dc:creator>
  <cp:lastModifiedBy>办公室</cp:lastModifiedBy>
  <dcterms:modified xsi:type="dcterms:W3CDTF">2023-12-26T08:56:41Z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E619AFFE74D5498FAA708EBAACA71AF2_12</vt:lpwstr>
  </property>
</Properties>
</file>