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贵州瓮安农村商业银行股份有限公司关于 </w:t>
      </w:r>
      <w:r>
        <w:rPr>
          <w:rFonts w:hint="eastAsia" w:ascii="Times New Roman" w:hAnsi="Times New Roman"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lang w:val="en-US" w:eastAsia="zh-CN"/>
        </w:rPr>
        <w:t>年重大关联交易信息披露</w:t>
      </w:r>
      <w:r>
        <w:rPr>
          <w:rFonts w:hint="default" w:ascii="方正小标宋简体" w:hAnsi="方正小标宋简体" w:eastAsia="方正小标宋简体" w:cs="方正小标宋简体"/>
          <w:sz w:val="44"/>
          <w:szCs w:val="44"/>
          <w:lang w:val="en-US" w:eastAsia="zh-CN"/>
        </w:rPr>
        <w:t>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center"/>
        <w:rPr>
          <w:rFonts w:hint="default" w:ascii="sans-serif" w:hAnsi="sans-serif" w:eastAsia="sans-serif" w:cs="sans-serif"/>
          <w:i w:val="0"/>
          <w:iCs w:val="0"/>
          <w:caps w:val="0"/>
          <w:color w:val="333333"/>
          <w:spacing w:val="0"/>
          <w:sz w:val="24"/>
          <w:szCs w:val="24"/>
          <w:u w:val="none"/>
        </w:rPr>
      </w:pPr>
      <w:r>
        <w:rPr>
          <w:rFonts w:hint="default" w:ascii="sans-serif" w:hAnsi="sans-serif" w:eastAsia="sans-serif" w:cs="sans-serif"/>
          <w:i w:val="0"/>
          <w:iCs w:val="0"/>
          <w:caps w:val="0"/>
          <w:color w:val="333333"/>
          <w:spacing w:val="0"/>
          <w:sz w:val="24"/>
          <w:szCs w:val="24"/>
          <w:u w:val="none"/>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center"/>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根据《银行保险机构关联交易管理办法》（银保监〔</w:t>
      </w:r>
      <w:r>
        <w:rPr>
          <w:rFonts w:hint="eastAsia" w:ascii="Times New Roman" w:hAnsi="Times New Roman" w:eastAsia="仿宋_GB2312" w:cs="仿宋_GB2312"/>
          <w:spacing w:val="6"/>
          <w:sz w:val="32"/>
          <w:szCs w:val="32"/>
          <w:lang w:val="en-US" w:eastAsia="zh-CN"/>
        </w:rPr>
        <w:t>2022</w:t>
      </w:r>
      <w:r>
        <w:rPr>
          <w:rFonts w:hint="eastAsia" w:ascii="仿宋_GB2312" w:hAnsi="仿宋_GB2312" w:eastAsia="仿宋_GB2312" w:cs="仿宋_GB2312"/>
          <w:spacing w:val="6"/>
          <w:sz w:val="32"/>
          <w:szCs w:val="32"/>
          <w:lang w:val="en-US" w:eastAsia="zh-CN"/>
        </w:rPr>
        <w:t>〕</w:t>
      </w:r>
      <w:r>
        <w:rPr>
          <w:rFonts w:hint="eastAsia" w:ascii="Times New Roman" w:hAnsi="Times New Roman" w:eastAsia="仿宋_GB2312" w:cs="仿宋_GB2312"/>
          <w:spacing w:val="6"/>
          <w:sz w:val="32"/>
          <w:szCs w:val="32"/>
          <w:lang w:val="en-US" w:eastAsia="zh-CN"/>
        </w:rPr>
        <w:t>1</w:t>
      </w:r>
      <w:r>
        <w:rPr>
          <w:rFonts w:hint="eastAsia" w:ascii="仿宋_GB2312" w:hAnsi="仿宋_GB2312" w:eastAsia="仿宋_GB2312" w:cs="仿宋_GB2312"/>
          <w:spacing w:val="6"/>
          <w:sz w:val="32"/>
          <w:szCs w:val="32"/>
          <w:lang w:val="en-US" w:eastAsia="zh-CN"/>
        </w:rPr>
        <w:t>号令）以及《贵州瓮安农村商业银行股份有限公司关联交易管理办法》等相关规定，现将</w:t>
      </w:r>
      <w:r>
        <w:rPr>
          <w:rFonts w:hint="default" w:ascii="仿宋_GB2312" w:hAnsi="仿宋_GB2312" w:eastAsia="仿宋_GB2312" w:cs="仿宋_GB2312"/>
          <w:spacing w:val="6"/>
          <w:sz w:val="32"/>
          <w:szCs w:val="32"/>
          <w:lang w:val="en-US" w:eastAsia="zh-CN"/>
        </w:rPr>
        <w:t>瓮安农商银行</w:t>
      </w:r>
      <w:r>
        <w:rPr>
          <w:rFonts w:hint="eastAsia" w:ascii="仿宋_GB2312" w:hAnsi="仿宋_GB2312" w:eastAsia="仿宋_GB2312" w:cs="仿宋_GB2312"/>
          <w:spacing w:val="6"/>
          <w:sz w:val="32"/>
          <w:szCs w:val="32"/>
          <w:lang w:val="en-US" w:eastAsia="zh-CN"/>
        </w:rPr>
        <w:t>（以下简称“本行”）</w:t>
      </w:r>
      <w:r>
        <w:rPr>
          <w:rFonts w:hint="default" w:ascii="仿宋_GB2312" w:hAnsi="仿宋_GB2312" w:eastAsia="仿宋_GB2312" w:cs="仿宋_GB2312"/>
          <w:spacing w:val="6"/>
          <w:sz w:val="32"/>
          <w:szCs w:val="32"/>
          <w:lang w:val="en-US" w:eastAsia="zh-CN"/>
        </w:rPr>
        <w:t>与</w:t>
      </w:r>
      <w:r>
        <w:rPr>
          <w:rFonts w:hint="eastAsia" w:ascii="仿宋_GB2312" w:hAnsi="仿宋_GB2312" w:eastAsia="仿宋_GB2312" w:cs="仿宋_GB2312"/>
          <w:spacing w:val="6"/>
          <w:sz w:val="32"/>
          <w:szCs w:val="32"/>
          <w:lang w:val="en-US" w:eastAsia="zh-CN"/>
        </w:rPr>
        <w:t>贵州麒龙集团（瓮安）湖山悦府置业有限公司重大关联交易信息披露如下：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center"/>
        <w:rPr>
          <w:rFonts w:hint="eastAsia" w:ascii="黑体" w:hAnsi="黑体" w:eastAsia="黑体" w:cs="黑体"/>
          <w:i w:val="0"/>
          <w:iCs w:val="0"/>
          <w:caps w:val="0"/>
          <w:color w:val="333333"/>
          <w:spacing w:val="0"/>
          <w:sz w:val="30"/>
          <w:szCs w:val="30"/>
          <w:u w:val="none"/>
          <w:lang w:val="en-US" w:eastAsia="zh-CN"/>
        </w:rPr>
      </w:pPr>
      <w:r>
        <w:rPr>
          <w:rFonts w:hint="default" w:ascii="sans-serif" w:hAnsi="sans-serif" w:eastAsia="sans-serif" w:cs="sans-serif"/>
          <w:i w:val="0"/>
          <w:iCs w:val="0"/>
          <w:caps w:val="0"/>
          <w:color w:val="333333"/>
          <w:spacing w:val="0"/>
          <w:sz w:val="24"/>
          <w:szCs w:val="24"/>
          <w:u w:val="none"/>
        </w:rPr>
        <w:t>  </w:t>
      </w:r>
      <w:r>
        <w:rPr>
          <w:rFonts w:hint="default" w:ascii="仿宋" w:hAnsi="仿宋" w:eastAsia="仿宋" w:cs="仿宋"/>
          <w:i w:val="0"/>
          <w:iCs w:val="0"/>
          <w:caps w:val="0"/>
          <w:color w:val="333333"/>
          <w:spacing w:val="0"/>
          <w:sz w:val="30"/>
          <w:szCs w:val="30"/>
          <w:u w:val="none"/>
          <w:lang w:val="en-US" w:eastAsia="zh-CN"/>
        </w:rPr>
        <w:t> </w:t>
      </w:r>
      <w:r>
        <w:rPr>
          <w:rFonts w:hint="eastAsia" w:ascii="黑体" w:hAnsi="黑体" w:eastAsia="黑体" w:cs="黑体"/>
          <w:i w:val="0"/>
          <w:iCs w:val="0"/>
          <w:caps w:val="0"/>
          <w:color w:val="333333"/>
          <w:spacing w:val="0"/>
          <w:sz w:val="32"/>
          <w:szCs w:val="32"/>
          <w:u w:val="none"/>
          <w:lang w:val="en-US" w:eastAsia="zh-CN"/>
        </w:rPr>
        <w:t>   一、关联交易概述及交易标的情况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center"/>
        <w:rPr>
          <w:rFonts w:hint="default" w:ascii="仿宋" w:hAnsi="仿宋" w:eastAsia="仿宋" w:cs="仿宋"/>
          <w:b/>
          <w:bCs/>
          <w:i w:val="0"/>
          <w:iCs w:val="0"/>
          <w:caps w:val="0"/>
          <w:color w:val="333333"/>
          <w:spacing w:val="0"/>
          <w:sz w:val="30"/>
          <w:szCs w:val="30"/>
          <w:u w:val="none"/>
          <w:lang w:val="en-US" w:eastAsia="zh-CN"/>
        </w:rPr>
      </w:pPr>
      <w:r>
        <w:rPr>
          <w:rFonts w:hint="default" w:ascii="仿宋" w:hAnsi="仿宋" w:eastAsia="仿宋" w:cs="仿宋"/>
          <w:i w:val="0"/>
          <w:iCs w:val="0"/>
          <w:caps w:val="0"/>
          <w:color w:val="333333"/>
          <w:spacing w:val="0"/>
          <w:sz w:val="30"/>
          <w:szCs w:val="30"/>
          <w:u w:val="none"/>
          <w:lang w:val="en-US" w:eastAsia="zh-CN"/>
        </w:rPr>
        <w:t>   </w:t>
      </w:r>
      <w:r>
        <w:rPr>
          <w:rFonts w:hint="eastAsia" w:ascii="楷体_GB2312" w:hAnsi="楷体_GB2312" w:eastAsia="楷体_GB2312" w:cs="楷体_GB2312"/>
          <w:b w:val="0"/>
          <w:bCs w:val="0"/>
          <w:i w:val="0"/>
          <w:iCs w:val="0"/>
          <w:caps w:val="0"/>
          <w:color w:val="333333"/>
          <w:spacing w:val="0"/>
          <w:sz w:val="32"/>
          <w:szCs w:val="32"/>
          <w:u w:val="none"/>
          <w:lang w:val="en-US" w:eastAsia="zh-CN"/>
        </w:rPr>
        <w:t>   （一）关联交易概述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98" w:firstLineChars="150"/>
        <w:jc w:val="both"/>
        <w:textAlignment w:val="center"/>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贵州麒龙集团（瓮安）湖山悦府置业有限公司</w:t>
      </w:r>
      <w:r>
        <w:rPr>
          <w:rFonts w:hint="default" w:ascii="仿宋_GB2312" w:hAnsi="仿宋_GB2312" w:eastAsia="仿宋_GB2312" w:cs="仿宋_GB2312"/>
          <w:spacing w:val="6"/>
          <w:sz w:val="32"/>
          <w:szCs w:val="32"/>
          <w:lang w:val="en-US" w:eastAsia="zh-CN"/>
        </w:rPr>
        <w:t>向本行申请借新还旧</w:t>
      </w:r>
      <w:r>
        <w:rPr>
          <w:rFonts w:hint="default" w:ascii="Times New Roman" w:hAnsi="Times New Roman" w:eastAsia="仿宋_GB2312" w:cs="仿宋_GB2312"/>
          <w:spacing w:val="6"/>
          <w:sz w:val="32"/>
          <w:szCs w:val="32"/>
          <w:lang w:val="en-US" w:eastAsia="zh-CN"/>
        </w:rPr>
        <w:t>1600</w:t>
      </w:r>
      <w:r>
        <w:rPr>
          <w:rFonts w:hint="default" w:ascii="仿宋_GB2312" w:hAnsi="仿宋_GB2312" w:eastAsia="仿宋_GB2312" w:cs="仿宋_GB2312"/>
          <w:spacing w:val="6"/>
          <w:sz w:val="32"/>
          <w:szCs w:val="32"/>
          <w:lang w:val="en-US" w:eastAsia="zh-CN"/>
        </w:rPr>
        <w:t>万元。该公司是本行股东</w:t>
      </w:r>
      <w:r>
        <w:rPr>
          <w:rFonts w:hint="eastAsia" w:ascii="仿宋_GB2312" w:hAnsi="仿宋_GB2312" w:eastAsia="仿宋_GB2312" w:cs="仿宋_GB2312"/>
          <w:spacing w:val="6"/>
          <w:sz w:val="32"/>
          <w:szCs w:val="32"/>
          <w:lang w:val="en-US" w:eastAsia="zh-CN"/>
        </w:rPr>
        <w:t>贵州麒龙置业有限公司</w:t>
      </w:r>
      <w:r>
        <w:rPr>
          <w:rFonts w:hint="default" w:ascii="仿宋_GB2312" w:hAnsi="仿宋_GB2312" w:eastAsia="仿宋_GB2312" w:cs="仿宋_GB2312"/>
          <w:spacing w:val="6"/>
          <w:sz w:val="32"/>
          <w:szCs w:val="32"/>
          <w:lang w:val="en-US" w:eastAsia="zh-CN"/>
        </w:rPr>
        <w:t>的关联企业。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center"/>
        <w:rPr>
          <w:rFonts w:hint="default" w:ascii="仿宋" w:hAnsi="仿宋" w:eastAsia="仿宋" w:cs="仿宋"/>
          <w:i w:val="0"/>
          <w:iCs w:val="0"/>
          <w:caps w:val="0"/>
          <w:color w:val="333333"/>
          <w:spacing w:val="0"/>
          <w:sz w:val="30"/>
          <w:szCs w:val="30"/>
          <w:u w:val="none"/>
          <w:lang w:val="en-US" w:eastAsia="zh-CN"/>
        </w:rPr>
      </w:pPr>
      <w:r>
        <w:rPr>
          <w:rFonts w:hint="default" w:ascii="仿宋" w:hAnsi="仿宋" w:eastAsia="仿宋" w:cs="仿宋"/>
          <w:i w:val="0"/>
          <w:iCs w:val="0"/>
          <w:caps w:val="0"/>
          <w:color w:val="333333"/>
          <w:spacing w:val="0"/>
          <w:sz w:val="30"/>
          <w:szCs w:val="30"/>
          <w:u w:val="none"/>
          <w:lang w:val="en-US" w:eastAsia="zh-CN"/>
        </w:rPr>
        <w:t>      </w:t>
      </w:r>
      <w:r>
        <w:rPr>
          <w:rFonts w:hint="eastAsia" w:ascii="楷体_GB2312" w:hAnsi="楷体_GB2312" w:eastAsia="楷体_GB2312" w:cs="楷体_GB2312"/>
          <w:b w:val="0"/>
          <w:bCs w:val="0"/>
          <w:i w:val="0"/>
          <w:iCs w:val="0"/>
          <w:caps w:val="0"/>
          <w:color w:val="333333"/>
          <w:spacing w:val="0"/>
          <w:sz w:val="32"/>
          <w:szCs w:val="32"/>
          <w:u w:val="none"/>
          <w:lang w:val="en-US" w:eastAsia="zh-CN"/>
        </w:rPr>
        <w:t>（二）交易标的基本情况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98" w:firstLineChars="150"/>
        <w:jc w:val="both"/>
        <w:textAlignment w:val="center"/>
        <w:rPr>
          <w:rFonts w:hint="default" w:ascii="仿宋_GB2312" w:hAnsi="仿宋_GB2312" w:eastAsia="仿宋_GB2312" w:cs="仿宋_GB2312"/>
          <w:spacing w:val="6"/>
          <w:sz w:val="32"/>
          <w:szCs w:val="32"/>
          <w:lang w:val="en-US" w:eastAsia="zh-CN"/>
        </w:rPr>
      </w:pPr>
      <w:r>
        <w:rPr>
          <w:rFonts w:hint="default" w:ascii="仿宋_GB2312" w:hAnsi="仿宋_GB2312" w:eastAsia="仿宋_GB2312" w:cs="仿宋_GB2312"/>
          <w:spacing w:val="6"/>
          <w:sz w:val="32"/>
          <w:szCs w:val="32"/>
          <w:lang w:val="en-US" w:eastAsia="zh-CN"/>
        </w:rPr>
        <w:t>本行</w:t>
      </w:r>
      <w:r>
        <w:rPr>
          <w:rFonts w:hint="eastAsia" w:ascii="仿宋_GB2312" w:hAnsi="仿宋_GB2312" w:eastAsia="仿宋_GB2312" w:cs="仿宋_GB2312"/>
          <w:spacing w:val="6"/>
          <w:sz w:val="32"/>
          <w:szCs w:val="32"/>
          <w:lang w:val="en-US" w:eastAsia="zh-CN"/>
        </w:rPr>
        <w:t>授信审批委员会</w:t>
      </w:r>
      <w:r>
        <w:rPr>
          <w:rFonts w:hint="default" w:ascii="仿宋_GB2312" w:hAnsi="仿宋_GB2312" w:eastAsia="仿宋_GB2312" w:cs="仿宋_GB2312"/>
          <w:spacing w:val="6"/>
          <w:sz w:val="32"/>
          <w:szCs w:val="32"/>
          <w:lang w:val="en-US" w:eastAsia="zh-CN"/>
        </w:rPr>
        <w:t>出具授信审批通知书，同意</w:t>
      </w:r>
      <w:r>
        <w:rPr>
          <w:rFonts w:hint="eastAsia" w:ascii="仿宋_GB2312" w:hAnsi="仿宋_GB2312" w:eastAsia="仿宋_GB2312" w:cs="仿宋_GB2312"/>
          <w:spacing w:val="6"/>
          <w:sz w:val="32"/>
          <w:szCs w:val="32"/>
          <w:lang w:val="en-US" w:eastAsia="zh-CN"/>
        </w:rPr>
        <w:t>贵州麒龙集团（瓮安）湖山悦府置业有限公司</w:t>
      </w:r>
      <w:r>
        <w:rPr>
          <w:rFonts w:hint="default" w:ascii="仿宋_GB2312" w:hAnsi="仿宋_GB2312" w:eastAsia="仿宋_GB2312" w:cs="仿宋_GB2312"/>
          <w:spacing w:val="6"/>
          <w:sz w:val="32"/>
          <w:szCs w:val="32"/>
          <w:lang w:val="en-US" w:eastAsia="zh-CN"/>
        </w:rPr>
        <w:t>借新还旧</w:t>
      </w:r>
      <w:r>
        <w:rPr>
          <w:rFonts w:hint="eastAsia" w:ascii="Times New Roman" w:hAnsi="Times New Roman" w:eastAsia="仿宋_GB2312" w:cs="仿宋_GB2312"/>
          <w:spacing w:val="6"/>
          <w:sz w:val="32"/>
          <w:szCs w:val="32"/>
          <w:lang w:val="en-US" w:eastAsia="zh-CN"/>
        </w:rPr>
        <w:t>1600</w:t>
      </w:r>
      <w:r>
        <w:rPr>
          <w:rFonts w:hint="default" w:ascii="仿宋_GB2312" w:hAnsi="仿宋_GB2312" w:eastAsia="仿宋_GB2312" w:cs="仿宋_GB2312"/>
          <w:spacing w:val="6"/>
          <w:sz w:val="32"/>
          <w:szCs w:val="32"/>
          <w:lang w:val="en-US" w:eastAsia="zh-CN"/>
        </w:rPr>
        <w:t>万元，期限</w:t>
      </w:r>
      <w:r>
        <w:rPr>
          <w:rFonts w:hint="eastAsia" w:ascii="Times New Roman" w:hAnsi="Times New Roman" w:eastAsia="仿宋_GB2312" w:cs="仿宋_GB2312"/>
          <w:spacing w:val="6"/>
          <w:sz w:val="32"/>
          <w:szCs w:val="32"/>
          <w:lang w:val="en-US" w:eastAsia="zh-CN"/>
        </w:rPr>
        <w:t>3</w:t>
      </w:r>
      <w:r>
        <w:rPr>
          <w:rFonts w:hint="default" w:ascii="仿宋_GB2312" w:hAnsi="仿宋_GB2312" w:eastAsia="仿宋_GB2312" w:cs="仿宋_GB2312"/>
          <w:spacing w:val="6"/>
          <w:sz w:val="32"/>
          <w:szCs w:val="32"/>
          <w:lang w:val="en-US" w:eastAsia="zh-CN"/>
        </w:rPr>
        <w:t>年，担保方式为：抵押</w:t>
      </w:r>
      <w:r>
        <w:rPr>
          <w:rFonts w:hint="eastAsia" w:ascii="仿宋_GB2312" w:hAnsi="仿宋_GB2312" w:eastAsia="仿宋_GB2312" w:cs="仿宋_GB2312"/>
          <w:spacing w:val="6"/>
          <w:sz w:val="32"/>
          <w:szCs w:val="32"/>
          <w:lang w:val="en-US" w:eastAsia="zh-CN"/>
        </w:rPr>
        <w:t>+保证</w:t>
      </w:r>
      <w:r>
        <w:rPr>
          <w:rFonts w:hint="default" w:ascii="仿宋_GB2312" w:hAnsi="仿宋_GB2312" w:eastAsia="仿宋_GB2312" w:cs="仿宋_GB2312"/>
          <w:spacing w:val="6"/>
          <w:sz w:val="32"/>
          <w:szCs w:val="32"/>
          <w:lang w:val="en-US" w:eastAsia="zh-CN"/>
        </w:rPr>
        <w:t>。抵押物为</w:t>
      </w:r>
      <w:r>
        <w:rPr>
          <w:rFonts w:hint="eastAsia" w:ascii="仿宋_GB2312" w:hAnsi="仿宋_GB2312" w:eastAsia="仿宋_GB2312" w:cs="仿宋_GB2312"/>
          <w:spacing w:val="6"/>
          <w:sz w:val="32"/>
          <w:szCs w:val="32"/>
          <w:lang w:val="en-US" w:eastAsia="zh-CN"/>
        </w:rPr>
        <w:t>贵州麒龙置业有限公司提供，资产位于瓮安县麒龙摩尔城C</w:t>
      </w:r>
      <w:r>
        <w:rPr>
          <w:rFonts w:hint="eastAsia" w:ascii="Times New Roman" w:hAnsi="Times New Roman" w:eastAsia="仿宋_GB2312" w:cs="仿宋_GB2312"/>
          <w:spacing w:val="6"/>
          <w:sz w:val="32"/>
          <w:szCs w:val="32"/>
          <w:lang w:val="en-US" w:eastAsia="zh-CN"/>
        </w:rPr>
        <w:t>2</w:t>
      </w:r>
      <w:r>
        <w:rPr>
          <w:rFonts w:hint="eastAsia" w:ascii="仿宋_GB2312" w:hAnsi="仿宋_GB2312" w:eastAsia="仿宋_GB2312" w:cs="仿宋_GB2312"/>
          <w:spacing w:val="6"/>
          <w:sz w:val="32"/>
          <w:szCs w:val="32"/>
          <w:lang w:val="en-US" w:eastAsia="zh-CN"/>
        </w:rPr>
        <w:t>、C</w:t>
      </w:r>
      <w:r>
        <w:rPr>
          <w:rFonts w:hint="eastAsia" w:ascii="Times New Roman" w:hAnsi="Times New Roman" w:eastAsia="仿宋_GB2312" w:cs="仿宋_GB2312"/>
          <w:spacing w:val="6"/>
          <w:sz w:val="32"/>
          <w:szCs w:val="32"/>
          <w:lang w:val="en-US" w:eastAsia="zh-CN"/>
        </w:rPr>
        <w:t>3</w:t>
      </w:r>
      <w:r>
        <w:rPr>
          <w:rFonts w:hint="eastAsia" w:ascii="仿宋_GB2312" w:hAnsi="仿宋_GB2312" w:eastAsia="仿宋_GB2312" w:cs="仿宋_GB2312"/>
          <w:spacing w:val="6"/>
          <w:sz w:val="32"/>
          <w:szCs w:val="32"/>
          <w:lang w:val="en-US" w:eastAsia="zh-CN"/>
        </w:rPr>
        <w:t>区</w:t>
      </w:r>
      <w:r>
        <w:rPr>
          <w:rFonts w:hint="default" w:ascii="仿宋_GB2312" w:hAnsi="仿宋_GB2312" w:eastAsia="仿宋_GB2312" w:cs="仿宋_GB2312"/>
          <w:spacing w:val="6"/>
          <w:sz w:val="32"/>
          <w:szCs w:val="32"/>
          <w:lang w:val="en-US"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center"/>
        <w:rPr>
          <w:rFonts w:hint="default" w:ascii="仿宋" w:hAnsi="仿宋" w:eastAsia="仿宋" w:cs="仿宋"/>
          <w:i w:val="0"/>
          <w:iCs w:val="0"/>
          <w:caps w:val="0"/>
          <w:color w:val="333333"/>
          <w:spacing w:val="0"/>
          <w:sz w:val="30"/>
          <w:szCs w:val="30"/>
          <w:u w:val="none"/>
          <w:lang w:val="en-US" w:eastAsia="zh-CN"/>
        </w:rPr>
      </w:pPr>
      <w:r>
        <w:rPr>
          <w:rFonts w:hint="default" w:ascii="仿宋" w:hAnsi="仿宋" w:eastAsia="仿宋" w:cs="仿宋"/>
          <w:i w:val="0"/>
          <w:iCs w:val="0"/>
          <w:caps w:val="0"/>
          <w:color w:val="333333"/>
          <w:spacing w:val="0"/>
          <w:sz w:val="30"/>
          <w:szCs w:val="30"/>
          <w:u w:val="none"/>
          <w:lang w:val="en-US" w:eastAsia="zh-CN"/>
        </w:rPr>
        <w:t>     </w:t>
      </w:r>
      <w:r>
        <w:rPr>
          <w:rFonts w:hint="default" w:ascii="黑体" w:hAnsi="黑体" w:eastAsia="黑体" w:cs="黑体"/>
          <w:i w:val="0"/>
          <w:iCs w:val="0"/>
          <w:caps w:val="0"/>
          <w:color w:val="333333"/>
          <w:spacing w:val="0"/>
          <w:sz w:val="30"/>
          <w:szCs w:val="30"/>
          <w:u w:val="none"/>
          <w:lang w:val="en-US" w:eastAsia="zh-CN"/>
        </w:rPr>
        <w:t> </w:t>
      </w:r>
      <w:r>
        <w:rPr>
          <w:rFonts w:hint="default" w:ascii="黑体" w:hAnsi="黑体" w:eastAsia="黑体" w:cs="黑体"/>
          <w:i w:val="0"/>
          <w:iCs w:val="0"/>
          <w:caps w:val="0"/>
          <w:color w:val="333333"/>
          <w:spacing w:val="0"/>
          <w:sz w:val="32"/>
          <w:szCs w:val="32"/>
          <w:u w:val="none"/>
          <w:lang w:val="en-US" w:eastAsia="zh-CN"/>
        </w:rPr>
        <w:t xml:space="preserve"> 二、交易对手情况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98" w:firstLineChars="150"/>
        <w:jc w:val="both"/>
        <w:textAlignment w:val="center"/>
        <w:rPr>
          <w:rFonts w:hint="eastAsia" w:ascii="仿宋_GB2312" w:hAnsi="仿宋_GB2312" w:eastAsia="仿宋_GB2312" w:cs="仿宋_GB2312"/>
          <w:spacing w:val="6"/>
          <w:sz w:val="32"/>
          <w:szCs w:val="32"/>
          <w:lang w:val="en-US" w:eastAsia="zh-CN"/>
        </w:rPr>
      </w:pPr>
      <w:r>
        <w:rPr>
          <w:rFonts w:hint="eastAsia" w:ascii="楷体_GB2312" w:hAnsi="楷体_GB2312" w:eastAsia="楷体_GB2312" w:cs="楷体_GB2312"/>
          <w:b w:val="0"/>
          <w:bCs w:val="0"/>
          <w:spacing w:val="6"/>
          <w:sz w:val="32"/>
          <w:szCs w:val="32"/>
          <w:lang w:val="en-US" w:eastAsia="zh-CN"/>
        </w:rPr>
        <w:t>（一）关联法人名称：</w:t>
      </w:r>
      <w:r>
        <w:rPr>
          <w:rFonts w:hint="eastAsia" w:ascii="仿宋_GB2312" w:hAnsi="仿宋_GB2312" w:eastAsia="仿宋_GB2312" w:cs="仿宋_GB2312"/>
          <w:spacing w:val="6"/>
          <w:sz w:val="32"/>
          <w:szCs w:val="32"/>
          <w:lang w:val="en-US" w:eastAsia="zh-CN"/>
        </w:rPr>
        <w:t>贵州麒龙集团（瓮安）湖山悦府置业有限公司。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98" w:firstLineChars="150"/>
        <w:jc w:val="both"/>
        <w:textAlignment w:val="center"/>
        <w:rPr>
          <w:rFonts w:hint="eastAsia" w:ascii="仿宋_GB2312" w:hAnsi="仿宋_GB2312" w:eastAsia="仿宋_GB2312" w:cs="仿宋_GB2312"/>
          <w:spacing w:val="6"/>
          <w:sz w:val="32"/>
          <w:szCs w:val="32"/>
          <w:lang w:val="en-US" w:eastAsia="zh-CN"/>
        </w:rPr>
      </w:pPr>
      <w:r>
        <w:rPr>
          <w:rFonts w:hint="eastAsia" w:ascii="楷体_GB2312" w:hAnsi="楷体_GB2312" w:eastAsia="楷体_GB2312" w:cs="楷体_GB2312"/>
          <w:b w:val="0"/>
          <w:bCs w:val="0"/>
          <w:spacing w:val="6"/>
          <w:sz w:val="32"/>
          <w:szCs w:val="32"/>
          <w:lang w:val="en-US" w:eastAsia="zh-CN"/>
        </w:rPr>
        <w:t>（二）企业类型：</w:t>
      </w:r>
      <w:r>
        <w:rPr>
          <w:rFonts w:hint="eastAsia" w:ascii="仿宋_GB2312" w:hAnsi="仿宋_GB2312" w:eastAsia="仿宋_GB2312" w:cs="仿宋_GB2312"/>
          <w:spacing w:val="6"/>
          <w:sz w:val="32"/>
          <w:szCs w:val="32"/>
          <w:lang w:val="en-US" w:eastAsia="zh-CN"/>
        </w:rPr>
        <w:t>其他有限责任公司。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98" w:firstLineChars="150"/>
        <w:jc w:val="both"/>
        <w:textAlignment w:val="center"/>
        <w:rPr>
          <w:rFonts w:hint="eastAsia" w:ascii="仿宋_GB2312" w:hAnsi="仿宋_GB2312" w:eastAsia="仿宋_GB2312" w:cs="仿宋_GB2312"/>
          <w:spacing w:val="6"/>
          <w:sz w:val="32"/>
          <w:szCs w:val="32"/>
          <w:lang w:val="en-US" w:eastAsia="zh-CN"/>
        </w:rPr>
      </w:pPr>
      <w:r>
        <w:rPr>
          <w:rFonts w:hint="eastAsia" w:ascii="楷体_GB2312" w:hAnsi="楷体_GB2312" w:eastAsia="楷体_GB2312" w:cs="楷体_GB2312"/>
          <w:b w:val="0"/>
          <w:bCs w:val="0"/>
          <w:spacing w:val="6"/>
          <w:sz w:val="32"/>
          <w:szCs w:val="32"/>
          <w:lang w:val="en-US" w:eastAsia="zh-CN"/>
        </w:rPr>
        <w:t>（三）经营范围：</w:t>
      </w:r>
      <w:r>
        <w:rPr>
          <w:rFonts w:hint="eastAsia" w:ascii="仿宋_GB2312" w:hAnsi="仿宋_GB2312" w:eastAsia="仿宋_GB2312" w:cs="仿宋_GB2312"/>
          <w:spacing w:val="6"/>
          <w:sz w:val="32"/>
          <w:szCs w:val="32"/>
          <w:lang w:val="en-US" w:eastAsia="zh-CN"/>
        </w:rPr>
        <w:t>法律、法规、国务院决定规定禁止的不得经营；法律、法规、国务院决定规定应当许可（审批）的，经审批机关批准后凭许可（审批）文件经营;法律、法规、国务院决定规定无需许可（审批）的，市场主体自主选择经营。（房地产开发、经营销售；物业管理；商铺、车库、房屋的租赁、管理；咨询服务；企业管理服务；会议及展览服务；综合市场的建设、经营、管理及仓储、物流服务；非金融性投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98" w:firstLineChars="150"/>
        <w:jc w:val="both"/>
        <w:textAlignment w:val="center"/>
        <w:rPr>
          <w:rFonts w:hint="eastAsia" w:ascii="仿宋_GB2312" w:hAnsi="仿宋_GB2312" w:eastAsia="仿宋_GB2312" w:cs="仿宋_GB2312"/>
          <w:spacing w:val="6"/>
          <w:sz w:val="32"/>
          <w:szCs w:val="32"/>
          <w:lang w:val="en-US" w:eastAsia="zh-CN"/>
        </w:rPr>
      </w:pPr>
      <w:r>
        <w:rPr>
          <w:rFonts w:hint="eastAsia" w:ascii="楷体_GB2312" w:hAnsi="楷体_GB2312" w:eastAsia="楷体_GB2312" w:cs="楷体_GB2312"/>
          <w:b w:val="0"/>
          <w:bCs w:val="0"/>
          <w:spacing w:val="6"/>
          <w:sz w:val="32"/>
          <w:szCs w:val="32"/>
          <w:lang w:val="en-US" w:eastAsia="zh-CN"/>
        </w:rPr>
        <w:t>（四）法定代表人：</w:t>
      </w:r>
      <w:r>
        <w:rPr>
          <w:rFonts w:hint="eastAsia" w:ascii="仿宋_GB2312" w:hAnsi="仿宋_GB2312" w:eastAsia="仿宋_GB2312" w:cs="仿宋_GB2312"/>
          <w:spacing w:val="6"/>
          <w:sz w:val="32"/>
          <w:szCs w:val="32"/>
          <w:lang w:val="en-US" w:eastAsia="zh-CN"/>
        </w:rPr>
        <w:t>赵雄。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98" w:firstLineChars="150"/>
        <w:jc w:val="both"/>
        <w:textAlignment w:val="center"/>
        <w:rPr>
          <w:rFonts w:hint="eastAsia" w:ascii="仿宋_GB2312" w:hAnsi="仿宋_GB2312" w:eastAsia="仿宋_GB2312" w:cs="仿宋_GB2312"/>
          <w:spacing w:val="6"/>
          <w:sz w:val="32"/>
          <w:szCs w:val="32"/>
          <w:lang w:val="en-US" w:eastAsia="zh-CN"/>
        </w:rPr>
      </w:pPr>
      <w:r>
        <w:rPr>
          <w:rFonts w:hint="eastAsia" w:ascii="楷体_GB2312" w:hAnsi="楷体_GB2312" w:eastAsia="楷体_GB2312" w:cs="楷体_GB2312"/>
          <w:b w:val="0"/>
          <w:bCs w:val="0"/>
          <w:spacing w:val="6"/>
          <w:sz w:val="32"/>
          <w:szCs w:val="32"/>
          <w:lang w:val="en-US" w:eastAsia="zh-CN"/>
        </w:rPr>
        <w:t>（五）注册地：</w:t>
      </w:r>
      <w:r>
        <w:rPr>
          <w:rFonts w:hint="eastAsia" w:ascii="仿宋_GB2312" w:hAnsi="仿宋_GB2312" w:eastAsia="仿宋_GB2312" w:cs="仿宋_GB2312"/>
          <w:spacing w:val="6"/>
          <w:sz w:val="32"/>
          <w:szCs w:val="32"/>
          <w:lang w:val="en-US" w:eastAsia="zh-CN"/>
        </w:rPr>
        <w:t>贵州省黔南布依族苗族自治州瓮安县瓮水办事处清莲湖东侧。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98" w:firstLineChars="150"/>
        <w:jc w:val="both"/>
        <w:textAlignment w:val="center"/>
        <w:rPr>
          <w:rFonts w:hint="eastAsia" w:ascii="仿宋_GB2312" w:hAnsi="仿宋_GB2312" w:eastAsia="仿宋_GB2312" w:cs="仿宋_GB2312"/>
          <w:spacing w:val="6"/>
          <w:sz w:val="32"/>
          <w:szCs w:val="32"/>
          <w:lang w:val="en-US" w:eastAsia="zh-CN"/>
        </w:rPr>
      </w:pPr>
      <w:r>
        <w:rPr>
          <w:rFonts w:hint="eastAsia" w:ascii="楷体_GB2312" w:hAnsi="楷体_GB2312" w:eastAsia="楷体_GB2312" w:cs="楷体_GB2312"/>
          <w:b w:val="0"/>
          <w:bCs w:val="0"/>
          <w:spacing w:val="6"/>
          <w:sz w:val="32"/>
          <w:szCs w:val="32"/>
          <w:lang w:val="en-US" w:eastAsia="zh-CN"/>
        </w:rPr>
        <w:t>（六）注册资金：</w:t>
      </w:r>
      <w:r>
        <w:rPr>
          <w:rFonts w:hint="eastAsia" w:ascii="Times New Roman" w:hAnsi="Times New Roman" w:eastAsia="仿宋_GB2312" w:cs="仿宋_GB2312"/>
          <w:spacing w:val="6"/>
          <w:sz w:val="32"/>
          <w:szCs w:val="32"/>
          <w:lang w:val="en-US" w:eastAsia="zh-CN"/>
        </w:rPr>
        <w:t>3000</w:t>
      </w:r>
      <w:r>
        <w:rPr>
          <w:rFonts w:hint="eastAsia" w:ascii="仿宋_GB2312" w:hAnsi="仿宋_GB2312" w:eastAsia="仿宋_GB2312" w:cs="仿宋_GB2312"/>
          <w:spacing w:val="6"/>
          <w:sz w:val="32"/>
          <w:szCs w:val="32"/>
          <w:lang w:val="en-US" w:eastAsia="zh-CN"/>
        </w:rPr>
        <w:t>万元。由贵州麒龙房地产开发集团有限公司出资</w:t>
      </w:r>
      <w:r>
        <w:rPr>
          <w:rFonts w:hint="eastAsia" w:ascii="Times New Roman" w:hAnsi="Times New Roman" w:eastAsia="仿宋_GB2312" w:cs="仿宋_GB2312"/>
          <w:spacing w:val="6"/>
          <w:sz w:val="32"/>
          <w:szCs w:val="32"/>
          <w:lang w:val="en-US" w:eastAsia="zh-CN"/>
        </w:rPr>
        <w:t>1530</w:t>
      </w:r>
      <w:r>
        <w:rPr>
          <w:rFonts w:hint="eastAsia" w:ascii="仿宋_GB2312" w:hAnsi="仿宋_GB2312" w:eastAsia="仿宋_GB2312" w:cs="仿宋_GB2312"/>
          <w:spacing w:val="6"/>
          <w:sz w:val="32"/>
          <w:szCs w:val="32"/>
          <w:lang w:val="en-US" w:eastAsia="zh-CN"/>
        </w:rPr>
        <w:t>.</w:t>
      </w:r>
      <w:r>
        <w:rPr>
          <w:rFonts w:hint="eastAsia" w:ascii="Times New Roman" w:hAnsi="Times New Roman" w:eastAsia="仿宋_GB2312" w:cs="仿宋_GB2312"/>
          <w:spacing w:val="6"/>
          <w:sz w:val="32"/>
          <w:szCs w:val="32"/>
          <w:lang w:val="en-US" w:eastAsia="zh-CN"/>
        </w:rPr>
        <w:t>00</w:t>
      </w:r>
      <w:r>
        <w:rPr>
          <w:rFonts w:hint="eastAsia" w:ascii="仿宋_GB2312" w:hAnsi="仿宋_GB2312" w:eastAsia="仿宋_GB2312" w:cs="仿宋_GB2312"/>
          <w:spacing w:val="6"/>
          <w:sz w:val="32"/>
          <w:szCs w:val="32"/>
          <w:lang w:val="en-US" w:eastAsia="zh-CN"/>
        </w:rPr>
        <w:t>万元、占股</w:t>
      </w:r>
      <w:r>
        <w:rPr>
          <w:rFonts w:hint="eastAsia" w:ascii="Times New Roman" w:hAnsi="Times New Roman" w:eastAsia="仿宋_GB2312" w:cs="仿宋_GB2312"/>
          <w:spacing w:val="6"/>
          <w:sz w:val="32"/>
          <w:szCs w:val="32"/>
          <w:lang w:val="en-US" w:eastAsia="zh-CN"/>
        </w:rPr>
        <w:t>51</w:t>
      </w:r>
      <w:r>
        <w:rPr>
          <w:rFonts w:hint="eastAsia" w:ascii="仿宋_GB2312" w:hAnsi="仿宋_GB2312" w:eastAsia="仿宋_GB2312" w:cs="仿宋_GB2312"/>
          <w:spacing w:val="6"/>
          <w:sz w:val="32"/>
          <w:szCs w:val="32"/>
          <w:lang w:val="en-US" w:eastAsia="zh-CN"/>
        </w:rPr>
        <w:t>%，贵州添宇商业管理有限公司出资</w:t>
      </w:r>
      <w:r>
        <w:rPr>
          <w:rFonts w:hint="eastAsia" w:ascii="Times New Roman" w:hAnsi="Times New Roman" w:eastAsia="仿宋_GB2312" w:cs="仿宋_GB2312"/>
          <w:spacing w:val="6"/>
          <w:sz w:val="32"/>
          <w:szCs w:val="32"/>
          <w:lang w:val="en-US" w:eastAsia="zh-CN"/>
        </w:rPr>
        <w:t>1470</w:t>
      </w:r>
      <w:r>
        <w:rPr>
          <w:rFonts w:hint="eastAsia" w:ascii="仿宋_GB2312" w:hAnsi="仿宋_GB2312" w:eastAsia="仿宋_GB2312" w:cs="仿宋_GB2312"/>
          <w:spacing w:val="6"/>
          <w:sz w:val="32"/>
          <w:szCs w:val="32"/>
          <w:lang w:val="en-US" w:eastAsia="zh-CN"/>
        </w:rPr>
        <w:t>.</w:t>
      </w:r>
      <w:r>
        <w:rPr>
          <w:rFonts w:hint="eastAsia" w:ascii="Times New Roman" w:hAnsi="Times New Roman" w:eastAsia="仿宋_GB2312" w:cs="仿宋_GB2312"/>
          <w:spacing w:val="6"/>
          <w:sz w:val="32"/>
          <w:szCs w:val="32"/>
          <w:lang w:val="en-US" w:eastAsia="zh-CN"/>
        </w:rPr>
        <w:t>00</w:t>
      </w:r>
      <w:r>
        <w:rPr>
          <w:rFonts w:hint="eastAsia" w:ascii="仿宋_GB2312" w:hAnsi="仿宋_GB2312" w:eastAsia="仿宋_GB2312" w:cs="仿宋_GB2312"/>
          <w:spacing w:val="6"/>
          <w:sz w:val="32"/>
          <w:szCs w:val="32"/>
          <w:lang w:val="en-US" w:eastAsia="zh-CN"/>
        </w:rPr>
        <w:t>万元、持股</w:t>
      </w:r>
      <w:r>
        <w:rPr>
          <w:rFonts w:hint="eastAsia" w:ascii="Times New Roman" w:hAnsi="Times New Roman" w:eastAsia="仿宋_GB2312" w:cs="仿宋_GB2312"/>
          <w:spacing w:val="6"/>
          <w:sz w:val="32"/>
          <w:szCs w:val="32"/>
          <w:lang w:val="en-US" w:eastAsia="zh-CN"/>
        </w:rPr>
        <w:t>20</w:t>
      </w:r>
      <w:r>
        <w:rPr>
          <w:rFonts w:hint="eastAsia" w:ascii="仿宋_GB2312" w:hAnsi="仿宋_GB2312" w:eastAsia="仿宋_GB2312" w:cs="仿宋_GB2312"/>
          <w:spacing w:val="6"/>
          <w:sz w:val="32"/>
          <w:szCs w:val="32"/>
          <w:lang w:val="en-US" w:eastAsia="zh-CN"/>
        </w:rPr>
        <w:t>%组建。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98" w:firstLineChars="150"/>
        <w:jc w:val="both"/>
        <w:textAlignment w:val="center"/>
        <w:rPr>
          <w:rFonts w:hint="eastAsia" w:ascii="仿宋_GB2312" w:hAnsi="仿宋_GB2312" w:eastAsia="仿宋_GB2312" w:cs="仿宋_GB2312"/>
          <w:spacing w:val="6"/>
          <w:sz w:val="32"/>
          <w:szCs w:val="32"/>
          <w:lang w:val="en-US" w:eastAsia="zh-CN"/>
        </w:rPr>
      </w:pPr>
      <w:r>
        <w:rPr>
          <w:rFonts w:hint="eastAsia" w:ascii="楷体_GB2312" w:hAnsi="楷体_GB2312" w:eastAsia="楷体_GB2312" w:cs="楷体_GB2312"/>
          <w:b w:val="0"/>
          <w:bCs w:val="0"/>
          <w:spacing w:val="6"/>
          <w:sz w:val="32"/>
          <w:szCs w:val="32"/>
          <w:lang w:val="en-US" w:eastAsia="zh-CN"/>
        </w:rPr>
        <w:t>（</w:t>
      </w:r>
      <w:r>
        <w:rPr>
          <w:rFonts w:hint="eastAsia" w:ascii="楷体_GB2312" w:hAnsi="楷体_GB2312" w:eastAsia="楷体_GB2312" w:cs="楷体_GB2312"/>
          <w:b w:val="0"/>
          <w:bCs w:val="0"/>
          <w:spacing w:val="6"/>
          <w:sz w:val="32"/>
          <w:szCs w:val="32"/>
          <w:lang w:val="en-US" w:eastAsia="zh-CN"/>
        </w:rPr>
        <w:t>七）统一社会信用代码：</w:t>
      </w:r>
      <w:r>
        <w:rPr>
          <w:rFonts w:hint="eastAsia" w:ascii="Times New Roman" w:hAnsi="Times New Roman" w:eastAsia="仿宋_GB2312" w:cs="仿宋_GB2312"/>
          <w:spacing w:val="6"/>
          <w:sz w:val="32"/>
          <w:szCs w:val="32"/>
          <w:lang w:val="en-US" w:eastAsia="zh-CN"/>
        </w:rPr>
        <w:t>91522725</w:t>
      </w:r>
      <w:r>
        <w:rPr>
          <w:rFonts w:hint="eastAsia" w:ascii="仿宋_GB2312" w:hAnsi="仿宋_GB2312" w:eastAsia="仿宋_GB2312" w:cs="仿宋_GB2312"/>
          <w:spacing w:val="6"/>
          <w:sz w:val="32"/>
          <w:szCs w:val="32"/>
          <w:lang w:val="en-US" w:eastAsia="zh-CN"/>
        </w:rPr>
        <w:t>MA</w:t>
      </w:r>
      <w:r>
        <w:rPr>
          <w:rFonts w:hint="eastAsia" w:ascii="Times New Roman" w:hAnsi="Times New Roman" w:eastAsia="仿宋_GB2312" w:cs="仿宋_GB2312"/>
          <w:spacing w:val="6"/>
          <w:sz w:val="32"/>
          <w:szCs w:val="32"/>
          <w:lang w:val="en-US" w:eastAsia="zh-CN"/>
        </w:rPr>
        <w:t>6</w:t>
      </w:r>
      <w:r>
        <w:rPr>
          <w:rFonts w:hint="eastAsia" w:ascii="仿宋_GB2312" w:hAnsi="仿宋_GB2312" w:eastAsia="仿宋_GB2312" w:cs="仿宋_GB2312"/>
          <w:spacing w:val="6"/>
          <w:sz w:val="32"/>
          <w:szCs w:val="32"/>
          <w:lang w:val="en-US" w:eastAsia="zh-CN"/>
        </w:rPr>
        <w:t>H</w:t>
      </w:r>
      <w:r>
        <w:rPr>
          <w:rFonts w:hint="eastAsia" w:ascii="Times New Roman" w:hAnsi="Times New Roman" w:eastAsia="仿宋_GB2312" w:cs="仿宋_GB2312"/>
          <w:spacing w:val="6"/>
          <w:sz w:val="32"/>
          <w:szCs w:val="32"/>
          <w:lang w:val="en-US" w:eastAsia="zh-CN"/>
        </w:rPr>
        <w:t>0</w:t>
      </w:r>
      <w:r>
        <w:rPr>
          <w:rFonts w:hint="eastAsia" w:ascii="仿宋_GB2312" w:hAnsi="仿宋_GB2312" w:eastAsia="仿宋_GB2312" w:cs="仿宋_GB2312"/>
          <w:spacing w:val="6"/>
          <w:sz w:val="32"/>
          <w:szCs w:val="32"/>
          <w:lang w:val="en-US" w:eastAsia="zh-CN"/>
        </w:rPr>
        <w:t>RB</w:t>
      </w:r>
      <w:r>
        <w:rPr>
          <w:rFonts w:hint="eastAsia" w:ascii="Times New Roman" w:hAnsi="Times New Roman" w:eastAsia="仿宋_GB2312" w:cs="仿宋_GB2312"/>
          <w:spacing w:val="6"/>
          <w:sz w:val="32"/>
          <w:szCs w:val="32"/>
          <w:lang w:val="en-US" w:eastAsia="zh-CN"/>
        </w:rPr>
        <w:t>74</w:t>
      </w:r>
      <w:r>
        <w:rPr>
          <w:rFonts w:hint="eastAsia" w:ascii="仿宋_GB2312" w:hAnsi="仿宋_GB2312" w:eastAsia="仿宋_GB2312" w:cs="仿宋_GB2312"/>
          <w:spacing w:val="6"/>
          <w:sz w:val="32"/>
          <w:szCs w:val="32"/>
          <w:lang w:val="en-US" w:eastAsia="zh-CN"/>
        </w:rPr>
        <w:t>C。</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98" w:firstLineChars="150"/>
        <w:jc w:val="both"/>
        <w:textAlignment w:val="center"/>
        <w:rPr>
          <w:rFonts w:hint="eastAsia" w:ascii="仿宋_GB2312" w:hAnsi="仿宋_GB2312" w:eastAsia="仿宋_GB2312" w:cs="仿宋_GB2312"/>
          <w:spacing w:val="6"/>
          <w:sz w:val="32"/>
          <w:szCs w:val="32"/>
          <w:lang w:val="en-US" w:eastAsia="zh-CN"/>
        </w:rPr>
      </w:pPr>
      <w:r>
        <w:rPr>
          <w:rFonts w:hint="eastAsia" w:ascii="楷体_GB2312" w:hAnsi="楷体_GB2312" w:eastAsia="楷体_GB2312" w:cs="楷体_GB2312"/>
          <w:b w:val="0"/>
          <w:bCs w:val="0"/>
          <w:spacing w:val="6"/>
          <w:sz w:val="32"/>
          <w:szCs w:val="32"/>
          <w:lang w:val="en-US" w:eastAsia="zh-CN"/>
        </w:rPr>
        <w:t>（八）与本行存在的关联关系：</w:t>
      </w:r>
      <w:r>
        <w:rPr>
          <w:rFonts w:hint="eastAsia" w:ascii="仿宋_GB2312" w:hAnsi="仿宋_GB2312" w:eastAsia="仿宋_GB2312" w:cs="仿宋_GB2312"/>
          <w:spacing w:val="6"/>
          <w:sz w:val="32"/>
          <w:szCs w:val="32"/>
          <w:lang w:val="en-US" w:eastAsia="zh-CN"/>
        </w:rPr>
        <w:t>贵州麒龙置业有限公司持有本行股金</w:t>
      </w:r>
      <w:r>
        <w:rPr>
          <w:rFonts w:hint="eastAsia" w:ascii="Times New Roman" w:hAnsi="Times New Roman" w:eastAsia="仿宋_GB2312" w:cs="仿宋_GB2312"/>
          <w:spacing w:val="6"/>
          <w:sz w:val="32"/>
          <w:szCs w:val="32"/>
          <w:lang w:val="en-US" w:eastAsia="zh-CN"/>
        </w:rPr>
        <w:t>3180</w:t>
      </w:r>
      <w:r>
        <w:rPr>
          <w:rFonts w:hint="eastAsia" w:ascii="仿宋_GB2312" w:hAnsi="仿宋_GB2312" w:eastAsia="仿宋_GB2312" w:cs="仿宋_GB2312"/>
          <w:spacing w:val="6"/>
          <w:sz w:val="32"/>
          <w:szCs w:val="32"/>
          <w:lang w:val="en-US" w:eastAsia="zh-CN"/>
        </w:rPr>
        <w:t>.</w:t>
      </w:r>
      <w:r>
        <w:rPr>
          <w:rFonts w:hint="eastAsia" w:ascii="Times New Roman" w:hAnsi="Times New Roman" w:eastAsia="仿宋_GB2312" w:cs="仿宋_GB2312"/>
          <w:spacing w:val="6"/>
          <w:sz w:val="32"/>
          <w:szCs w:val="32"/>
          <w:lang w:val="en-US" w:eastAsia="zh-CN"/>
        </w:rPr>
        <w:t>12</w:t>
      </w:r>
      <w:r>
        <w:rPr>
          <w:rFonts w:hint="eastAsia" w:ascii="仿宋_GB2312" w:hAnsi="仿宋_GB2312" w:eastAsia="仿宋_GB2312" w:cs="仿宋_GB2312"/>
          <w:spacing w:val="6"/>
          <w:sz w:val="32"/>
          <w:szCs w:val="32"/>
          <w:lang w:val="en-US" w:eastAsia="zh-CN"/>
        </w:rPr>
        <w:t>万元，占本行实收资本比例</w:t>
      </w:r>
      <w:r>
        <w:rPr>
          <w:rFonts w:hint="eastAsia" w:ascii="Times New Roman" w:hAnsi="Times New Roman" w:eastAsia="仿宋_GB2312" w:cs="仿宋_GB2312"/>
          <w:spacing w:val="6"/>
          <w:sz w:val="32"/>
          <w:szCs w:val="32"/>
          <w:lang w:val="en-US" w:eastAsia="zh-CN"/>
        </w:rPr>
        <w:t>4</w:t>
      </w:r>
      <w:r>
        <w:rPr>
          <w:rFonts w:hint="eastAsia" w:ascii="仿宋_GB2312" w:hAnsi="仿宋_GB2312" w:eastAsia="仿宋_GB2312" w:cs="仿宋_GB2312"/>
          <w:spacing w:val="6"/>
          <w:sz w:val="32"/>
          <w:szCs w:val="32"/>
          <w:lang w:val="en-US" w:eastAsia="zh-CN"/>
        </w:rPr>
        <w:t>.</w:t>
      </w:r>
      <w:r>
        <w:rPr>
          <w:rFonts w:hint="eastAsia" w:ascii="Times New Roman" w:hAnsi="Times New Roman" w:eastAsia="仿宋_GB2312" w:cs="仿宋_GB2312"/>
          <w:spacing w:val="6"/>
          <w:sz w:val="32"/>
          <w:szCs w:val="32"/>
          <w:lang w:val="en-US" w:eastAsia="zh-CN"/>
        </w:rPr>
        <w:t>85</w:t>
      </w:r>
      <w:r>
        <w:rPr>
          <w:rFonts w:hint="eastAsia" w:ascii="仿宋_GB2312" w:hAnsi="仿宋_GB2312" w:eastAsia="仿宋_GB2312" w:cs="仿宋_GB2312"/>
          <w:spacing w:val="6"/>
          <w:sz w:val="32"/>
          <w:szCs w:val="32"/>
          <w:lang w:val="en-US" w:eastAsia="zh-CN"/>
        </w:rPr>
        <w:t>%，实际控股人为贵州麒龙房地产开发集团有限公司。贵州麒龙集团（瓮安）湖山悦府置业有限公司实际控股人也为贵州麒龙房地产开发集团有限公司，则贵州麒龙集团（瓮安）湖山悦府置业有限公司属于本行关联方。现贵州麒龙集团（瓮安）湖山悦府置业有限公司向本行申请办理借新还旧，金额</w:t>
      </w:r>
      <w:r>
        <w:rPr>
          <w:rFonts w:hint="eastAsia" w:ascii="Times New Roman" w:hAnsi="Times New Roman" w:eastAsia="仿宋_GB2312" w:cs="仿宋_GB2312"/>
          <w:spacing w:val="6"/>
          <w:sz w:val="32"/>
          <w:szCs w:val="32"/>
          <w:lang w:val="en-US" w:eastAsia="zh-CN"/>
        </w:rPr>
        <w:t>1600</w:t>
      </w:r>
      <w:r>
        <w:rPr>
          <w:rFonts w:hint="eastAsia" w:ascii="仿宋_GB2312" w:hAnsi="仿宋_GB2312" w:eastAsia="仿宋_GB2312" w:cs="仿宋_GB2312"/>
          <w:spacing w:val="6"/>
          <w:sz w:val="32"/>
          <w:szCs w:val="32"/>
          <w:lang w:val="en-US" w:eastAsia="zh-CN"/>
        </w:rPr>
        <w:t>.</w:t>
      </w:r>
      <w:r>
        <w:rPr>
          <w:rFonts w:hint="eastAsia" w:ascii="Times New Roman" w:hAnsi="Times New Roman" w:eastAsia="仿宋_GB2312" w:cs="仿宋_GB2312"/>
          <w:spacing w:val="6"/>
          <w:sz w:val="32"/>
          <w:szCs w:val="32"/>
          <w:lang w:val="en-US" w:eastAsia="zh-CN"/>
        </w:rPr>
        <w:t>00</w:t>
      </w:r>
      <w:r>
        <w:rPr>
          <w:rFonts w:hint="eastAsia" w:ascii="仿宋_GB2312" w:hAnsi="仿宋_GB2312" w:eastAsia="仿宋_GB2312" w:cs="仿宋_GB2312"/>
          <w:spacing w:val="6"/>
          <w:sz w:val="32"/>
          <w:szCs w:val="32"/>
          <w:lang w:val="en-US" w:eastAsia="zh-CN"/>
        </w:rPr>
        <w:t>万元，占本行上季度末资本净额的</w:t>
      </w:r>
      <w:r>
        <w:rPr>
          <w:rFonts w:hint="eastAsia" w:ascii="Times New Roman" w:hAnsi="Times New Roman" w:eastAsia="仿宋_GB2312" w:cs="仿宋_GB2312"/>
          <w:spacing w:val="6"/>
          <w:sz w:val="32"/>
          <w:szCs w:val="32"/>
          <w:lang w:val="en-US" w:eastAsia="zh-CN"/>
        </w:rPr>
        <w:t>1</w:t>
      </w:r>
      <w:r>
        <w:rPr>
          <w:rFonts w:hint="eastAsia" w:ascii="仿宋_GB2312" w:hAnsi="仿宋_GB2312" w:eastAsia="仿宋_GB2312" w:cs="仿宋_GB2312"/>
          <w:spacing w:val="6"/>
          <w:sz w:val="32"/>
          <w:szCs w:val="32"/>
          <w:lang w:val="en-US" w:eastAsia="zh-CN"/>
        </w:rPr>
        <w:t>.</w:t>
      </w:r>
      <w:r>
        <w:rPr>
          <w:rFonts w:hint="eastAsia" w:ascii="Times New Roman" w:hAnsi="Times New Roman" w:eastAsia="仿宋_GB2312" w:cs="仿宋_GB2312"/>
          <w:spacing w:val="6"/>
          <w:sz w:val="32"/>
          <w:szCs w:val="32"/>
          <w:lang w:val="en-US" w:eastAsia="zh-CN"/>
        </w:rPr>
        <w:t>40</w:t>
      </w:r>
      <w:r>
        <w:rPr>
          <w:rFonts w:hint="eastAsia" w:ascii="仿宋_GB2312" w:hAnsi="仿宋_GB2312" w:eastAsia="仿宋_GB2312" w:cs="仿宋_GB2312"/>
          <w:spacing w:val="6"/>
          <w:sz w:val="32"/>
          <w:szCs w:val="32"/>
          <w:lang w:val="en-US" w:eastAsia="zh-CN"/>
        </w:rPr>
        <w:t>%，大于</w:t>
      </w:r>
      <w:r>
        <w:rPr>
          <w:rFonts w:hint="eastAsia" w:ascii="Times New Roman" w:hAnsi="Times New Roman" w:eastAsia="仿宋_GB2312" w:cs="仿宋_GB2312"/>
          <w:spacing w:val="6"/>
          <w:sz w:val="32"/>
          <w:szCs w:val="32"/>
          <w:lang w:val="en-US" w:eastAsia="zh-CN"/>
        </w:rPr>
        <w:t>1</w:t>
      </w:r>
      <w:r>
        <w:rPr>
          <w:rFonts w:hint="eastAsia" w:ascii="仿宋_GB2312" w:hAnsi="仿宋_GB2312" w:eastAsia="仿宋_GB2312" w:cs="仿宋_GB2312"/>
          <w:spacing w:val="6"/>
          <w:sz w:val="32"/>
          <w:szCs w:val="32"/>
          <w:lang w:val="en-US" w:eastAsia="zh-CN"/>
        </w:rPr>
        <w:t>%，根据相关规定，属于重大关联交易。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center"/>
        <w:rPr>
          <w:rFonts w:hint="default" w:ascii="仿宋" w:hAnsi="仿宋" w:eastAsia="仿宋" w:cs="仿宋"/>
          <w:i w:val="0"/>
          <w:iCs w:val="0"/>
          <w:caps w:val="0"/>
          <w:color w:val="333333"/>
          <w:spacing w:val="0"/>
          <w:sz w:val="30"/>
          <w:szCs w:val="30"/>
          <w:u w:val="none"/>
          <w:lang w:val="en-US" w:eastAsia="zh-CN"/>
        </w:rPr>
      </w:pPr>
      <w:r>
        <w:rPr>
          <w:rFonts w:hint="default" w:ascii="仿宋" w:hAnsi="仿宋" w:eastAsia="仿宋" w:cs="仿宋"/>
          <w:i w:val="0"/>
          <w:iCs w:val="0"/>
          <w:caps w:val="0"/>
          <w:color w:val="333333"/>
          <w:spacing w:val="0"/>
          <w:sz w:val="30"/>
          <w:szCs w:val="30"/>
          <w:u w:val="none"/>
          <w:lang w:val="en-US" w:eastAsia="zh-CN"/>
        </w:rPr>
        <w:t>  </w:t>
      </w:r>
      <w:r>
        <w:rPr>
          <w:rFonts w:hint="default" w:ascii="仿宋" w:hAnsi="仿宋" w:eastAsia="仿宋" w:cs="仿宋"/>
          <w:i w:val="0"/>
          <w:iCs w:val="0"/>
          <w:caps w:val="0"/>
          <w:color w:val="333333"/>
          <w:spacing w:val="0"/>
          <w:sz w:val="32"/>
          <w:szCs w:val="32"/>
          <w:u w:val="none"/>
          <w:lang w:val="en-US" w:eastAsia="zh-CN"/>
        </w:rPr>
        <w:t>    </w:t>
      </w:r>
      <w:r>
        <w:rPr>
          <w:rFonts w:hint="default" w:ascii="黑体" w:hAnsi="黑体" w:eastAsia="黑体" w:cs="黑体"/>
          <w:i w:val="0"/>
          <w:iCs w:val="0"/>
          <w:caps w:val="0"/>
          <w:color w:val="333333"/>
          <w:spacing w:val="0"/>
          <w:sz w:val="32"/>
          <w:szCs w:val="32"/>
          <w:u w:val="none"/>
          <w:lang w:val="en-US" w:eastAsia="zh-CN"/>
        </w:rPr>
        <w:t>三、定价政策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center"/>
        <w:rPr>
          <w:rFonts w:hint="default" w:ascii="仿宋_GB2312" w:hAnsi="仿宋_GB2312" w:eastAsia="仿宋_GB2312" w:cs="仿宋_GB2312"/>
          <w:spacing w:val="6"/>
          <w:sz w:val="32"/>
          <w:szCs w:val="32"/>
          <w:lang w:val="en-US" w:eastAsia="zh-CN"/>
        </w:rPr>
      </w:pPr>
      <w:r>
        <w:rPr>
          <w:rFonts w:hint="default" w:ascii="仿宋" w:hAnsi="仿宋" w:eastAsia="仿宋" w:cs="仿宋"/>
          <w:i w:val="0"/>
          <w:iCs w:val="0"/>
          <w:caps w:val="0"/>
          <w:color w:val="333333"/>
          <w:spacing w:val="0"/>
          <w:sz w:val="30"/>
          <w:szCs w:val="30"/>
          <w:u w:val="none"/>
          <w:lang w:val="en-US" w:eastAsia="zh-CN"/>
        </w:rPr>
        <w:t>    </w:t>
      </w:r>
      <w:r>
        <w:rPr>
          <w:rFonts w:hint="default" w:ascii="仿宋_GB2312" w:hAnsi="仿宋_GB2312" w:eastAsia="仿宋_GB2312" w:cs="仿宋_GB2312"/>
          <w:spacing w:val="6"/>
          <w:sz w:val="32"/>
          <w:szCs w:val="32"/>
          <w:lang w:val="en-US" w:eastAsia="zh-CN"/>
        </w:rPr>
        <w:t> </w:t>
      </w:r>
      <w:r>
        <w:rPr>
          <w:rFonts w:hint="eastAsia" w:ascii="仿宋_GB2312" w:hAnsi="仿宋_GB2312" w:eastAsia="仿宋_GB2312" w:cs="仿宋_GB2312"/>
          <w:spacing w:val="6"/>
          <w:sz w:val="32"/>
          <w:szCs w:val="32"/>
          <w:lang w:val="en-US" w:eastAsia="zh-CN"/>
        </w:rPr>
        <w:t>本笔交联交易价格</w:t>
      </w:r>
      <w:r>
        <w:rPr>
          <w:rFonts w:hint="default" w:ascii="仿宋_GB2312" w:hAnsi="仿宋_GB2312" w:eastAsia="仿宋_GB2312" w:cs="仿宋_GB2312"/>
          <w:spacing w:val="6"/>
          <w:sz w:val="32"/>
          <w:szCs w:val="32"/>
          <w:lang w:val="en-US" w:eastAsia="zh-CN"/>
        </w:rPr>
        <w:t>经授信审批委员会审议定价。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center"/>
        <w:rPr>
          <w:rFonts w:hint="default" w:ascii="黑体" w:hAnsi="黑体" w:eastAsia="黑体" w:cs="黑体"/>
          <w:i w:val="0"/>
          <w:iCs w:val="0"/>
          <w:caps w:val="0"/>
          <w:color w:val="333333"/>
          <w:spacing w:val="0"/>
          <w:sz w:val="30"/>
          <w:szCs w:val="30"/>
          <w:u w:val="none"/>
          <w:lang w:val="en-US" w:eastAsia="zh-CN"/>
        </w:rPr>
      </w:pPr>
      <w:r>
        <w:rPr>
          <w:rFonts w:hint="default" w:ascii="仿宋" w:hAnsi="仿宋" w:eastAsia="仿宋" w:cs="仿宋"/>
          <w:i w:val="0"/>
          <w:iCs w:val="0"/>
          <w:caps w:val="0"/>
          <w:color w:val="333333"/>
          <w:spacing w:val="0"/>
          <w:sz w:val="30"/>
          <w:szCs w:val="30"/>
          <w:u w:val="none"/>
          <w:lang w:val="en-US" w:eastAsia="zh-CN"/>
        </w:rPr>
        <w:t>   </w:t>
      </w:r>
      <w:r>
        <w:rPr>
          <w:rFonts w:hint="default" w:ascii="仿宋" w:hAnsi="仿宋" w:eastAsia="仿宋" w:cs="仿宋"/>
          <w:i w:val="0"/>
          <w:iCs w:val="0"/>
          <w:caps w:val="0"/>
          <w:color w:val="333333"/>
          <w:spacing w:val="0"/>
          <w:sz w:val="32"/>
          <w:szCs w:val="32"/>
          <w:u w:val="none"/>
          <w:lang w:val="en-US" w:eastAsia="zh-CN"/>
        </w:rPr>
        <w:t>   </w:t>
      </w:r>
      <w:r>
        <w:rPr>
          <w:rFonts w:hint="default" w:ascii="黑体" w:hAnsi="黑体" w:eastAsia="黑体" w:cs="黑体"/>
          <w:i w:val="0"/>
          <w:iCs w:val="0"/>
          <w:caps w:val="0"/>
          <w:color w:val="333333"/>
          <w:spacing w:val="0"/>
          <w:sz w:val="32"/>
          <w:szCs w:val="32"/>
          <w:u w:val="none"/>
          <w:lang w:val="en-US" w:eastAsia="zh-CN"/>
        </w:rPr>
        <w:t>四、关联交易金额及相应比例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center"/>
        <w:rPr>
          <w:rFonts w:hint="default" w:ascii="仿宋_GB2312" w:hAnsi="仿宋_GB2312" w:eastAsia="仿宋_GB2312" w:cs="仿宋_GB2312"/>
          <w:spacing w:val="6"/>
          <w:sz w:val="32"/>
          <w:szCs w:val="32"/>
          <w:lang w:val="en-US" w:eastAsia="zh-CN"/>
        </w:rPr>
      </w:pPr>
      <w:r>
        <w:rPr>
          <w:rFonts w:hint="default" w:ascii="仿宋" w:hAnsi="仿宋" w:eastAsia="仿宋" w:cs="仿宋"/>
          <w:i w:val="0"/>
          <w:iCs w:val="0"/>
          <w:caps w:val="0"/>
          <w:color w:val="333333"/>
          <w:spacing w:val="0"/>
          <w:sz w:val="30"/>
          <w:szCs w:val="30"/>
          <w:u w:val="none"/>
          <w:lang w:val="en-US" w:eastAsia="zh-CN"/>
        </w:rPr>
        <w:t>     </w:t>
      </w:r>
      <w:r>
        <w:rPr>
          <w:rFonts w:hint="default" w:ascii="仿宋_GB2312" w:hAnsi="仿宋_GB2312" w:eastAsia="仿宋_GB2312" w:cs="仿宋_GB2312"/>
          <w:spacing w:val="6"/>
          <w:sz w:val="32"/>
          <w:szCs w:val="32"/>
          <w:lang w:val="en-US" w:eastAsia="zh-CN"/>
        </w:rPr>
        <w:t> </w:t>
      </w:r>
      <w:r>
        <w:rPr>
          <w:rFonts w:hint="eastAsia" w:ascii="仿宋_GB2312" w:hAnsi="仿宋_GB2312" w:eastAsia="仿宋_GB2312" w:cs="仿宋_GB2312"/>
          <w:spacing w:val="6"/>
          <w:sz w:val="32"/>
          <w:szCs w:val="32"/>
          <w:lang w:val="en-US" w:eastAsia="zh-CN"/>
        </w:rPr>
        <w:t>截止</w:t>
      </w:r>
      <w:r>
        <w:rPr>
          <w:rFonts w:hint="eastAsia" w:ascii="Times New Roman" w:hAnsi="Times New Roman" w:eastAsia="仿宋_GB2312" w:cs="仿宋_GB2312"/>
          <w:spacing w:val="6"/>
          <w:sz w:val="32"/>
          <w:szCs w:val="32"/>
          <w:lang w:val="en-US" w:eastAsia="zh-CN"/>
        </w:rPr>
        <w:t>2023</w:t>
      </w:r>
      <w:r>
        <w:rPr>
          <w:rFonts w:hint="eastAsia" w:ascii="仿宋_GB2312" w:hAnsi="仿宋_GB2312" w:eastAsia="仿宋_GB2312" w:cs="仿宋_GB2312"/>
          <w:spacing w:val="6"/>
          <w:sz w:val="32"/>
          <w:szCs w:val="32"/>
          <w:lang w:val="en-US" w:eastAsia="zh-CN"/>
        </w:rPr>
        <w:t>年</w:t>
      </w:r>
      <w:r>
        <w:rPr>
          <w:rFonts w:hint="eastAsia" w:ascii="Times New Roman" w:hAnsi="Times New Roman" w:eastAsia="仿宋_GB2312" w:cs="仿宋_GB2312"/>
          <w:spacing w:val="6"/>
          <w:sz w:val="32"/>
          <w:szCs w:val="32"/>
          <w:lang w:val="en-US" w:eastAsia="zh-CN"/>
        </w:rPr>
        <w:t>9</w:t>
      </w:r>
      <w:r>
        <w:rPr>
          <w:rFonts w:hint="eastAsia" w:ascii="仿宋_GB2312" w:hAnsi="仿宋_GB2312" w:eastAsia="仿宋_GB2312" w:cs="仿宋_GB2312"/>
          <w:spacing w:val="6"/>
          <w:sz w:val="32"/>
          <w:szCs w:val="32"/>
          <w:lang w:val="en-US" w:eastAsia="zh-CN"/>
        </w:rPr>
        <w:t>月末，我行资本净额</w:t>
      </w:r>
      <w:r>
        <w:rPr>
          <w:rFonts w:hint="eastAsia" w:ascii="Times New Roman" w:hAnsi="Times New Roman" w:eastAsia="仿宋_GB2312" w:cs="仿宋_GB2312"/>
          <w:spacing w:val="6"/>
          <w:sz w:val="32"/>
          <w:szCs w:val="32"/>
          <w:lang w:val="en-US" w:eastAsia="zh-CN"/>
        </w:rPr>
        <w:t>11</w:t>
      </w:r>
      <w:r>
        <w:rPr>
          <w:rFonts w:hint="eastAsia" w:ascii="仿宋_GB2312" w:hAnsi="仿宋_GB2312" w:eastAsia="仿宋_GB2312" w:cs="仿宋_GB2312"/>
          <w:spacing w:val="6"/>
          <w:sz w:val="32"/>
          <w:szCs w:val="32"/>
          <w:lang w:val="en-US" w:eastAsia="zh-CN"/>
        </w:rPr>
        <w:t>.</w:t>
      </w:r>
      <w:r>
        <w:rPr>
          <w:rFonts w:hint="eastAsia" w:ascii="Times New Roman" w:hAnsi="Times New Roman" w:eastAsia="仿宋_GB2312" w:cs="仿宋_GB2312"/>
          <w:spacing w:val="6"/>
          <w:sz w:val="32"/>
          <w:szCs w:val="32"/>
          <w:lang w:val="en-US" w:eastAsia="zh-CN"/>
        </w:rPr>
        <w:t>41</w:t>
      </w:r>
      <w:r>
        <w:rPr>
          <w:rFonts w:hint="eastAsia" w:ascii="仿宋_GB2312" w:hAnsi="仿宋_GB2312" w:eastAsia="仿宋_GB2312" w:cs="仿宋_GB2312"/>
          <w:spacing w:val="6"/>
          <w:sz w:val="32"/>
          <w:szCs w:val="32"/>
          <w:lang w:val="en-US" w:eastAsia="zh-CN"/>
        </w:rPr>
        <w:t>亿元，上述重大关联交易授信、用信</w:t>
      </w:r>
      <w:r>
        <w:rPr>
          <w:rFonts w:hint="eastAsia" w:ascii="Times New Roman" w:hAnsi="Times New Roman" w:eastAsia="仿宋_GB2312" w:cs="仿宋_GB2312"/>
          <w:spacing w:val="6"/>
          <w:sz w:val="32"/>
          <w:szCs w:val="32"/>
          <w:lang w:val="en-US" w:eastAsia="zh-CN"/>
        </w:rPr>
        <w:t>1600</w:t>
      </w:r>
      <w:r>
        <w:rPr>
          <w:rFonts w:hint="eastAsia" w:ascii="仿宋_GB2312" w:hAnsi="仿宋_GB2312" w:eastAsia="仿宋_GB2312" w:cs="仿宋_GB2312"/>
          <w:spacing w:val="6"/>
          <w:sz w:val="32"/>
          <w:szCs w:val="32"/>
          <w:lang w:val="en-US" w:eastAsia="zh-CN"/>
        </w:rPr>
        <w:t>万元，占我行上季度末资本净额的</w:t>
      </w:r>
      <w:r>
        <w:rPr>
          <w:rFonts w:hint="eastAsia" w:ascii="Times New Roman" w:hAnsi="Times New Roman" w:eastAsia="仿宋_GB2312" w:cs="仿宋_GB2312"/>
          <w:spacing w:val="6"/>
          <w:sz w:val="32"/>
          <w:szCs w:val="32"/>
          <w:lang w:val="en-US" w:eastAsia="zh-CN"/>
        </w:rPr>
        <w:t>1</w:t>
      </w:r>
      <w:r>
        <w:rPr>
          <w:rFonts w:hint="eastAsia" w:ascii="仿宋_GB2312" w:hAnsi="仿宋_GB2312" w:eastAsia="仿宋_GB2312" w:cs="仿宋_GB2312"/>
          <w:spacing w:val="6"/>
          <w:sz w:val="32"/>
          <w:szCs w:val="32"/>
          <w:lang w:val="en-US" w:eastAsia="zh-CN"/>
        </w:rPr>
        <w:t>.</w:t>
      </w:r>
      <w:r>
        <w:rPr>
          <w:rFonts w:hint="eastAsia" w:ascii="Times New Roman" w:hAnsi="Times New Roman" w:eastAsia="仿宋_GB2312" w:cs="仿宋_GB2312"/>
          <w:spacing w:val="6"/>
          <w:sz w:val="32"/>
          <w:szCs w:val="32"/>
          <w:lang w:val="en-US" w:eastAsia="zh-CN"/>
        </w:rPr>
        <w:t>40</w:t>
      </w:r>
      <w:r>
        <w:rPr>
          <w:rFonts w:hint="eastAsia" w:ascii="仿宋_GB2312" w:hAnsi="仿宋_GB2312" w:eastAsia="仿宋_GB2312" w:cs="仿宋_GB2312"/>
          <w:spacing w:val="6"/>
          <w:sz w:val="32"/>
          <w:szCs w:val="32"/>
          <w:lang w:val="en-US" w:eastAsia="zh-CN"/>
        </w:rPr>
        <w:t>%；</w:t>
      </w:r>
      <w:r>
        <w:rPr>
          <w:rFonts w:hint="default" w:ascii="仿宋_GB2312" w:hAnsi="仿宋_GB2312" w:eastAsia="仿宋_GB2312" w:cs="仿宋_GB2312"/>
          <w:spacing w:val="6"/>
          <w:sz w:val="32"/>
          <w:szCs w:val="32"/>
          <w:lang w:val="en-US" w:eastAsia="zh-CN"/>
        </w:rPr>
        <w:t>本次借新还旧后，</w:t>
      </w:r>
      <w:r>
        <w:rPr>
          <w:rFonts w:hint="eastAsia" w:ascii="仿宋_GB2312" w:hAnsi="仿宋_GB2312" w:eastAsia="仿宋_GB2312" w:cs="仿宋_GB2312"/>
          <w:spacing w:val="6"/>
          <w:sz w:val="32"/>
          <w:szCs w:val="32"/>
          <w:lang w:val="en-US" w:eastAsia="zh-CN"/>
        </w:rPr>
        <w:t>贵州麒龙置业有限公司</w:t>
      </w:r>
      <w:r>
        <w:rPr>
          <w:rFonts w:hint="default" w:ascii="仿宋_GB2312" w:hAnsi="仿宋_GB2312" w:eastAsia="仿宋_GB2312" w:cs="仿宋_GB2312"/>
          <w:spacing w:val="6"/>
          <w:sz w:val="32"/>
          <w:szCs w:val="32"/>
          <w:lang w:val="en-US" w:eastAsia="zh-CN"/>
        </w:rPr>
        <w:t>及其关联方集团授信余额合计</w:t>
      </w:r>
      <w:r>
        <w:rPr>
          <w:rFonts w:hint="default" w:ascii="Times New Roman" w:hAnsi="Times New Roman" w:eastAsia="仿宋_GB2312" w:cs="仿宋_GB2312"/>
          <w:spacing w:val="6"/>
          <w:sz w:val="32"/>
          <w:szCs w:val="32"/>
          <w:lang w:val="en-US" w:eastAsia="zh-CN"/>
        </w:rPr>
        <w:t>2335</w:t>
      </w:r>
      <w:r>
        <w:rPr>
          <w:rFonts w:hint="default" w:ascii="仿宋_GB2312" w:hAnsi="仿宋_GB2312" w:eastAsia="仿宋_GB2312" w:cs="仿宋_GB2312"/>
          <w:spacing w:val="6"/>
          <w:sz w:val="32"/>
          <w:szCs w:val="32"/>
          <w:lang w:val="en-US" w:eastAsia="zh-CN"/>
        </w:rPr>
        <w:t>.</w:t>
      </w:r>
      <w:r>
        <w:rPr>
          <w:rFonts w:hint="default" w:ascii="Times New Roman" w:hAnsi="Times New Roman" w:eastAsia="仿宋_GB2312" w:cs="仿宋_GB2312"/>
          <w:spacing w:val="6"/>
          <w:sz w:val="32"/>
          <w:szCs w:val="32"/>
          <w:lang w:val="en-US" w:eastAsia="zh-CN"/>
        </w:rPr>
        <w:t>3</w:t>
      </w:r>
      <w:r>
        <w:rPr>
          <w:rFonts w:hint="default" w:ascii="仿宋_GB2312" w:hAnsi="仿宋_GB2312" w:eastAsia="仿宋_GB2312" w:cs="仿宋_GB2312"/>
          <w:spacing w:val="6"/>
          <w:sz w:val="32"/>
          <w:szCs w:val="32"/>
          <w:lang w:val="en-US" w:eastAsia="zh-CN"/>
        </w:rPr>
        <w:t>万元，占</w:t>
      </w:r>
      <w:r>
        <w:rPr>
          <w:rFonts w:hint="eastAsia" w:ascii="仿宋_GB2312" w:hAnsi="仿宋_GB2312" w:eastAsia="仿宋_GB2312" w:cs="仿宋_GB2312"/>
          <w:spacing w:val="6"/>
          <w:sz w:val="32"/>
          <w:szCs w:val="32"/>
          <w:lang w:val="en-US" w:eastAsia="zh-CN"/>
        </w:rPr>
        <w:t>本行</w:t>
      </w:r>
      <w:r>
        <w:rPr>
          <w:rFonts w:hint="default" w:ascii="仿宋_GB2312" w:hAnsi="仿宋_GB2312" w:eastAsia="仿宋_GB2312" w:cs="仿宋_GB2312"/>
          <w:spacing w:val="6"/>
          <w:sz w:val="32"/>
          <w:szCs w:val="32"/>
          <w:lang w:val="en-US" w:eastAsia="zh-CN"/>
        </w:rPr>
        <w:t>上季度资本净额的</w:t>
      </w:r>
      <w:r>
        <w:rPr>
          <w:rFonts w:hint="eastAsia" w:ascii="Times New Roman" w:hAnsi="Times New Roman" w:eastAsia="仿宋_GB2312" w:cs="仿宋_GB2312"/>
          <w:spacing w:val="6"/>
          <w:sz w:val="32"/>
          <w:szCs w:val="32"/>
          <w:lang w:val="en-US" w:eastAsia="zh-CN"/>
        </w:rPr>
        <w:t>2</w:t>
      </w:r>
      <w:r>
        <w:rPr>
          <w:rFonts w:hint="eastAsia" w:ascii="仿宋_GB2312" w:hAnsi="仿宋_GB2312" w:eastAsia="仿宋_GB2312" w:cs="仿宋_GB2312"/>
          <w:spacing w:val="6"/>
          <w:sz w:val="32"/>
          <w:szCs w:val="32"/>
          <w:lang w:val="en-US" w:eastAsia="zh-CN"/>
        </w:rPr>
        <w:t>.</w:t>
      </w:r>
      <w:r>
        <w:rPr>
          <w:rFonts w:hint="eastAsia" w:ascii="Times New Roman" w:hAnsi="Times New Roman" w:eastAsia="仿宋_GB2312" w:cs="仿宋_GB2312"/>
          <w:spacing w:val="6"/>
          <w:sz w:val="32"/>
          <w:szCs w:val="32"/>
          <w:lang w:val="en-US" w:eastAsia="zh-CN"/>
        </w:rPr>
        <w:t>05</w:t>
      </w:r>
      <w:r>
        <w:rPr>
          <w:rFonts w:hint="default" w:ascii="仿宋_GB2312" w:hAnsi="仿宋_GB2312" w:eastAsia="仿宋_GB2312" w:cs="仿宋_GB2312"/>
          <w:spacing w:val="6"/>
          <w:sz w:val="32"/>
          <w:szCs w:val="32"/>
          <w:lang w:val="en-US" w:eastAsia="zh-CN"/>
        </w:rPr>
        <w:t>%，符合相关规定。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center"/>
        <w:rPr>
          <w:rFonts w:hint="default" w:ascii="黑体" w:hAnsi="黑体" w:eastAsia="黑体" w:cs="黑体"/>
          <w:i w:val="0"/>
          <w:iCs w:val="0"/>
          <w:caps w:val="0"/>
          <w:color w:val="333333"/>
          <w:spacing w:val="0"/>
          <w:sz w:val="30"/>
          <w:szCs w:val="30"/>
          <w:u w:val="none"/>
          <w:lang w:val="en-US" w:eastAsia="zh-CN"/>
        </w:rPr>
      </w:pPr>
      <w:r>
        <w:rPr>
          <w:rFonts w:hint="default" w:ascii="仿宋" w:hAnsi="仿宋" w:eastAsia="仿宋" w:cs="仿宋"/>
          <w:i w:val="0"/>
          <w:iCs w:val="0"/>
          <w:caps w:val="0"/>
          <w:color w:val="333333"/>
          <w:spacing w:val="0"/>
          <w:sz w:val="30"/>
          <w:szCs w:val="30"/>
          <w:u w:val="none"/>
          <w:lang w:val="en-US" w:eastAsia="zh-CN"/>
        </w:rPr>
        <w:t xml:space="preserve">       </w:t>
      </w:r>
      <w:r>
        <w:rPr>
          <w:rFonts w:hint="default" w:ascii="黑体" w:hAnsi="黑体" w:eastAsia="黑体" w:cs="黑体"/>
          <w:i w:val="0"/>
          <w:iCs w:val="0"/>
          <w:caps w:val="0"/>
          <w:color w:val="333333"/>
          <w:spacing w:val="0"/>
          <w:sz w:val="32"/>
          <w:szCs w:val="32"/>
          <w:u w:val="none"/>
          <w:lang w:val="en-US" w:eastAsia="zh-CN"/>
        </w:rPr>
        <w:t>五、审议</w:t>
      </w:r>
      <w:r>
        <w:rPr>
          <w:rFonts w:hint="eastAsia" w:ascii="黑体" w:hAnsi="黑体" w:eastAsia="黑体" w:cs="黑体"/>
          <w:i w:val="0"/>
          <w:iCs w:val="0"/>
          <w:caps w:val="0"/>
          <w:color w:val="333333"/>
          <w:spacing w:val="0"/>
          <w:sz w:val="32"/>
          <w:szCs w:val="32"/>
          <w:u w:val="none"/>
          <w:lang w:val="en-US" w:eastAsia="zh-CN"/>
        </w:rPr>
        <w:t>审批</w:t>
      </w:r>
      <w:r>
        <w:rPr>
          <w:rFonts w:hint="default" w:ascii="黑体" w:hAnsi="黑体" w:eastAsia="黑体" w:cs="黑体"/>
          <w:i w:val="0"/>
          <w:iCs w:val="0"/>
          <w:caps w:val="0"/>
          <w:color w:val="333333"/>
          <w:spacing w:val="0"/>
          <w:sz w:val="32"/>
          <w:szCs w:val="32"/>
          <w:u w:val="none"/>
          <w:lang w:val="en-US" w:eastAsia="zh-CN"/>
        </w:rPr>
        <w:t>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jc w:val="both"/>
        <w:textAlignment w:val="center"/>
        <w:rPr>
          <w:rFonts w:hint="eastAsia" w:ascii="仿宋_GB2312" w:hAnsi="仿宋_GB2312" w:eastAsia="仿宋_GB2312" w:cs="仿宋_GB2312"/>
          <w:spacing w:val="6"/>
          <w:sz w:val="32"/>
          <w:szCs w:val="32"/>
          <w:lang w:val="en-US"/>
        </w:rPr>
      </w:pPr>
      <w:r>
        <w:rPr>
          <w:rFonts w:hint="default" w:ascii="仿宋" w:hAnsi="仿宋" w:eastAsia="仿宋" w:cs="仿宋"/>
          <w:i w:val="0"/>
          <w:iCs w:val="0"/>
          <w:caps w:val="0"/>
          <w:color w:val="333333"/>
          <w:spacing w:val="0"/>
          <w:sz w:val="30"/>
          <w:szCs w:val="30"/>
          <w:u w:val="none"/>
          <w:lang w:val="en-US" w:eastAsia="zh-CN"/>
        </w:rPr>
        <w:t> </w:t>
      </w:r>
      <w:r>
        <w:rPr>
          <w:rFonts w:hint="eastAsia" w:ascii="仿宋_GB2312" w:hAnsi="仿宋_GB2312" w:eastAsia="仿宋_GB2312" w:cs="仿宋_GB2312"/>
          <w:spacing w:val="6"/>
          <w:sz w:val="32"/>
          <w:szCs w:val="32"/>
          <w:lang w:val="en-US"/>
        </w:rPr>
        <w:t>经营层授信审批委员会审查后提交董事会合规与关联交易控制委员会进行审核，因委员会独立董事未取得任职资格，成员董事为贵州麒龙集团（瓮安）湖山悦府置业有限公司股东、总经理，履行回避制度后人数达不到开会条件，此笔关联交易提交董事会进行审议，第三届董事会第</w:t>
      </w:r>
      <w:r>
        <w:rPr>
          <w:rFonts w:hint="eastAsia" w:ascii="Times New Roman" w:hAnsi="Times New Roman" w:eastAsia="仿宋_GB2312" w:cs="仿宋_GB2312"/>
          <w:spacing w:val="6"/>
          <w:sz w:val="32"/>
          <w:szCs w:val="32"/>
          <w:lang w:val="en-US"/>
        </w:rPr>
        <w:t>12</w:t>
      </w:r>
      <w:r>
        <w:rPr>
          <w:rFonts w:hint="eastAsia" w:ascii="仿宋_GB2312" w:hAnsi="仿宋_GB2312" w:eastAsia="仿宋_GB2312" w:cs="仿宋_GB2312"/>
          <w:spacing w:val="6"/>
          <w:sz w:val="32"/>
          <w:szCs w:val="32"/>
          <w:lang w:val="en-US"/>
        </w:rPr>
        <w:t>次会议于</w:t>
      </w:r>
      <w:r>
        <w:rPr>
          <w:rFonts w:hint="eastAsia" w:ascii="Times New Roman" w:hAnsi="Times New Roman" w:eastAsia="仿宋_GB2312" w:cs="仿宋_GB2312"/>
          <w:spacing w:val="6"/>
          <w:sz w:val="32"/>
          <w:szCs w:val="32"/>
          <w:lang w:val="en-US"/>
        </w:rPr>
        <w:t>2023</w:t>
      </w:r>
      <w:r>
        <w:rPr>
          <w:rFonts w:hint="eastAsia" w:ascii="仿宋_GB2312" w:hAnsi="仿宋_GB2312" w:eastAsia="仿宋_GB2312" w:cs="仿宋_GB2312"/>
          <w:spacing w:val="6"/>
          <w:sz w:val="32"/>
          <w:szCs w:val="32"/>
          <w:lang w:val="en-US"/>
        </w:rPr>
        <w:t>年</w:t>
      </w:r>
      <w:r>
        <w:rPr>
          <w:rFonts w:hint="eastAsia" w:ascii="Times New Roman" w:hAnsi="Times New Roman" w:eastAsia="仿宋_GB2312" w:cs="仿宋_GB2312"/>
          <w:spacing w:val="6"/>
          <w:sz w:val="32"/>
          <w:szCs w:val="32"/>
          <w:lang w:val="en-US"/>
        </w:rPr>
        <w:t>11</w:t>
      </w:r>
      <w:r>
        <w:rPr>
          <w:rFonts w:hint="eastAsia" w:ascii="仿宋_GB2312" w:hAnsi="仿宋_GB2312" w:eastAsia="仿宋_GB2312" w:cs="仿宋_GB2312"/>
          <w:spacing w:val="6"/>
          <w:sz w:val="32"/>
          <w:szCs w:val="32"/>
          <w:lang w:val="en-US"/>
        </w:rPr>
        <w:t>月</w:t>
      </w:r>
      <w:r>
        <w:rPr>
          <w:rFonts w:hint="eastAsia" w:ascii="Times New Roman" w:hAnsi="Times New Roman" w:eastAsia="仿宋_GB2312" w:cs="仿宋_GB2312"/>
          <w:spacing w:val="6"/>
          <w:sz w:val="32"/>
          <w:szCs w:val="32"/>
          <w:lang w:val="en-US"/>
        </w:rPr>
        <w:t>30</w:t>
      </w:r>
      <w:r>
        <w:rPr>
          <w:rFonts w:hint="eastAsia" w:ascii="仿宋_GB2312" w:hAnsi="仿宋_GB2312" w:eastAsia="仿宋_GB2312" w:cs="仿宋_GB2312"/>
          <w:spacing w:val="6"/>
          <w:sz w:val="32"/>
          <w:szCs w:val="32"/>
          <w:lang w:val="en-US"/>
        </w:rPr>
        <w:t>日审议通过，同意贵州麒龙集团（瓮安）湖山悦府置业有限公司授信、用信</w:t>
      </w:r>
      <w:r>
        <w:rPr>
          <w:rFonts w:hint="eastAsia" w:ascii="Times New Roman" w:hAnsi="Times New Roman" w:eastAsia="仿宋_GB2312" w:cs="仿宋_GB2312"/>
          <w:spacing w:val="6"/>
          <w:sz w:val="32"/>
          <w:szCs w:val="32"/>
          <w:lang w:val="en-US"/>
        </w:rPr>
        <w:t>1600</w:t>
      </w:r>
      <w:r>
        <w:rPr>
          <w:rFonts w:hint="eastAsia" w:ascii="仿宋_GB2312" w:hAnsi="仿宋_GB2312" w:eastAsia="仿宋_GB2312" w:cs="仿宋_GB2312"/>
          <w:spacing w:val="6"/>
          <w:sz w:val="32"/>
          <w:szCs w:val="32"/>
          <w:lang w:val="en-US"/>
        </w:rPr>
        <w:t>万元，</w:t>
      </w:r>
      <w:r>
        <w:rPr>
          <w:rFonts w:hint="eastAsia" w:ascii="仿宋_GB2312" w:hAnsi="仿宋_GB2312" w:eastAsia="仿宋_GB2312" w:cs="仿宋_GB2312"/>
          <w:spacing w:val="6"/>
          <w:sz w:val="32"/>
          <w:szCs w:val="32"/>
          <w:lang w:val="en-US" w:eastAsia="zh-CN"/>
        </w:rPr>
        <w:t>用于借新还旧，</w:t>
      </w:r>
      <w:r>
        <w:rPr>
          <w:rFonts w:hint="eastAsia" w:ascii="仿宋_GB2312" w:hAnsi="仿宋_GB2312" w:eastAsia="仿宋_GB2312" w:cs="仿宋_GB2312"/>
          <w:spacing w:val="6"/>
          <w:sz w:val="32"/>
          <w:szCs w:val="32"/>
          <w:lang w:val="en-US"/>
        </w:rPr>
        <w:t>期限</w:t>
      </w:r>
      <w:r>
        <w:rPr>
          <w:rFonts w:hint="eastAsia" w:ascii="Times New Roman" w:hAnsi="Times New Roman" w:eastAsia="仿宋_GB2312" w:cs="仿宋_GB2312"/>
          <w:spacing w:val="6"/>
          <w:sz w:val="32"/>
          <w:szCs w:val="32"/>
          <w:lang w:val="en-US"/>
        </w:rPr>
        <w:t>3</w:t>
      </w:r>
      <w:r>
        <w:rPr>
          <w:rFonts w:hint="eastAsia" w:ascii="仿宋_GB2312" w:hAnsi="仿宋_GB2312" w:eastAsia="仿宋_GB2312" w:cs="仿宋_GB2312"/>
          <w:spacing w:val="6"/>
          <w:sz w:val="32"/>
          <w:szCs w:val="32"/>
          <w:lang w:val="en-US"/>
        </w:rPr>
        <w:t>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center"/>
        <w:rPr>
          <w:rFonts w:hint="default" w:ascii="黑体" w:hAnsi="黑体" w:eastAsia="黑体" w:cs="黑体"/>
          <w:i w:val="0"/>
          <w:iCs w:val="0"/>
          <w:caps w:val="0"/>
          <w:color w:val="333333"/>
          <w:spacing w:val="0"/>
          <w:sz w:val="32"/>
          <w:szCs w:val="32"/>
          <w:u w:val="none"/>
          <w:lang w:val="en-US" w:eastAsia="zh-CN"/>
        </w:rPr>
      </w:pPr>
      <w:r>
        <w:rPr>
          <w:rFonts w:hint="default" w:ascii="仿宋" w:hAnsi="仿宋" w:eastAsia="仿宋" w:cs="仿宋"/>
          <w:i w:val="0"/>
          <w:iCs w:val="0"/>
          <w:caps w:val="0"/>
          <w:color w:val="333333"/>
          <w:spacing w:val="0"/>
          <w:sz w:val="30"/>
          <w:szCs w:val="30"/>
          <w:u w:val="none"/>
          <w:lang w:val="en-US" w:eastAsia="zh-CN"/>
        </w:rPr>
        <w:t>     </w:t>
      </w:r>
      <w:r>
        <w:rPr>
          <w:rFonts w:hint="default" w:ascii="黑体" w:hAnsi="黑体" w:eastAsia="黑体" w:cs="黑体"/>
          <w:i w:val="0"/>
          <w:iCs w:val="0"/>
          <w:caps w:val="0"/>
          <w:color w:val="333333"/>
          <w:spacing w:val="0"/>
          <w:sz w:val="30"/>
          <w:szCs w:val="30"/>
          <w:u w:val="none"/>
          <w:lang w:val="en-US" w:eastAsia="zh-CN"/>
        </w:rPr>
        <w:t> </w:t>
      </w:r>
      <w:r>
        <w:rPr>
          <w:rFonts w:hint="eastAsia" w:ascii="黑体" w:hAnsi="黑体" w:eastAsia="黑体" w:cs="黑体"/>
          <w:i w:val="0"/>
          <w:iCs w:val="0"/>
          <w:caps w:val="0"/>
          <w:color w:val="333333"/>
          <w:spacing w:val="0"/>
          <w:sz w:val="32"/>
          <w:szCs w:val="32"/>
          <w:u w:val="none"/>
          <w:lang w:val="en-US" w:eastAsia="zh-CN"/>
        </w:rPr>
        <w:t>六</w:t>
      </w:r>
      <w:r>
        <w:rPr>
          <w:rFonts w:hint="default" w:ascii="黑体" w:hAnsi="黑体" w:eastAsia="黑体" w:cs="黑体"/>
          <w:i w:val="0"/>
          <w:iCs w:val="0"/>
          <w:caps w:val="0"/>
          <w:color w:val="333333"/>
          <w:spacing w:val="0"/>
          <w:sz w:val="32"/>
          <w:szCs w:val="32"/>
          <w:u w:val="none"/>
          <w:lang w:val="en-US" w:eastAsia="zh-CN"/>
        </w:rPr>
        <w:t>、其他需要披露的事项</w:t>
      </w:r>
      <w:bookmarkStart w:id="0" w:name="_GoBack"/>
      <w:bookmarkEnd w:id="0"/>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center"/>
        <w:rPr>
          <w:rFonts w:hint="default" w:ascii="仿宋_GB2312" w:hAnsi="仿宋_GB2312" w:eastAsia="仿宋_GB2312" w:cs="仿宋_GB2312"/>
          <w:spacing w:val="6"/>
          <w:sz w:val="32"/>
          <w:szCs w:val="32"/>
          <w:lang w:val="en-US" w:eastAsia="zh-CN"/>
        </w:rPr>
      </w:pPr>
      <w:r>
        <w:rPr>
          <w:rFonts w:hint="default" w:ascii="仿宋" w:hAnsi="仿宋" w:eastAsia="仿宋" w:cs="仿宋"/>
          <w:i w:val="0"/>
          <w:iCs w:val="0"/>
          <w:caps w:val="0"/>
          <w:color w:val="333333"/>
          <w:spacing w:val="0"/>
          <w:sz w:val="30"/>
          <w:szCs w:val="30"/>
          <w:u w:val="none"/>
          <w:lang w:val="en-US" w:eastAsia="zh-CN"/>
        </w:rPr>
        <w:t> </w:t>
      </w:r>
      <w:r>
        <w:rPr>
          <w:rFonts w:hint="default" w:ascii="仿宋_GB2312" w:hAnsi="仿宋_GB2312" w:eastAsia="仿宋_GB2312" w:cs="仿宋_GB2312"/>
          <w:spacing w:val="6"/>
          <w:sz w:val="32"/>
          <w:szCs w:val="32"/>
          <w:lang w:val="en-US" w:eastAsia="zh-CN"/>
        </w:rPr>
        <w:t>     以上交易已经向国家金融监督管理总局</w:t>
      </w:r>
      <w:r>
        <w:rPr>
          <w:rFonts w:hint="eastAsia" w:ascii="仿宋_GB2312" w:hAnsi="仿宋_GB2312" w:eastAsia="仿宋_GB2312" w:cs="仿宋_GB2312"/>
          <w:spacing w:val="6"/>
          <w:sz w:val="32"/>
          <w:szCs w:val="32"/>
          <w:lang w:val="en-US" w:eastAsia="zh-CN"/>
        </w:rPr>
        <w:t>黔南</w:t>
      </w:r>
      <w:r>
        <w:rPr>
          <w:rFonts w:hint="default" w:ascii="仿宋_GB2312" w:hAnsi="仿宋_GB2312" w:eastAsia="仿宋_GB2312" w:cs="仿宋_GB2312"/>
          <w:spacing w:val="6"/>
          <w:sz w:val="32"/>
          <w:szCs w:val="32"/>
          <w:lang w:val="en-US" w:eastAsia="zh-CN"/>
        </w:rPr>
        <w:t>监管分局书面报告！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center"/>
        <w:rPr>
          <w:rFonts w:hint="default" w:ascii="仿宋" w:hAnsi="仿宋" w:eastAsia="仿宋" w:cs="仿宋"/>
          <w:i w:val="0"/>
          <w:iCs w:val="0"/>
          <w:caps w:val="0"/>
          <w:color w:val="333333"/>
          <w:spacing w:val="0"/>
          <w:sz w:val="30"/>
          <w:szCs w:val="30"/>
          <w:u w:val="none"/>
          <w:lang w:val="en-US" w:eastAsia="zh-CN"/>
        </w:rPr>
      </w:pPr>
      <w:r>
        <w:rPr>
          <w:rFonts w:hint="default" w:ascii="仿宋" w:hAnsi="仿宋" w:eastAsia="仿宋" w:cs="仿宋"/>
          <w:i w:val="0"/>
          <w:iCs w:val="0"/>
          <w:caps w:val="0"/>
          <w:color w:val="333333"/>
          <w:spacing w:val="0"/>
          <w:sz w:val="30"/>
          <w:szCs w:val="30"/>
          <w:u w:val="none"/>
          <w:lang w:val="en-US" w:eastAsia="zh-CN"/>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3300" w:firstLineChars="1100"/>
        <w:jc w:val="both"/>
        <w:textAlignment w:val="center"/>
        <w:rPr>
          <w:rFonts w:hint="eastAsia" w:ascii="仿宋" w:hAnsi="仿宋" w:eastAsia="仿宋" w:cs="仿宋"/>
          <w:i w:val="0"/>
          <w:iCs w:val="0"/>
          <w:caps w:val="0"/>
          <w:color w:val="333333"/>
          <w:spacing w:val="0"/>
          <w:sz w:val="30"/>
          <w:szCs w:val="30"/>
          <w:u w:val="none"/>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2988" w:firstLineChars="900"/>
        <w:jc w:val="both"/>
        <w:textAlignment w:val="center"/>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贵州瓮安农村商业银行股份有限公司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center"/>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w:t>
      </w:r>
      <w:r>
        <w:rPr>
          <w:rFonts w:hint="eastAsia" w:ascii="Times New Roman" w:hAnsi="Times New Roman" w:eastAsia="仿宋_GB2312" w:cs="仿宋_GB2312"/>
          <w:spacing w:val="6"/>
          <w:sz w:val="32"/>
          <w:szCs w:val="32"/>
          <w:lang w:val="en-US" w:eastAsia="zh-CN"/>
        </w:rPr>
        <w:t>2023</w:t>
      </w:r>
      <w:r>
        <w:rPr>
          <w:rFonts w:hint="eastAsia" w:ascii="仿宋_GB2312" w:hAnsi="仿宋_GB2312" w:eastAsia="仿宋_GB2312" w:cs="仿宋_GB2312"/>
          <w:spacing w:val="6"/>
          <w:sz w:val="32"/>
          <w:szCs w:val="32"/>
          <w:lang w:val="en-US" w:eastAsia="zh-CN"/>
        </w:rPr>
        <w:t>年</w:t>
      </w:r>
      <w:r>
        <w:rPr>
          <w:rFonts w:hint="eastAsia" w:ascii="Times New Roman" w:hAnsi="Times New Roman" w:eastAsia="仿宋_GB2312" w:cs="仿宋_GB2312"/>
          <w:spacing w:val="6"/>
          <w:sz w:val="32"/>
          <w:szCs w:val="32"/>
          <w:lang w:val="en-US" w:eastAsia="zh-CN"/>
        </w:rPr>
        <w:t>12</w:t>
      </w:r>
      <w:r>
        <w:rPr>
          <w:rFonts w:hint="eastAsia" w:ascii="仿宋_GB2312" w:hAnsi="仿宋_GB2312" w:eastAsia="仿宋_GB2312" w:cs="仿宋_GB2312"/>
          <w:spacing w:val="6"/>
          <w:sz w:val="32"/>
          <w:szCs w:val="32"/>
          <w:lang w:val="en-US" w:eastAsia="zh-CN"/>
        </w:rPr>
        <w:t>月</w:t>
      </w:r>
      <w:r>
        <w:rPr>
          <w:rFonts w:hint="eastAsia" w:ascii="Times New Roman" w:hAnsi="Times New Roman" w:eastAsia="仿宋_GB2312" w:cs="仿宋_GB2312"/>
          <w:spacing w:val="6"/>
          <w:sz w:val="32"/>
          <w:szCs w:val="32"/>
          <w:lang w:val="en-US" w:eastAsia="zh-CN"/>
        </w:rPr>
        <w:t>1</w:t>
      </w:r>
      <w:r>
        <w:rPr>
          <w:rFonts w:hint="default" w:ascii="Times New Roman" w:hAnsi="Times New Roman" w:eastAsia="仿宋_GB2312" w:cs="仿宋_GB2312"/>
          <w:spacing w:val="6"/>
          <w:sz w:val="32"/>
          <w:szCs w:val="32"/>
          <w:lang w:val="en-US" w:eastAsia="zh-CN"/>
        </w:rPr>
        <w:t>2</w:t>
      </w:r>
      <w:r>
        <w:rPr>
          <w:rFonts w:hint="default" w:ascii="仿宋_GB2312" w:hAnsi="仿宋_GB2312" w:eastAsia="仿宋_GB2312" w:cs="仿宋_GB2312"/>
          <w:spacing w:val="6"/>
          <w:sz w:val="32"/>
          <w:szCs w:val="32"/>
          <w:lang w:val="en-US" w:eastAsia="zh-CN"/>
        </w:rPr>
        <w:t> 日       </w:t>
      </w:r>
      <w:r>
        <w:rPr>
          <w:rFonts w:hint="eastAsia" w:ascii="仿宋_GB2312" w:hAnsi="仿宋_GB2312" w:eastAsia="仿宋_GB2312" w:cs="仿宋_GB2312"/>
          <w:spacing w:val="6"/>
          <w:sz w:val="32"/>
          <w:szCs w:val="32"/>
          <w:lang w:val="en-US" w:eastAsia="zh-CN"/>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center"/>
        <w:rPr>
          <w:rFonts w:hint="eastAsia" w:ascii="仿宋_GB2312" w:hAnsi="仿宋_GB2312" w:eastAsia="仿宋_GB2312" w:cs="仿宋_GB2312"/>
          <w:spacing w:val="6"/>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YTAxMDM4MmJhYTMwZTgzZjJjN2ViYzgyNjVkZTcifQ=="/>
  </w:docVars>
  <w:rsids>
    <w:rsidRoot w:val="00000000"/>
    <w:rsid w:val="00A02E80"/>
    <w:rsid w:val="0AB01B43"/>
    <w:rsid w:val="1C8848D8"/>
    <w:rsid w:val="1F941997"/>
    <w:rsid w:val="2A870238"/>
    <w:rsid w:val="2B052CF7"/>
    <w:rsid w:val="3525170B"/>
    <w:rsid w:val="460B21D1"/>
    <w:rsid w:val="5F2525CE"/>
    <w:rsid w:val="66C54B55"/>
    <w:rsid w:val="69FF188D"/>
    <w:rsid w:val="6E9C141A"/>
    <w:rsid w:val="75AE6F45"/>
    <w:rsid w:val="76B9314B"/>
    <w:rsid w:val="79403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200" w:firstLineChars="200"/>
    </w:pPr>
    <w:rPr>
      <w:lang w:val="zh-CN" w:eastAsia="zh-CN"/>
    </w:rPr>
  </w:style>
  <w:style w:type="paragraph" w:styleId="4">
    <w:name w:val="Body Text"/>
    <w:basedOn w:val="1"/>
    <w:next w:val="1"/>
    <w:unhideWhenUsed/>
    <w:qFormat/>
    <w:uiPriority w:val="1"/>
    <w:pPr>
      <w:autoSpaceDE w:val="0"/>
      <w:autoSpaceDN w:val="0"/>
      <w:adjustRightInd w:val="0"/>
      <w:spacing w:beforeLines="0" w:afterLines="0"/>
      <w:jc w:val="left"/>
    </w:pPr>
    <w:rPr>
      <w:rFonts w:hint="eastAsia" w:ascii="仿宋_GB2312" w:hAnsi="仿宋_GB2312" w:eastAsia="仿宋_GB2312"/>
      <w:kern w:val="0"/>
      <w:sz w:val="32"/>
      <w:szCs w:val="20"/>
    </w:rPr>
  </w:style>
  <w:style w:type="paragraph" w:styleId="5">
    <w:name w:val="Body Text Indent"/>
    <w:basedOn w:val="1"/>
    <w:next w:val="6"/>
    <w:qFormat/>
    <w:uiPriority w:val="0"/>
    <w:pPr>
      <w:spacing w:after="120"/>
      <w:ind w:left="420" w:leftChars="200"/>
    </w:pPr>
    <w:rPr>
      <w:szCs w:val="21"/>
    </w:rPr>
  </w:style>
  <w:style w:type="paragraph" w:styleId="6">
    <w:name w:val="Body Text Indent 2"/>
    <w:basedOn w:val="1"/>
    <w:next w:val="7"/>
    <w:unhideWhenUsed/>
    <w:qFormat/>
    <w:uiPriority w:val="99"/>
    <w:pPr>
      <w:spacing w:after="120" w:line="480" w:lineRule="auto"/>
      <w:ind w:left="420" w:leftChars="200"/>
    </w:pPr>
    <w:rPr>
      <w:rFonts w:ascii="Times New Roman" w:hAnsi="Times New Roman" w:eastAsia="宋体" w:cs="Times New Roman"/>
      <w:szCs w:val="24"/>
    </w:rPr>
  </w:style>
  <w:style w:type="paragraph" w:styleId="7">
    <w:name w:val="Body Text Indent 3"/>
    <w:basedOn w:val="1"/>
    <w:unhideWhenUsed/>
    <w:qFormat/>
    <w:uiPriority w:val="99"/>
    <w:pPr>
      <w:ind w:firstLine="640" w:firstLineChars="200"/>
    </w:pPr>
    <w:rPr>
      <w:rFonts w:ascii="仿宋_GB2312" w:hAnsi="Times New Roman" w:eastAsia="宋体"/>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4"/>
    <w:unhideWhenUsed/>
    <w:qFormat/>
    <w:uiPriority w:val="99"/>
    <w:pPr>
      <w:ind w:firstLine="420" w:firstLineChars="100"/>
    </w:pPr>
  </w:style>
  <w:style w:type="paragraph" w:styleId="12">
    <w:name w:val="Body Text First Indent 2"/>
    <w:basedOn w:val="5"/>
    <w:next w:val="11"/>
    <w:qFormat/>
    <w:uiPriority w:val="0"/>
    <w:pPr>
      <w:ind w:firstLine="420" w:firstLineChars="200"/>
    </w:pPr>
  </w:style>
  <w:style w:type="paragraph" w:customStyle="1" w:styleId="15">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2023-12-12T01:28:00Z</dcterms:created>
  <dc:creator>Administrator.it-202208221118</dc:creator>
  <cp:lastModifiedBy>I〜DOSE</cp:lastModifiedBy>
  <dcterms:modified xsi:type="dcterms:W3CDTF">2023-12-14T06:29:58Z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524D3652B95E4FFAB6B8B53C617136C3_12</vt:lpwstr>
  </property>
</Properties>
</file>