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4" w:author="100256-代文林" w:date="2023-11-14T15:26:33Z"/>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5" w:author="100256-代文林" w:date="2023-11-14T15:26:33Z"/>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del w:id="6" w:author="100256-代文林" w:date="2023-11-14T15:26:33Z"/>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val="0"/>
          <w:color w:val="000000" w:themeColor="text1"/>
          <w:sz w:val="44"/>
          <w:szCs w:val="44"/>
          <w:lang w:val="en-US" w:eastAsia="zh-CN"/>
          <w14:textFill>
            <w14:solidFill>
              <w14:schemeClr w14:val="tx1"/>
            </w14:solidFill>
          </w14:textFill>
        </w:rPr>
        <w:t>资产负债管理及利率定价项目群一期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项目技术</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要求</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drawing>
          <wp:inline distT="0" distB="0" distL="0" distR="0">
            <wp:extent cx="0" cy="0"/>
            <wp:effectExtent l="0" t="0" r="0" b="0"/>
            <wp:docPr id="1" name="leag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gsoft"/>
                    <pic:cNvPicPr>
                      <a:picLocks noChangeAspect="1"/>
                    </pic:cNvPicPr>
                  </pic:nvPicPr>
                  <pic:blipFill>
                    <a:blip r:embed="rId5"/>
                    <a:stretch>
                      <a:fillRect/>
                    </a:stretch>
                  </pic:blipFill>
                  <pic:spPr>
                    <a:xfrm flipH="1">
                      <a:off x="0" y="0"/>
                      <a:ext cx="0" cy="0"/>
                    </a:xfrm>
                    <a:prstGeom prst="rect">
                      <a:avLst/>
                    </a:prstGeom>
                  </pic:spPr>
                </pic:pic>
              </a:graphicData>
            </a:graphic>
          </wp:inline>
        </w:drawing>
      </w:r>
    </w:p>
    <w:p>
      <w:pPr>
        <w:pStyle w:val="21"/>
        <w:rPr>
          <w:del w:id="7" w:author="100256-代文林" w:date="2023-11-14T15:26:36Z"/>
          <w:rFonts w:hint="eastAsia" w:ascii="仿宋_GB2312" w:hAnsi="仿宋_GB2312" w:eastAsia="仿宋_GB2312" w:cs="仿宋_GB2312"/>
          <w:color w:val="000000" w:themeColor="text1"/>
          <w:sz w:val="24"/>
          <w14:textFill>
            <w14:solidFill>
              <w14:schemeClr w14:val="tx1"/>
            </w14:solidFill>
          </w14:textFill>
        </w:rPr>
      </w:pPr>
      <w:bookmarkStart w:id="81" w:name="_GoBack"/>
      <w:bookmarkEnd w:id="81"/>
    </w:p>
    <w:p>
      <w:pPr>
        <w:pStyle w:val="21"/>
        <w:rPr>
          <w:del w:id="8" w:author="100256-代文林" w:date="2023-11-14T15:26:36Z"/>
          <w:rFonts w:hint="eastAsia" w:ascii="仿宋_GB2312" w:hAnsi="仿宋_GB2312" w:eastAsia="仿宋_GB2312" w:cs="仿宋_GB2312"/>
          <w:color w:val="000000" w:themeColor="text1"/>
          <w:sz w:val="24"/>
          <w14:textFill>
            <w14:solidFill>
              <w14:schemeClr w14:val="tx1"/>
            </w14:solidFill>
          </w14:textFill>
        </w:rPr>
      </w:pPr>
    </w:p>
    <w:p>
      <w:pPr>
        <w:pStyle w:val="21"/>
        <w:rPr>
          <w:del w:id="9" w:author="100256-代文林" w:date="2023-11-14T15:26:36Z"/>
          <w:rFonts w:hint="eastAsia" w:ascii="仿宋_GB2312" w:hAnsi="仿宋_GB2312" w:eastAsia="仿宋_GB2312" w:cs="仿宋_GB2312"/>
          <w:color w:val="000000" w:themeColor="text1"/>
          <w:sz w:val="24"/>
          <w14:textFill>
            <w14:solidFill>
              <w14:schemeClr w14:val="tx1"/>
            </w14:solidFill>
          </w14:textFill>
        </w:rPr>
      </w:pPr>
    </w:p>
    <w:p>
      <w:pPr>
        <w:ind w:left="482" w:firstLine="0" w:firstLineChars="0"/>
        <w:rPr>
          <w:del w:id="10" w:author="100256-代文林" w:date="2023-11-14T15:26:36Z"/>
          <w:rFonts w:hint="eastAsia" w:ascii="仿宋_GB2312" w:hAnsi="仿宋_GB2312" w:eastAsia="仿宋_GB2312" w:cs="仿宋_GB2312"/>
          <w:b/>
          <w:bCs/>
          <w:color w:val="000000" w:themeColor="text1"/>
          <w:sz w:val="24"/>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p>
      <w:pPr>
        <w:spacing w:beforeLines="0" w:afterLines="0" w:line="400" w:lineRule="exact"/>
        <w:ind w:firstLine="600" w:firstLineChars="200"/>
        <w:outlineLvl w:val="0"/>
        <w:rPr>
          <w:rFonts w:hint="eastAsia" w:ascii="黑体" w:hAnsi="黑体" w:eastAsia="黑体" w:cs="黑体"/>
          <w:color w:val="000000" w:themeColor="text1"/>
          <w:sz w:val="30"/>
          <w:szCs w:val="30"/>
          <w:lang w:eastAsia="zh-CN"/>
          <w14:textFill>
            <w14:solidFill>
              <w14:schemeClr w14:val="tx1"/>
            </w14:solidFill>
          </w14:textFill>
        </w:rPr>
      </w:pPr>
      <w:r>
        <w:rPr>
          <w:rFonts w:hint="eastAsia" w:ascii="黑体" w:hAnsi="黑体" w:eastAsia="黑体" w:cs="黑体"/>
          <w:color w:val="000000" w:themeColor="text1"/>
          <w:sz w:val="30"/>
          <w:szCs w:val="30"/>
          <w:lang w:val="en-US" w:eastAsia="zh-CN"/>
          <w14:textFill>
            <w14:solidFill>
              <w14:schemeClr w14:val="tx1"/>
            </w14:solidFill>
          </w14:textFill>
        </w:rPr>
        <w:t>一</w:t>
      </w:r>
      <w:r>
        <w:rPr>
          <w:rFonts w:hint="eastAsia" w:ascii="黑体" w:hAnsi="黑体" w:eastAsia="黑体" w:cs="黑体"/>
          <w:color w:val="000000" w:themeColor="text1"/>
          <w:sz w:val="30"/>
          <w:szCs w:val="30"/>
          <w:lang w:eastAsia="zh-CN"/>
          <w14:textFill>
            <w14:solidFill>
              <w14:schemeClr w14:val="tx1"/>
            </w14:solidFill>
          </w14:textFill>
        </w:rPr>
        <w:t>、</w:t>
      </w:r>
      <w:r>
        <w:rPr>
          <w:rFonts w:hint="eastAsia" w:ascii="黑体" w:hAnsi="黑体" w:eastAsia="黑体" w:cs="黑体"/>
          <w:color w:val="000000" w:themeColor="text1"/>
          <w:sz w:val="30"/>
          <w:szCs w:val="30"/>
          <w:highlight w:val="none"/>
          <w:lang w:eastAsia="zh-CN"/>
          <w14:textFill>
            <w14:solidFill>
              <w14:schemeClr w14:val="tx1"/>
            </w14:solidFill>
          </w14:textFill>
        </w:rPr>
        <w:t>项目情况</w:t>
      </w:r>
    </w:p>
    <w:p>
      <w:pPr>
        <w:spacing w:beforeLines="0" w:afterLines="0" w:line="400" w:lineRule="exact"/>
        <w:ind w:firstLine="480" w:firstLineChars="200"/>
        <w:outlineLvl w:val="1"/>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w:t>
      </w:r>
      <w:r>
        <w:rPr>
          <w:rFonts w:hint="eastAsia" w:ascii="仿宋_GB2312" w:hAnsi="仿宋_GB2312" w:eastAsia="仿宋_GB2312" w:cs="仿宋_GB2312"/>
          <w:color w:val="000000" w:themeColor="text1"/>
          <w:sz w:val="24"/>
          <w:szCs w:val="24"/>
          <w:u w:val="none"/>
          <w:lang w:val="en-US" w:eastAsia="zh-CN"/>
          <w14:textFill>
            <w14:solidFill>
              <w14:schemeClr w14:val="tx1"/>
            </w14:solidFill>
          </w14:textFill>
        </w:rPr>
        <w:t>项目</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概况</w:t>
      </w:r>
    </w:p>
    <w:p>
      <w:pPr>
        <w:numPr>
          <w:ilvl w:val="0"/>
          <w:numId w:val="0"/>
        </w:numPr>
        <w:spacing w:beforeLines="0" w:afterLines="0" w:line="400" w:lineRule="exact"/>
        <w:ind w:firstLine="480" w:firstLineChars="200"/>
        <w:outlineLvl w:val="1"/>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为提升我社资产负债管理水平，实现资产负债与效益的平衡管理，提升业财精细度、前瞻性与智能化程度的保障支撑，结合相关工作要求，拟开展贵州农信资产负债管理及利率定价项目群一期（即：资产负债系统，包含流动性风险子系统（含头寸）、利率风险子系统、资产负债组合子系统咨询和实施）采购工作。</w:t>
      </w:r>
    </w:p>
    <w:p>
      <w:pPr>
        <w:numPr>
          <w:ilvl w:val="-1"/>
          <w:numId w:val="0"/>
        </w:numPr>
        <w:spacing w:beforeLines="0" w:afterLines="0" w:line="400" w:lineRule="exact"/>
        <w:ind w:left="0" w:firstLine="480" w:firstLineChars="200"/>
        <w:outlineLvl w:val="1"/>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（二）项目范围</w:t>
      </w:r>
    </w:p>
    <w:p>
      <w:pPr>
        <w:pageBreakBefore w:val="0"/>
        <w:widowControl w:val="0"/>
        <w:kinsoku/>
        <w:wordWrap/>
        <w:overflowPunct/>
        <w:topLinePunct w:val="0"/>
        <w:autoSpaceDE/>
        <w:autoSpaceDN/>
        <w:bidi w:val="0"/>
        <w:adjustRightInd/>
        <w:snapToGrid/>
        <w:spacing w:beforeLines="0" w:afterLines="0" w:line="400" w:lineRule="exact"/>
        <w:ind w:firstLine="480" w:firstLineChars="200"/>
        <w:textAlignment w:val="auto"/>
        <w:rPr>
          <w:rFonts w:hint="eastAsia" w:ascii="仿宋_GB2312" w:hAnsi="仿宋_GB2312" w:eastAsia="仿宋_GB2312" w:cs="仿宋_GB2312"/>
          <w:i w:val="0"/>
          <w:i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Cs w:val="0"/>
          <w:i w:val="0"/>
          <w:iCs w:val="0"/>
          <w:color w:val="000000" w:themeColor="text1"/>
          <w:kern w:val="2"/>
          <w:sz w:val="24"/>
          <w:szCs w:val="24"/>
          <w:lang w:val="en-US" w:eastAsia="zh-CN" w:bidi="ar-SA"/>
          <w14:textFill>
            <w14:solidFill>
              <w14:schemeClr w14:val="tx1"/>
            </w14:solidFill>
          </w14:textFill>
        </w:rPr>
        <w:t>本项目范围为按阶段</w:t>
      </w:r>
      <w:r>
        <w:rPr>
          <w:rFonts w:hint="eastAsia" w:ascii="仿宋_GB2312" w:hAnsi="仿宋_GB2312" w:eastAsia="仿宋_GB2312" w:cs="仿宋_GB2312"/>
          <w:i w:val="0"/>
          <w:iCs w:val="0"/>
          <w:color w:val="000000" w:themeColor="text1"/>
          <w:kern w:val="2"/>
          <w:sz w:val="24"/>
          <w:szCs w:val="24"/>
          <w:lang w:val="en-US" w:eastAsia="zh-CN" w:bidi="ar-SA"/>
          <w14:textFill>
            <w14:solidFill>
              <w14:schemeClr w14:val="tx1"/>
            </w14:solidFill>
          </w14:textFill>
        </w:rPr>
        <w:t>完成资产负债系统</w:t>
      </w:r>
      <w:r>
        <w:rPr>
          <w:rFonts w:hint="eastAsia" w:ascii="仿宋_GB2312" w:hAnsi="仿宋_GB2312" w:eastAsia="仿宋_GB2312" w:cs="仿宋_GB2312"/>
          <w:bCs w:val="0"/>
          <w:i w:val="0"/>
          <w:iCs w:val="0"/>
          <w:color w:val="000000" w:themeColor="text1"/>
          <w:kern w:val="2"/>
          <w:sz w:val="24"/>
          <w:szCs w:val="24"/>
          <w:lang w:val="en-US" w:eastAsia="zh-CN" w:bidi="ar-SA"/>
          <w14:textFill>
            <w14:solidFill>
              <w14:schemeClr w14:val="tx1"/>
            </w14:solidFill>
          </w14:textFill>
        </w:rPr>
        <w:t>落地实施，</w:t>
      </w:r>
      <w:r>
        <w:rPr>
          <w:rFonts w:hint="eastAsia" w:ascii="仿宋_GB2312" w:hAnsi="仿宋_GB2312" w:eastAsia="仿宋_GB2312" w:cs="仿宋_GB2312"/>
          <w:i w:val="0"/>
          <w:iCs w:val="0"/>
          <w:color w:val="000000" w:themeColor="text1"/>
          <w:kern w:val="2"/>
          <w:sz w:val="24"/>
          <w:szCs w:val="24"/>
          <w:lang w:val="en-US" w:eastAsia="zh-CN" w:bidi="ar-SA"/>
          <w14:textFill>
            <w14:solidFill>
              <w14:schemeClr w14:val="tx1"/>
            </w14:solidFill>
          </w14:textFill>
        </w:rPr>
        <w:t>包括需求分析、开发、测试、上线实施、运行维护等，具体可分为咨询内容与功能内容。</w:t>
      </w:r>
    </w:p>
    <w:p>
      <w:pPr>
        <w:pageBreakBefore w:val="0"/>
        <w:widowControl w:val="0"/>
        <w:kinsoku/>
        <w:wordWrap/>
        <w:overflowPunct/>
        <w:topLinePunct w:val="0"/>
        <w:autoSpaceDE/>
        <w:autoSpaceDN/>
        <w:bidi w:val="0"/>
        <w:adjustRightInd/>
        <w:snapToGrid/>
        <w:spacing w:beforeLines="0" w:afterLines="0" w:line="400" w:lineRule="exact"/>
        <w:ind w:firstLine="480" w:firstLineChars="200"/>
        <w:textAlignment w:val="auto"/>
        <w:rPr>
          <w:rFonts w:hint="eastAsia" w:ascii="仿宋_GB2312" w:hAnsi="仿宋_GB2312" w:eastAsia="仿宋_GB2312" w:cs="仿宋_GB2312"/>
          <w:i w:val="0"/>
          <w:iCs w:val="0"/>
          <w:color w:val="000000" w:themeColor="text1"/>
          <w:kern w:val="2"/>
          <w:sz w:val="24"/>
          <w:szCs w:val="24"/>
          <w:highlight w:val="yellow"/>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4"/>
          <w:szCs w:val="24"/>
          <w:highlight w:val="none"/>
          <w:lang w:val="en-US" w:eastAsia="zh-CN" w:bidi="ar-SA"/>
          <w14:textFill>
            <w14:solidFill>
              <w14:schemeClr w14:val="tx1"/>
            </w14:solidFill>
          </w14:textFill>
        </w:rPr>
        <w:t>咨询内容包括：资产负债系统建设方案，业务需求及软件需求，适用于多法人机构的个性化配置方案，上下游系统改造方案，数据标准及建设方案，系统上线配套制度，效果评估方案与推广方案。</w:t>
      </w:r>
    </w:p>
    <w:p>
      <w:pPr>
        <w:pageBreakBefore w:val="0"/>
        <w:widowControl w:val="0"/>
        <w:kinsoku/>
        <w:wordWrap/>
        <w:overflowPunct/>
        <w:topLinePunct w:val="0"/>
        <w:autoSpaceDE/>
        <w:autoSpaceDN/>
        <w:bidi w:val="0"/>
        <w:adjustRightInd/>
        <w:snapToGrid/>
        <w:spacing w:beforeLines="0" w:afterLines="0" w:line="400" w:lineRule="exact"/>
        <w:ind w:firstLine="480" w:firstLineChars="200"/>
        <w:textAlignment w:val="auto"/>
        <w:rPr>
          <w:rFonts w:hint="eastAsia" w:ascii="仿宋_GB2312" w:hAnsi="仿宋_GB2312" w:eastAsia="仿宋_GB2312" w:cs="仿宋_GB2312"/>
          <w:i w:val="0"/>
          <w:i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4"/>
          <w:szCs w:val="24"/>
          <w:lang w:val="en-US" w:eastAsia="zh-CN" w:bidi="ar-SA"/>
          <w14:textFill>
            <w14:solidFill>
              <w14:schemeClr w14:val="tx1"/>
            </w14:solidFill>
          </w14:textFill>
        </w:rPr>
        <w:t>功能内容以统一平台形式展现，包含以下子系统：</w:t>
      </w:r>
    </w:p>
    <w:p>
      <w:pPr>
        <w:pageBreakBefore w:val="0"/>
        <w:widowControl w:val="0"/>
        <w:kinsoku/>
        <w:wordWrap/>
        <w:overflowPunct/>
        <w:topLinePunct w:val="0"/>
        <w:autoSpaceDE/>
        <w:autoSpaceDN/>
        <w:bidi w:val="0"/>
        <w:adjustRightInd/>
        <w:snapToGrid/>
        <w:spacing w:beforeLines="0" w:afterLines="0" w:line="400" w:lineRule="exact"/>
        <w:ind w:firstLine="480" w:firstLineChars="200"/>
        <w:textAlignment w:val="auto"/>
        <w:rPr>
          <w:rFonts w:hint="eastAsia" w:ascii="仿宋_GB2312" w:hAnsi="仿宋_GB2312" w:eastAsia="仿宋_GB2312" w:cs="仿宋_GB2312"/>
          <w:i w:val="0"/>
          <w:i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4"/>
          <w:szCs w:val="24"/>
          <w:lang w:val="en-US" w:eastAsia="zh-CN" w:bidi="ar-SA"/>
          <w14:textFill>
            <w14:solidFill>
              <w14:schemeClr w14:val="tx1"/>
            </w14:solidFill>
          </w14:textFill>
        </w:rPr>
        <w:t>流动性风险管理（含头寸）子系统，为省联社及法人行社流动性风险管理、头寸管理提供有效的计量手段和管理工具，实现现金流测算和分析、指标监测和分析、监管报表报送和分析、实时头寸管理、限额管理、缺口管理、流动性压力测试分析。</w:t>
      </w:r>
    </w:p>
    <w:p>
      <w:pPr>
        <w:pageBreakBefore w:val="0"/>
        <w:widowControl w:val="0"/>
        <w:kinsoku/>
        <w:wordWrap/>
        <w:overflowPunct/>
        <w:topLinePunct w:val="0"/>
        <w:autoSpaceDE/>
        <w:autoSpaceDN/>
        <w:bidi w:val="0"/>
        <w:adjustRightInd/>
        <w:snapToGrid/>
        <w:spacing w:beforeLines="0" w:afterLines="0" w:line="400" w:lineRule="exact"/>
        <w:ind w:firstLine="480" w:firstLineChars="200"/>
        <w:textAlignment w:val="auto"/>
        <w:rPr>
          <w:rFonts w:hint="eastAsia" w:ascii="仿宋_GB2312" w:hAnsi="仿宋_GB2312" w:eastAsia="仿宋_GB2312" w:cs="仿宋_GB2312"/>
          <w:i w:val="0"/>
          <w:i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4"/>
          <w:szCs w:val="24"/>
          <w:lang w:val="en-US" w:eastAsia="zh-CN" w:bidi="ar-SA"/>
          <w14:textFill>
            <w14:solidFill>
              <w14:schemeClr w14:val="tx1"/>
            </w14:solidFill>
          </w14:textFill>
        </w:rPr>
        <w:t>银行账簿利率风险管理子系统，为省联社及法人行社管理利率波动对经营结果冲击提供有效的计量手段和管理工具，实现重定价缺口分析、久期分析、利率情景模拟分析、利率风险计量，符合《商业银行银行账簿利率风险管理指引》《商业银行资本管理办法》等有关监管要求。</w:t>
      </w:r>
    </w:p>
    <w:p>
      <w:pPr>
        <w:pageBreakBefore w:val="0"/>
        <w:widowControl w:val="0"/>
        <w:kinsoku/>
        <w:wordWrap/>
        <w:overflowPunct/>
        <w:topLinePunct w:val="0"/>
        <w:autoSpaceDE/>
        <w:autoSpaceDN/>
        <w:bidi w:val="0"/>
        <w:adjustRightInd/>
        <w:snapToGrid/>
        <w:spacing w:beforeLines="0" w:afterLines="0" w:line="400" w:lineRule="exact"/>
        <w:ind w:firstLine="480" w:firstLineChars="200"/>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i w:val="0"/>
          <w:iCs w:val="0"/>
          <w:color w:val="000000" w:themeColor="text1"/>
          <w:kern w:val="2"/>
          <w:sz w:val="24"/>
          <w:szCs w:val="24"/>
          <w:lang w:val="en-US" w:eastAsia="zh-CN" w:bidi="ar-SA"/>
          <w14:textFill>
            <w14:solidFill>
              <w14:schemeClr w14:val="tx1"/>
            </w14:solidFill>
          </w14:textFill>
        </w:rPr>
        <w:t>资产负债组合管理子系统，为省联社和法人行社资产负债组合管理提供计量手段和管理工具，配合多维度分析、调整和考核等环节控制偏离度，及时调整经营策略，保障可承受风险基础上的年度盈利目标的落地。在资产负债组合管理功能模块中实现：（1）自动生成省联社、法人行社资产负债组合透视图表；（2）按存量、续作、新增业务分别预测收益，按月生成省联社、法人行社资产负债组合情况报告，指导进行资产负债结构配置；（3）动态测算和预警监管指标，按业务综合排名平衡资源分配的优先顺序，及时调整经营策略；（4）整合资本、业务与财务管理，覆盖资产负债组合管理全部环节，实现闭环管理。</w:t>
      </w:r>
    </w:p>
    <w:p>
      <w:pPr>
        <w:pageBreakBefore w:val="0"/>
        <w:widowControl w:val="0"/>
        <w:numPr>
          <w:ilvl w:val="-1"/>
          <w:numId w:val="0"/>
        </w:numPr>
        <w:kinsoku/>
        <w:wordWrap/>
        <w:overflowPunct/>
        <w:topLinePunct w:val="0"/>
        <w:autoSpaceDE/>
        <w:autoSpaceDN/>
        <w:bidi w:val="0"/>
        <w:adjustRightInd/>
        <w:snapToGrid/>
        <w:spacing w:beforeLines="0" w:afterLines="0" w:line="400" w:lineRule="exact"/>
        <w:ind w:left="630" w:firstLine="0" w:firstLineChars="0"/>
        <w:textAlignment w:val="auto"/>
        <w:outlineLvl w:val="0"/>
        <w:rPr>
          <w:rFonts w:hint="eastAsia" w:ascii="黑体" w:hAnsi="黑体" w:eastAsia="黑体" w:cs="黑体"/>
          <w:color w:val="000000" w:themeColor="text1"/>
          <w:sz w:val="30"/>
          <w:szCs w:val="30"/>
          <w:highlight w:val="none"/>
          <w:lang w:eastAsia="zh-CN"/>
          <w14:textFill>
            <w14:solidFill>
              <w14:schemeClr w14:val="tx1"/>
            </w14:solidFill>
          </w14:textFill>
        </w:rPr>
      </w:pPr>
      <w:r>
        <w:rPr>
          <w:rFonts w:hint="eastAsia" w:ascii="黑体" w:hAnsi="黑体" w:eastAsia="黑体" w:cs="黑体"/>
          <w:color w:val="000000" w:themeColor="text1"/>
          <w:sz w:val="30"/>
          <w:szCs w:val="30"/>
          <w:highlight w:val="none"/>
          <w:lang w:val="en-US" w:eastAsia="zh-CN"/>
          <w14:textFill>
            <w14:solidFill>
              <w14:schemeClr w14:val="tx1"/>
            </w14:solidFill>
          </w14:textFill>
        </w:rPr>
        <w:t>二、</w:t>
      </w:r>
      <w:r>
        <w:rPr>
          <w:rFonts w:hint="eastAsia" w:ascii="黑体" w:hAnsi="黑体" w:eastAsia="黑体" w:cs="黑体"/>
          <w:color w:val="000000" w:themeColor="text1"/>
          <w:sz w:val="30"/>
          <w:szCs w:val="30"/>
          <w:highlight w:val="none"/>
          <w:lang w:eastAsia="zh-CN"/>
          <w14:textFill>
            <w14:solidFill>
              <w14:schemeClr w14:val="tx1"/>
            </w14:solidFill>
          </w14:textFill>
        </w:rPr>
        <w:t>功能需求</w:t>
      </w:r>
    </w:p>
    <w:p>
      <w:pPr>
        <w:keepNext w:val="0"/>
        <w:keepLines w:val="0"/>
        <w:pageBreakBefore w:val="0"/>
        <w:widowControl w:val="0"/>
        <w:numPr>
          <w:ilvl w:val="-1"/>
          <w:numId w:val="0"/>
        </w:numPr>
        <w:kinsoku/>
        <w:wordWrap/>
        <w:overflowPunct/>
        <w:topLinePunct w:val="0"/>
        <w:autoSpaceDE/>
        <w:autoSpaceDN/>
        <w:bidi w:val="0"/>
        <w:spacing w:beforeLines="0" w:afterLines="0" w:line="400" w:lineRule="exact"/>
        <w:ind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流动性风险管理（含头寸）子系统</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，为省联社及法人行社流动性风险管理、头寸管理提供有效的计量手段和管理工具，实现现金流测算和分析、指标监测和分析、监管报表报送和分析、实时头寸管理、限额管理、缺口管理、流动性压力测试分析。</w:t>
      </w:r>
    </w:p>
    <w:p>
      <w:pPr>
        <w:keepNext w:val="0"/>
        <w:keepLines w:val="0"/>
        <w:pageBreakBefore w:val="0"/>
        <w:widowControl w:val="0"/>
        <w:numPr>
          <w:ilvl w:val="-1"/>
          <w:numId w:val="0"/>
        </w:numPr>
        <w:kinsoku/>
        <w:wordWrap/>
        <w:overflowPunct/>
        <w:topLinePunct w:val="0"/>
        <w:autoSpaceDE/>
        <w:autoSpaceDN/>
        <w:bidi w:val="0"/>
        <w:spacing w:beforeLines="0" w:afterLines="0" w:line="400" w:lineRule="exact"/>
        <w:ind w:left="0" w:leftChars="0"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银行账簿利率风险管理子系统</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为省联社及法人行社管理利率波动对经营结果冲击提供有效的计量手段和管理工具，实现重定价缺口分析、久期分析、利率情景模拟分析、利率风险计量，符合《商业银行银行账簿利率风险管理指引》《商业银行资本管理办法》等有关监管要求。</w:t>
      </w:r>
    </w:p>
    <w:p>
      <w:pPr>
        <w:keepNext w:val="0"/>
        <w:keepLines w:val="0"/>
        <w:pageBreakBefore w:val="0"/>
        <w:widowControl w:val="0"/>
        <w:numPr>
          <w:ilvl w:val="-1"/>
          <w:numId w:val="0"/>
        </w:numPr>
        <w:kinsoku/>
        <w:wordWrap/>
        <w:overflowPunct/>
        <w:topLinePunct w:val="0"/>
        <w:autoSpaceDE/>
        <w:autoSpaceDN/>
        <w:bidi w:val="0"/>
        <w:spacing w:beforeLines="0" w:afterLines="0" w:line="400" w:lineRule="exact"/>
        <w:ind w:left="0" w:leftChars="0"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资产负债组合管理子系统</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为省联社和法人行社资产负债组合管理提供计量手段和管理工具，配合多维度分析、调整和考核等环节控制偏离度，及时调整经营策略，保障可承受风险基础上的年度盈利目标的落地。在资产负债组合管理功能模块中实现：（1）自动生成省联社、法人行社资产负债组合透视图表；（2）按存量、续作、新增业务分别预测收益，按月生成省联社、法人行社资产负债组合情况报告，指导进行资产负债结构配置；（3）动态测算和预警监管指标，按业务综合排名平衡资源分配的优先顺序，及时调整经营策略；（4）整合资本、业务与财务管理，覆盖资产负债组合管理全部环节，实现闭环管理。</w:t>
      </w:r>
    </w:p>
    <w:p>
      <w:pPr>
        <w:numPr>
          <w:ilvl w:val="-1"/>
          <w:numId w:val="0"/>
        </w:numPr>
        <w:spacing w:beforeLines="0" w:afterLines="0" w:line="400" w:lineRule="exact"/>
        <w:ind w:left="0" w:firstLine="600" w:firstLineChars="200"/>
        <w:outlineLvl w:val="0"/>
        <w:rPr>
          <w:rFonts w:hint="eastAsia" w:ascii="黑体" w:hAnsi="黑体" w:eastAsia="黑体" w:cs="黑体"/>
          <w:color w:val="000000" w:themeColor="text1"/>
          <w:sz w:val="30"/>
          <w:szCs w:val="30"/>
          <w:lang w:eastAsia="zh-CN"/>
          <w14:textFill>
            <w14:solidFill>
              <w14:schemeClr w14:val="tx1"/>
            </w14:solidFill>
          </w14:textFill>
        </w:rPr>
      </w:pPr>
      <w:r>
        <w:rPr>
          <w:rFonts w:hint="eastAsia" w:ascii="黑体" w:hAnsi="黑体" w:eastAsia="黑体" w:cs="黑体"/>
          <w:color w:val="000000" w:themeColor="text1"/>
          <w:sz w:val="30"/>
          <w:szCs w:val="30"/>
          <w:lang w:val="en-US" w:eastAsia="zh-CN"/>
          <w14:textFill>
            <w14:solidFill>
              <w14:schemeClr w14:val="tx1"/>
            </w14:solidFill>
          </w14:textFill>
        </w:rPr>
        <w:t>三、</w:t>
      </w:r>
      <w:r>
        <w:rPr>
          <w:rFonts w:hint="eastAsia" w:ascii="黑体" w:hAnsi="黑体" w:eastAsia="黑体" w:cs="黑体"/>
          <w:color w:val="000000" w:themeColor="text1"/>
          <w:sz w:val="30"/>
          <w:szCs w:val="30"/>
          <w:lang w:eastAsia="zh-CN"/>
          <w14:textFill>
            <w14:solidFill>
              <w14:schemeClr w14:val="tx1"/>
            </w14:solidFill>
          </w14:textFill>
        </w:rPr>
        <w:t>非功能需求</w:t>
      </w:r>
    </w:p>
    <w:p>
      <w:pPr>
        <w:numPr>
          <w:ilvl w:val="0"/>
          <w:numId w:val="4"/>
        </w:numPr>
        <w:spacing w:beforeLines="0" w:afterLines="0" w:line="400" w:lineRule="exact"/>
        <w:ind w:left="0" w:leftChars="0" w:firstLine="420" w:firstLineChars="0"/>
        <w:outlineLvl w:val="1"/>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IT架构要求</w:t>
      </w:r>
    </w:p>
    <w:p>
      <w:pPr>
        <w:pStyle w:val="23"/>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应用系统须支持招标方两地三中心架构下同系统多应用的安装部署、在线运行和同时使用，不受授权码（License）、用户数量及部署主机CPU数量等因素的限制。应用系统使用的第三方商用成品中间件（如TongWeb、宝兰德等）除外。</w:t>
      </w:r>
    </w:p>
    <w:p>
      <w:pPr>
        <w:numPr>
          <w:ilvl w:val="0"/>
          <w:numId w:val="4"/>
        </w:numPr>
        <w:spacing w:beforeLines="0" w:afterLines="0" w:line="40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0" w:name="_Toc500343581"/>
      <w:r>
        <w:rPr>
          <w:rFonts w:hint="eastAsia" w:ascii="仿宋_GB2312" w:hAnsi="仿宋_GB2312" w:eastAsia="仿宋_GB2312" w:cs="仿宋_GB2312"/>
          <w:color w:val="000000" w:themeColor="text1"/>
          <w:sz w:val="24"/>
          <w:lang w:val="en-US" w:eastAsia="zh-CN"/>
          <w14:textFill>
            <w14:solidFill>
              <w14:schemeClr w14:val="tx1"/>
            </w14:solidFill>
          </w14:textFill>
        </w:rPr>
        <w:t>应用架构要求</w:t>
      </w:r>
      <w:bookmarkEnd w:id="0"/>
    </w:p>
    <w:p>
      <w:pPr>
        <w:pStyle w:val="23"/>
        <w:spacing w:beforeLines="0" w:afterLines="0" w:line="400" w:lineRule="exact"/>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应用系统须满足招标方多级法人（省联社、审计中心、法人社/行）体系下业务管理和使用的同时，能支持招标方在其管辖范围内发起设立机构（如：村镇银行）的使用并满足应用和数据安全隔离性要求。</w:t>
      </w:r>
    </w:p>
    <w:p>
      <w:pPr>
        <w:numPr>
          <w:ilvl w:val="0"/>
          <w:numId w:val="4"/>
        </w:numPr>
        <w:spacing w:beforeLines="0" w:afterLines="0" w:line="40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1" w:name="_Toc500343582"/>
      <w:r>
        <w:rPr>
          <w:rFonts w:hint="eastAsia" w:ascii="仿宋_GB2312" w:hAnsi="仿宋_GB2312" w:eastAsia="仿宋_GB2312" w:cs="仿宋_GB2312"/>
          <w:color w:val="000000" w:themeColor="text1"/>
          <w:sz w:val="24"/>
          <w:lang w:val="en-US" w:eastAsia="zh-CN"/>
          <w14:textFill>
            <w14:solidFill>
              <w14:schemeClr w14:val="tx1"/>
            </w14:solidFill>
          </w14:textFill>
        </w:rPr>
        <w:t>硬件部署要求</w:t>
      </w:r>
      <w:bookmarkEnd w:id="1"/>
    </w:p>
    <w:p>
      <w:pPr>
        <w:pStyle w:val="23"/>
        <w:spacing w:beforeLines="0" w:afterLines="0" w:line="400" w:lineRule="exact"/>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应用系统支持主流国产操作系统、数据库、中间件等平台软件。应用系统须支持国产化 PC Server及国产化虚拟化等常用服务器硬件环境的安装部署。</w:t>
      </w:r>
    </w:p>
    <w:p>
      <w:pPr>
        <w:numPr>
          <w:ilvl w:val="0"/>
          <w:numId w:val="4"/>
        </w:numPr>
        <w:spacing w:beforeLines="0" w:afterLines="0" w:line="40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性能要求</w:t>
      </w:r>
    </w:p>
    <w:p>
      <w:pPr>
        <w:pStyle w:val="23"/>
        <w:numPr>
          <w:ilvl w:val="0"/>
          <w:numId w:val="5"/>
        </w:numPr>
        <w:spacing w:beforeLines="0" w:afterLines="0" w:line="400" w:lineRule="exact"/>
        <w:ind w:left="1265" w:leftChars="0" w:hanging="425"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系统整体性能支持我社未来8-10年的业务发展要求。</w:t>
      </w:r>
    </w:p>
    <w:p>
      <w:pPr>
        <w:pStyle w:val="23"/>
        <w:numPr>
          <w:ilvl w:val="0"/>
          <w:numId w:val="5"/>
        </w:numPr>
        <w:spacing w:beforeLines="0" w:afterLines="0" w:line="400" w:lineRule="exact"/>
        <w:ind w:left="1265" w:leftChars="0" w:hanging="425" w:firstLineChars="0"/>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并发用户数是指同一时刻系统处理的请求数，系统应支持实时联机业务并发用户数不小于500。</w:t>
      </w:r>
    </w:p>
    <w:p>
      <w:pPr>
        <w:pStyle w:val="23"/>
        <w:numPr>
          <w:ilvl w:val="0"/>
          <w:numId w:val="5"/>
        </w:numPr>
        <w:spacing w:beforeLines="0" w:afterLines="0" w:line="400" w:lineRule="exact"/>
        <w:ind w:left="1265" w:leftChars="0" w:hanging="425"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系统资源占用率：为了保证系统能够正常、稳定运行，推荐配置的服务器在业务最高峰或批处理运行期间CPU占用率和内存使用率不应超过70%。</w:t>
      </w:r>
    </w:p>
    <w:p>
      <w:pPr>
        <w:pStyle w:val="23"/>
        <w:numPr>
          <w:ilvl w:val="0"/>
          <w:numId w:val="5"/>
        </w:numPr>
        <w:spacing w:beforeLines="0" w:afterLines="0" w:line="400" w:lineRule="exact"/>
        <w:ind w:left="1265" w:leftChars="0" w:hanging="425"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配合我社制定性能测试计划和验收标准，以及测试方案、环境、工具和调优策略（相应的报告文档），配合完成压力测试，确保系统能满足上述性能容量要求。</w:t>
      </w:r>
    </w:p>
    <w:p>
      <w:pPr>
        <w:numPr>
          <w:ilvl w:val="0"/>
          <w:numId w:val="4"/>
        </w:numPr>
        <w:spacing w:beforeLines="0" w:afterLines="0" w:line="40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系统灵活性及扩展性要求</w:t>
      </w:r>
    </w:p>
    <w:p>
      <w:pPr>
        <w:pStyle w:val="23"/>
        <w:spacing w:beforeLines="0" w:afterLines="0" w:line="400" w:lineRule="exact"/>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要求系统支持主流国产化架构的硬件设备。要求系统具备松藕合特性，提供系统间标准交互接口。要求系统具备良好的可扩展性，支持面向贵州农信实际情况的二次开发及功能扩展。</w:t>
      </w:r>
    </w:p>
    <w:p>
      <w:pPr>
        <w:numPr>
          <w:ilvl w:val="0"/>
          <w:numId w:val="4"/>
        </w:numPr>
        <w:spacing w:beforeLines="0" w:afterLines="0" w:line="40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系统稳定性要求</w:t>
      </w:r>
    </w:p>
    <w:p>
      <w:pPr>
        <w:pStyle w:val="23"/>
        <w:spacing w:beforeLines="0" w:afterLines="0" w:line="400" w:lineRule="exact"/>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系统服务进程在上述“4.性能要求”的条件下能不间断运行，系统须支持7*24小时运行。</w:t>
      </w:r>
    </w:p>
    <w:p>
      <w:pPr>
        <w:numPr>
          <w:ilvl w:val="0"/>
          <w:numId w:val="4"/>
        </w:numPr>
        <w:spacing w:beforeLines="0" w:afterLines="0" w:line="40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安全性</w:t>
      </w:r>
    </w:p>
    <w:p>
      <w:pPr>
        <w:pStyle w:val="23"/>
        <w:spacing w:beforeLines="0" w:afterLines="0" w:line="400" w:lineRule="exact"/>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采用有效技术手段，确保系统运行稳定，且系统信息符合我行信息安全基线要求。系统必须在整体架构、网络结构、应用系统、数据库等方面采取安全措施，提供相应安全措施方案，以确保符合安全性要求。</w:t>
      </w:r>
    </w:p>
    <w:p>
      <w:pPr>
        <w:numPr>
          <w:ilvl w:val="0"/>
          <w:numId w:val="4"/>
        </w:numPr>
        <w:spacing w:beforeLines="0" w:afterLines="0" w:line="40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备份与恢复</w:t>
      </w:r>
    </w:p>
    <w:p>
      <w:pPr>
        <w:pStyle w:val="23"/>
        <w:numPr>
          <w:ilvl w:val="0"/>
          <w:numId w:val="6"/>
        </w:numPr>
        <w:spacing w:beforeLines="0" w:afterLines="0" w:line="400" w:lineRule="exact"/>
        <w:ind w:left="1265" w:leftChars="0" w:hanging="425"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支持两级或三级存储架构设计，确保数据不会因为任意单点损坏而丢失。</w:t>
      </w:r>
    </w:p>
    <w:p>
      <w:pPr>
        <w:pStyle w:val="23"/>
        <w:numPr>
          <w:ilvl w:val="0"/>
          <w:numId w:val="6"/>
        </w:numPr>
        <w:spacing w:beforeLines="0" w:afterLines="0" w:line="400" w:lineRule="exact"/>
        <w:ind w:left="1265" w:leftChars="0" w:hanging="425" w:firstLineChars="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建立系统应用及数据的定期备份机制，支持冷备和热备两种措施，对过期的备份文件设置定期清理机制，提供备份策略。</w:t>
      </w:r>
    </w:p>
    <w:p>
      <w:pPr>
        <w:pStyle w:val="23"/>
        <w:numPr>
          <w:ilvl w:val="0"/>
          <w:numId w:val="6"/>
        </w:numPr>
        <w:spacing w:beforeLines="0" w:afterLines="0" w:line="400" w:lineRule="exact"/>
        <w:ind w:left="1265" w:leftChars="0" w:hanging="425" w:firstLineChars="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建立异常恢复机制，支持应用的热备，有效防范单点故障，保障系统运行的可靠性。系统须支持基于备份文件实现系统应用及数据库的快速恢复。</w:t>
      </w:r>
    </w:p>
    <w:p>
      <w:pPr>
        <w:numPr>
          <w:ilvl w:val="0"/>
          <w:numId w:val="4"/>
        </w:numPr>
        <w:spacing w:beforeLines="0" w:afterLines="0" w:line="400" w:lineRule="exact"/>
        <w:ind w:left="0" w:leftChars="0" w:firstLine="420" w:firstLineChars="0"/>
        <w:outlineLvl w:val="1"/>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数据要求</w:t>
      </w:r>
    </w:p>
    <w:p>
      <w:pPr>
        <w:numPr>
          <w:ilvl w:val="0"/>
          <w:numId w:val="0"/>
        </w:numPr>
        <w:spacing w:beforeLines="0" w:afterLines="0" w:line="400" w:lineRule="exact"/>
        <w:ind w:left="420" w:leftChars="0" w:firstLine="480" w:firstLineChars="200"/>
        <w:outlineLvl w:val="9"/>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系统所产生的数据须符合行方制定的数据标准，如未达到，须按照数据标准对数据结构进行调整。</w:t>
      </w:r>
    </w:p>
    <w:p>
      <w:pPr>
        <w:spacing w:beforeLines="0" w:afterLines="0" w:line="400" w:lineRule="exact"/>
        <w:ind w:firstLine="1200" w:firstLineChars="400"/>
        <w:outlineLvl w:val="0"/>
        <w:rPr>
          <w:rFonts w:hint="eastAsia" w:ascii="黑体" w:hAnsi="黑体" w:eastAsia="黑体" w:cs="黑体"/>
          <w:color w:val="000000" w:themeColor="text1"/>
          <w:sz w:val="30"/>
          <w:szCs w:val="30"/>
          <w:lang w:eastAsia="zh-CN"/>
          <w14:textFill>
            <w14:solidFill>
              <w14:schemeClr w14:val="tx1"/>
            </w14:solidFill>
          </w14:textFill>
        </w:rPr>
      </w:pPr>
      <w:r>
        <w:rPr>
          <w:rFonts w:hint="eastAsia" w:ascii="黑体" w:hAnsi="黑体" w:eastAsia="黑体" w:cs="黑体"/>
          <w:color w:val="000000" w:themeColor="text1"/>
          <w:sz w:val="30"/>
          <w:szCs w:val="30"/>
          <w:lang w:val="en-US" w:eastAsia="zh-CN"/>
          <w14:textFill>
            <w14:solidFill>
              <w14:schemeClr w14:val="tx1"/>
            </w14:solidFill>
          </w14:textFill>
        </w:rPr>
        <w:t>四</w:t>
      </w:r>
      <w:r>
        <w:rPr>
          <w:rFonts w:hint="eastAsia" w:ascii="黑体" w:hAnsi="黑体" w:eastAsia="黑体" w:cs="黑体"/>
          <w:color w:val="000000" w:themeColor="text1"/>
          <w:sz w:val="30"/>
          <w:szCs w:val="30"/>
          <w:lang w:eastAsia="zh-CN"/>
          <w14:textFill>
            <w14:solidFill>
              <w14:schemeClr w14:val="tx1"/>
            </w14:solidFill>
          </w14:textFill>
        </w:rPr>
        <w:t>、项目实施要求</w:t>
      </w:r>
    </w:p>
    <w:p>
      <w:pPr>
        <w:numPr>
          <w:ilvl w:val="-1"/>
          <w:numId w:val="0"/>
        </w:numPr>
        <w:spacing w:beforeLines="0" w:afterLines="0" w:line="400" w:lineRule="exact"/>
        <w:ind w:left="420" w:leftChars="0" w:firstLine="480" w:firstLineChars="20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2" w:name="_Toc408561391"/>
      <w:bookmarkStart w:id="3" w:name="_Toc406425795"/>
      <w:bookmarkStart w:id="4" w:name="_Toc410477610"/>
      <w:r>
        <w:rPr>
          <w:rFonts w:hint="eastAsia" w:ascii="仿宋_GB2312" w:hAnsi="仿宋_GB2312" w:eastAsia="仿宋_GB2312" w:cs="仿宋_GB2312"/>
          <w:color w:val="000000" w:themeColor="text1"/>
          <w:sz w:val="24"/>
          <w:lang w:val="en-US" w:eastAsia="zh-CN"/>
          <w14:textFill>
            <w14:solidFill>
              <w14:schemeClr w14:val="tx1"/>
            </w14:solidFill>
          </w14:textFill>
        </w:rPr>
        <w:t>（一）总体要求</w:t>
      </w:r>
      <w:bookmarkEnd w:id="2"/>
      <w:bookmarkEnd w:id="3"/>
      <w:bookmarkEnd w:id="4"/>
    </w:p>
    <w:p>
      <w:pPr>
        <w:pStyle w:val="23"/>
        <w:spacing w:beforeLines="0" w:afterLines="0" w:line="400" w:lineRule="exact"/>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本项目的实施部分包含前期需求细化，软件的定制化开发、配置、安装、部署、联调、测试等工作。现场实施费用包含在项目整体报价之中，实施服务（含开发、测试、培训等各项现场实施服务）不另计费用。未按时、按质量提交各阶段产出物的，每发生1次，考核（即扣除）1%合同款。</w:t>
      </w:r>
    </w:p>
    <w:p>
      <w:pPr>
        <w:pStyle w:val="23"/>
        <w:spacing w:beforeLines="0" w:afterLines="0" w:line="400" w:lineRule="exact"/>
        <w:ind w:firstLineChars="0"/>
        <w:rPr>
          <w:rFonts w:hint="eastAsia" w:ascii="仿宋_GB2312" w:hAnsi="仿宋_GB2312" w:eastAsia="仿宋_GB2312" w:cs="仿宋_GB2312"/>
          <w:color w:val="000000" w:themeColor="text1"/>
          <w:kern w:val="2"/>
          <w:sz w:val="24"/>
          <w:szCs w:val="24"/>
          <w:highlight w:val="yellow"/>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本项目的咨询内容详见附件1。咨询服务费用包含在项目整体报价之中，不另计费用。未按时、按质量提交各阶段产出物的，每发生1次，考核（即扣除）1%合同款。</w:t>
      </w:r>
    </w:p>
    <w:p>
      <w:pPr>
        <w:numPr>
          <w:ilvl w:val="-1"/>
          <w:numId w:val="0"/>
        </w:numPr>
        <w:spacing w:beforeLines="0" w:afterLines="0" w:line="400" w:lineRule="exact"/>
        <w:ind w:left="420" w:leftChars="0" w:firstLine="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5" w:name="_Toc408561394"/>
      <w:bookmarkStart w:id="6" w:name="_Toc406425797"/>
      <w:bookmarkStart w:id="7" w:name="_Toc410477613"/>
      <w:r>
        <w:rPr>
          <w:rFonts w:hint="eastAsia" w:ascii="仿宋_GB2312" w:hAnsi="仿宋_GB2312" w:eastAsia="仿宋_GB2312" w:cs="仿宋_GB2312"/>
          <w:color w:val="000000" w:themeColor="text1"/>
          <w:sz w:val="24"/>
          <w:lang w:val="en-US" w:eastAsia="zh-CN"/>
          <w14:textFill>
            <w14:solidFill>
              <w14:schemeClr w14:val="tx1"/>
            </w14:solidFill>
          </w14:textFill>
        </w:rPr>
        <w:t>（二）需求分析</w:t>
      </w:r>
      <w:bookmarkEnd w:id="5"/>
      <w:bookmarkEnd w:id="6"/>
      <w:bookmarkEnd w:id="7"/>
    </w:p>
    <w:p>
      <w:pPr>
        <w:pStyle w:val="23"/>
        <w:spacing w:beforeLines="0" w:afterLines="0" w:line="400" w:lineRule="exact"/>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中标方与招标方确认和细化系统功能需求，结合系统性能指标，中标方提出合理的商用软硬件需求建议，以便招标方组织评估或采购。</w:t>
      </w:r>
    </w:p>
    <w:p>
      <w:pPr>
        <w:pStyle w:val="23"/>
        <w:spacing w:beforeLines="0" w:afterLines="0" w:line="400" w:lineRule="exact"/>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产出物：《需求规格说明书》</w:t>
      </w:r>
    </w:p>
    <w:p>
      <w:pPr>
        <w:numPr>
          <w:ilvl w:val="-1"/>
          <w:numId w:val="0"/>
        </w:numPr>
        <w:spacing w:beforeLines="0" w:afterLines="0" w:line="400" w:lineRule="exact"/>
        <w:ind w:left="420" w:leftChars="0" w:firstLine="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8" w:name="_Toc410477614"/>
      <w:bookmarkStart w:id="9" w:name="_Toc406425798"/>
      <w:bookmarkStart w:id="10" w:name="_Toc408561395"/>
      <w:r>
        <w:rPr>
          <w:rFonts w:hint="eastAsia" w:ascii="仿宋_GB2312" w:hAnsi="仿宋_GB2312" w:eastAsia="仿宋_GB2312" w:cs="仿宋_GB2312"/>
          <w:color w:val="000000" w:themeColor="text1"/>
          <w:sz w:val="24"/>
          <w:lang w:val="en-US" w:eastAsia="zh-CN"/>
          <w14:textFill>
            <w14:solidFill>
              <w14:schemeClr w14:val="tx1"/>
            </w14:solidFill>
          </w14:textFill>
        </w:rPr>
        <w:t>（三）系统设计</w:t>
      </w:r>
      <w:bookmarkEnd w:id="8"/>
      <w:bookmarkEnd w:id="9"/>
      <w:bookmarkEnd w:id="10"/>
    </w:p>
    <w:p>
      <w:pPr>
        <w:pStyle w:val="23"/>
        <w:spacing w:beforeLines="0" w:afterLines="0" w:line="400" w:lineRule="exact"/>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基于《需求规格说明书》完成系统功能设计、部署架构设计、数据库设计及其他相关内容的设计工作。</w:t>
      </w:r>
    </w:p>
    <w:p>
      <w:pPr>
        <w:pStyle w:val="23"/>
        <w:spacing w:beforeLines="0" w:afterLines="0" w:line="400" w:lineRule="exact"/>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产出物：《系统软件设计说明》、《系统数据库设计说明》</w:t>
      </w:r>
    </w:p>
    <w:p>
      <w:pPr>
        <w:numPr>
          <w:ilvl w:val="-1"/>
          <w:numId w:val="0"/>
        </w:numPr>
        <w:spacing w:beforeLines="0" w:afterLines="0" w:line="400" w:lineRule="exact"/>
        <w:ind w:left="420" w:leftChars="0" w:firstLine="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11" w:name="_Toc410477615"/>
      <w:bookmarkStart w:id="12" w:name="_Toc406425799"/>
      <w:bookmarkStart w:id="13" w:name="_Toc408561396"/>
      <w:r>
        <w:rPr>
          <w:rFonts w:hint="eastAsia" w:ascii="仿宋_GB2312" w:hAnsi="仿宋_GB2312" w:eastAsia="仿宋_GB2312" w:cs="仿宋_GB2312"/>
          <w:color w:val="000000" w:themeColor="text1"/>
          <w:sz w:val="24"/>
          <w:lang w:val="en-US" w:eastAsia="zh-CN"/>
          <w14:textFill>
            <w14:solidFill>
              <w14:schemeClr w14:val="tx1"/>
            </w14:solidFill>
          </w14:textFill>
        </w:rPr>
        <w:t>（四）开发与测试</w:t>
      </w:r>
      <w:bookmarkEnd w:id="11"/>
      <w:bookmarkEnd w:id="12"/>
      <w:bookmarkEnd w:id="13"/>
    </w:p>
    <w:p>
      <w:pPr>
        <w:pStyle w:val="23"/>
        <w:spacing w:beforeLines="0" w:afterLines="0" w:line="400" w:lineRule="exact"/>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中标方实施客户化定制开发，并组织进行系统测试，必须在招标方现场组织实施系统测试，并出具测试报告，包括系统功能测试、与关联系统和设备的集成测试、性能测试，要求出具详细的测试计划、测试报告，测试计划应包含完整的测试用例、数据样本等，并对发现的系统重大缺陷进行修复及回归测试。</w:t>
      </w:r>
    </w:p>
    <w:p>
      <w:pPr>
        <w:pStyle w:val="23"/>
        <w:spacing w:beforeLines="0" w:afterLines="0" w:line="400" w:lineRule="exact"/>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产出物：《系统测试计划》、《系统测试报告》可投入试运行的系统程序。</w:t>
      </w:r>
    </w:p>
    <w:p>
      <w:pPr>
        <w:numPr>
          <w:ilvl w:val="-1"/>
          <w:numId w:val="0"/>
        </w:numPr>
        <w:spacing w:beforeLines="0" w:afterLines="0" w:line="400" w:lineRule="exact"/>
        <w:ind w:left="420" w:leftChars="0" w:firstLine="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14" w:name="_Toc405152312"/>
      <w:bookmarkStart w:id="15" w:name="_Toc410477616"/>
      <w:bookmarkStart w:id="16" w:name="_Toc408561397"/>
      <w:bookmarkStart w:id="17" w:name="_Toc406677225"/>
      <w:bookmarkStart w:id="18" w:name="_Toc406425800"/>
      <w:r>
        <w:rPr>
          <w:rFonts w:hint="eastAsia" w:ascii="仿宋_GB2312" w:hAnsi="仿宋_GB2312" w:eastAsia="仿宋_GB2312" w:cs="仿宋_GB2312"/>
          <w:color w:val="000000" w:themeColor="text1"/>
          <w:sz w:val="24"/>
          <w:lang w:val="en-US" w:eastAsia="zh-CN"/>
          <w14:textFill>
            <w14:solidFill>
              <w14:schemeClr w14:val="tx1"/>
            </w14:solidFill>
          </w14:textFill>
        </w:rPr>
        <w:t>（五）系统使用培训</w:t>
      </w:r>
      <w:bookmarkEnd w:id="14"/>
      <w:bookmarkEnd w:id="15"/>
      <w:bookmarkEnd w:id="16"/>
      <w:bookmarkEnd w:id="17"/>
    </w:p>
    <w:p>
      <w:pPr>
        <w:pStyle w:val="23"/>
        <w:spacing w:beforeLines="0" w:afterLines="0" w:line="400" w:lineRule="exact"/>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中标方应按招标方要求制定详细的培训计划，培训对象包括系统开发、运维人员、业务人员等，并按计划组织开展系统推广培训，培训费用包含在实施费用中，不另计费用。</w:t>
      </w:r>
    </w:p>
    <w:p>
      <w:pPr>
        <w:numPr>
          <w:ilvl w:val="0"/>
          <w:numId w:val="0"/>
        </w:numPr>
        <w:spacing w:beforeLines="0" w:afterLines="0" w:line="400" w:lineRule="exact"/>
        <w:ind w:left="420" w:left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19" w:name="_Toc410477617"/>
      <w:bookmarkStart w:id="20" w:name="_Toc408561398"/>
      <w:r>
        <w:rPr>
          <w:rFonts w:hint="eastAsia" w:ascii="仿宋_GB2312" w:hAnsi="仿宋_GB2312" w:eastAsia="仿宋_GB2312" w:cs="仿宋_GB2312"/>
          <w:color w:val="000000" w:themeColor="text1"/>
          <w:sz w:val="24"/>
          <w:lang w:val="en-US" w:eastAsia="zh-CN"/>
          <w14:textFill>
            <w14:solidFill>
              <w14:schemeClr w14:val="tx1"/>
            </w14:solidFill>
          </w14:textFill>
        </w:rPr>
        <w:t>（六）试运行</w:t>
      </w:r>
      <w:bookmarkEnd w:id="18"/>
      <w:bookmarkEnd w:id="19"/>
      <w:bookmarkEnd w:id="20"/>
    </w:p>
    <w:p>
      <w:pPr>
        <w:pStyle w:val="23"/>
        <w:spacing w:beforeLines="0" w:afterLines="0" w:line="400" w:lineRule="exact"/>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中标人应完成系统安装集成，包括操作系统、数据库、中间件、应用系统安装及优化，其中操作系统、数据库、中间件等第三方商用软件由招标方提供。</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中标方应按招标方要求，配合组织实施系统试运行工作，修复试运行过程中出现的问题，编写《试运行报告》。</w:t>
      </w:r>
    </w:p>
    <w:p>
      <w:pPr>
        <w:pStyle w:val="23"/>
        <w:spacing w:beforeLines="0" w:afterLines="0" w:line="400" w:lineRule="exact"/>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产出物：《系统安装手册》、《系统用户手册》、《系统运维手册》、《系统试运行报告》。</w:t>
      </w:r>
    </w:p>
    <w:p>
      <w:pPr>
        <w:numPr>
          <w:ilvl w:val="0"/>
          <w:numId w:val="0"/>
        </w:numPr>
        <w:spacing w:beforeLines="0" w:afterLines="0" w:line="400" w:lineRule="exact"/>
        <w:ind w:left="420" w:left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21" w:name="_Toc406425801"/>
      <w:bookmarkStart w:id="22" w:name="_Toc408561399"/>
      <w:bookmarkStart w:id="23" w:name="_Toc410477618"/>
      <w:r>
        <w:rPr>
          <w:rFonts w:hint="eastAsia" w:ascii="仿宋_GB2312" w:hAnsi="仿宋_GB2312" w:eastAsia="仿宋_GB2312" w:cs="仿宋_GB2312"/>
          <w:color w:val="000000" w:themeColor="text1"/>
          <w:sz w:val="24"/>
          <w:lang w:val="en-US" w:eastAsia="zh-CN"/>
          <w14:textFill>
            <w14:solidFill>
              <w14:schemeClr w14:val="tx1"/>
            </w14:solidFill>
          </w14:textFill>
        </w:rPr>
        <w:t>（七）正式投产</w:t>
      </w:r>
      <w:bookmarkEnd w:id="21"/>
      <w:bookmarkEnd w:id="22"/>
      <w:bookmarkEnd w:id="23"/>
    </w:p>
    <w:p>
      <w:pPr>
        <w:pStyle w:val="23"/>
        <w:spacing w:beforeLines="0" w:afterLines="0" w:line="400" w:lineRule="exact"/>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试运行成功后，按招标方要求完成系统投产上线工作。</w:t>
      </w:r>
    </w:p>
    <w:p>
      <w:pPr>
        <w:pStyle w:val="23"/>
        <w:spacing w:beforeLines="0" w:afterLines="0" w:line="400" w:lineRule="exact"/>
        <w:ind w:firstLineChars="0"/>
        <w:rPr>
          <w:rFonts w:hint="eastAsia" w:ascii="黑体" w:hAnsi="黑体" w:eastAsia="黑体" w:cs="黑体"/>
          <w:color w:val="000000" w:themeColor="text1"/>
          <w:sz w:val="30"/>
          <w:szCs w:val="30"/>
          <w:lang w:val="en-US" w:eastAsia="zh-CN"/>
          <w14:textFill>
            <w14:solidFill>
              <w14:schemeClr w14:val="tx1"/>
            </w14:solidFill>
          </w14:textFill>
        </w:rPr>
      </w:pPr>
      <w:r>
        <w:rPr>
          <w:rFonts w:hint="eastAsia" w:ascii="黑体" w:hAnsi="黑体" w:eastAsia="黑体" w:cs="黑体"/>
          <w:color w:val="000000" w:themeColor="text1"/>
          <w:sz w:val="30"/>
          <w:szCs w:val="30"/>
          <w:lang w:val="en-US" w:eastAsia="zh-CN"/>
          <w14:textFill>
            <w14:solidFill>
              <w14:schemeClr w14:val="tx1"/>
            </w14:solidFill>
          </w14:textFill>
        </w:rPr>
        <w:t>五、项目管理要求</w:t>
      </w:r>
    </w:p>
    <w:p>
      <w:pPr>
        <w:pStyle w:val="4"/>
        <w:keepNext w:val="0"/>
        <w:keepLines w:val="0"/>
        <w:pageBreakBefore w:val="0"/>
        <w:widowControl w:val="0"/>
        <w:numPr>
          <w:ilvl w:val="1"/>
          <w:numId w:val="0"/>
        </w:numPr>
        <w:tabs>
          <w:tab w:val="left" w:pos="0"/>
        </w:tabs>
        <w:kinsoku/>
        <w:wordWrap/>
        <w:overflowPunct w:val="0"/>
        <w:topLinePunct w:val="0"/>
        <w:bidi w:val="0"/>
        <w:adjustRightInd/>
        <w:snapToGrid/>
        <w:spacing w:before="0" w:beforeLines="0" w:after="0" w:afterLines="0" w:line="400" w:lineRule="exact"/>
        <w:ind w:leftChars="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24" w:name="_Toc247358690"/>
      <w:bookmarkStart w:id="25" w:name="_Toc423613179"/>
      <w:bookmarkStart w:id="26" w:name="_Toc246492792"/>
      <w:bookmarkStart w:id="27" w:name="_Toc20185"/>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中标方项目组织架构</w:t>
      </w:r>
      <w:bookmarkEnd w:id="24"/>
      <w:bookmarkEnd w:id="25"/>
      <w:bookmarkEnd w:id="26"/>
      <w:bookmarkEnd w:id="27"/>
    </w:p>
    <w:p>
      <w:pPr>
        <w:spacing w:beforeLines="0" w:afterLines="0"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需组建完备的项目团队负责本项目建设，团队应至少包含一名项目经理、若干名工程师，派驻现场的技术人员应具备一定的投标产品（或类似）项目实施经验，招标方有权对派驻现场的技术人员进行水平考核，对于不合格的，有权要求中标方予以更换。</w:t>
      </w:r>
    </w:p>
    <w:p>
      <w:pPr>
        <w:spacing w:beforeLines="0" w:afterLines="0"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项目实施过程中，中标方所有项目组成员需遵守：</w:t>
      </w:r>
    </w:p>
    <w:p>
      <w:pPr>
        <w:pStyle w:val="24"/>
        <w:widowControl/>
        <w:numPr>
          <w:ilvl w:val="0"/>
          <w:numId w:val="7"/>
        </w:numPr>
        <w:tabs>
          <w:tab w:val="left" w:pos="0"/>
        </w:tabs>
        <w:spacing w:beforeLines="0" w:afterLines="0" w:line="400" w:lineRule="exact"/>
        <w:ind w:left="0" w:firstLine="480" w:firstLineChars="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必须在招标方现场办公；</w:t>
      </w:r>
    </w:p>
    <w:p>
      <w:pPr>
        <w:pStyle w:val="24"/>
        <w:widowControl/>
        <w:numPr>
          <w:ilvl w:val="0"/>
          <w:numId w:val="7"/>
        </w:numPr>
        <w:tabs>
          <w:tab w:val="left" w:pos="0"/>
        </w:tabs>
        <w:spacing w:beforeLines="0" w:afterLines="0" w:line="400" w:lineRule="exact"/>
        <w:ind w:left="0" w:firstLine="480" w:firstLineChars="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不在现场超过1天须向招标方提出书面申请，获得同意后方可离开； </w:t>
      </w:r>
    </w:p>
    <w:p>
      <w:pPr>
        <w:pStyle w:val="24"/>
        <w:widowControl/>
        <w:numPr>
          <w:ilvl w:val="0"/>
          <w:numId w:val="7"/>
        </w:numPr>
        <w:tabs>
          <w:tab w:val="left" w:pos="0"/>
        </w:tabs>
        <w:spacing w:beforeLines="0" w:afterLines="0" w:line="400" w:lineRule="exact"/>
        <w:ind w:left="0" w:firstLine="480" w:firstLineChars="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人员更换须向招标方提出书面申请，获得同意后方可更换；</w:t>
      </w:r>
    </w:p>
    <w:p>
      <w:pPr>
        <w:pStyle w:val="24"/>
        <w:widowControl/>
        <w:numPr>
          <w:ilvl w:val="0"/>
          <w:numId w:val="7"/>
        </w:numPr>
        <w:tabs>
          <w:tab w:val="left" w:pos="0"/>
        </w:tabs>
        <w:spacing w:beforeLines="0" w:afterLines="0" w:line="400" w:lineRule="exact"/>
        <w:ind w:left="0" w:firstLine="480" w:firstLineChars="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必须遵守招标方现场工作纪律规定。</w:t>
      </w:r>
    </w:p>
    <w:p>
      <w:pPr>
        <w:pStyle w:val="6"/>
        <w:bidi w:val="0"/>
        <w:spacing w:beforeLines="0" w:afterLines="0" w:line="400" w:lineRule="exact"/>
        <w:ind w:left="0" w:leftChars="0" w:firstLine="402" w:firstLineChars="0"/>
        <w:rPr>
          <w:rFonts w:hint="eastAsia" w:ascii="仿宋_GB2312" w:hAnsi="仿宋_GB2312" w:eastAsia="仿宋_GB2312" w:cs="仿宋_GB2312"/>
          <w:color w:val="000000" w:themeColor="text1"/>
          <w14:textFill>
            <w14:solidFill>
              <w14:schemeClr w14:val="tx1"/>
            </w14:solidFill>
          </w14:textFill>
        </w:rPr>
      </w:pPr>
      <w:bookmarkStart w:id="28" w:name="_Toc423613180"/>
      <w:bookmarkStart w:id="29" w:name="_Toc247358693"/>
      <w:r>
        <w:rPr>
          <w:rFonts w:hint="eastAsia" w:ascii="仿宋_GB2312" w:hAnsi="仿宋_GB2312" w:eastAsia="仿宋_GB2312" w:cs="仿宋_GB2312"/>
          <w:color w:val="000000" w:themeColor="text1"/>
          <w14:textFill>
            <w14:solidFill>
              <w14:schemeClr w14:val="tx1"/>
            </w14:solidFill>
          </w14:textFill>
        </w:rPr>
        <w:t>中标方项目经理</w:t>
      </w:r>
      <w:bookmarkEnd w:id="28"/>
      <w:bookmarkEnd w:id="29"/>
    </w:p>
    <w:p>
      <w:pPr>
        <w:numPr>
          <w:ilvl w:val="0"/>
          <w:numId w:val="8"/>
        </w:numPr>
        <w:spacing w:beforeLines="0" w:afterLines="0" w:line="400" w:lineRule="exact"/>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中标方须</w:t>
      </w:r>
      <w:bookmarkStart w:id="30" w:name="OLE_LINK7"/>
      <w:bookmarkStart w:id="31" w:name="OLE_LINK10"/>
      <w:r>
        <w:rPr>
          <w:rFonts w:hint="eastAsia" w:ascii="仿宋_GB2312" w:hAnsi="仿宋_GB2312" w:eastAsia="仿宋_GB2312" w:cs="仿宋_GB2312"/>
          <w:color w:val="000000" w:themeColor="text1"/>
          <w:sz w:val="24"/>
          <w:szCs w:val="24"/>
          <w14:textFill>
            <w14:solidFill>
              <w14:schemeClr w14:val="tx1"/>
            </w14:solidFill>
          </w14:textFill>
        </w:rPr>
        <w:t>指</w:t>
      </w:r>
      <w:bookmarkEnd w:id="30"/>
      <w:bookmarkEnd w:id="31"/>
      <w:r>
        <w:rPr>
          <w:rFonts w:hint="eastAsia" w:ascii="仿宋_GB2312" w:hAnsi="仿宋_GB2312" w:eastAsia="仿宋_GB2312" w:cs="仿宋_GB2312"/>
          <w:color w:val="000000" w:themeColor="text1"/>
          <w:sz w:val="24"/>
          <w:szCs w:val="24"/>
          <w14:textFill>
            <w14:solidFill>
              <w14:schemeClr w14:val="tx1"/>
            </w14:solidFill>
          </w14:textFill>
        </w:rPr>
        <w:t>派项目经理一人，且须和投标文件的项目经理一致；</w:t>
      </w:r>
    </w:p>
    <w:p>
      <w:pPr>
        <w:numPr>
          <w:ilvl w:val="0"/>
          <w:numId w:val="8"/>
        </w:numPr>
        <w:spacing w:beforeLines="0" w:afterLines="0" w:line="400" w:lineRule="exact"/>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项目经理须熟练掌握项目管理、信息安全和质量管理相关知识，有3年以上省级大型软件项目的管理经验；</w:t>
      </w:r>
    </w:p>
    <w:p>
      <w:pPr>
        <w:numPr>
          <w:ilvl w:val="0"/>
          <w:numId w:val="0"/>
        </w:numPr>
        <w:spacing w:beforeLines="0" w:afterLines="0" w:line="400" w:lineRule="exact"/>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项目全程项目经理必须在现场工作，负责项目管理、协调和沟通等工作；</w:t>
      </w:r>
    </w:p>
    <w:p>
      <w:pPr>
        <w:numPr>
          <w:ilvl w:val="0"/>
          <w:numId w:val="0"/>
        </w:numPr>
        <w:spacing w:beforeLines="0" w:afterLines="0" w:line="400" w:lineRule="exact"/>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项目经理对中标方已经完成的工作负有最终责任。项目经理必须使本项目在预算范围内按时优质完成；</w:t>
      </w:r>
    </w:p>
    <w:p>
      <w:pPr>
        <w:numPr>
          <w:ilvl w:val="0"/>
          <w:numId w:val="0"/>
        </w:numPr>
        <w:spacing w:beforeLines="0" w:afterLines="0" w:line="400" w:lineRule="exact"/>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项目经理应具有代表中标方全权负责本项目的商务和技术的权力。项目经理能代表中标方签收招标方出具的相关项目管理文件；</w:t>
      </w:r>
    </w:p>
    <w:p>
      <w:pPr>
        <w:numPr>
          <w:ilvl w:val="0"/>
          <w:numId w:val="0"/>
        </w:numPr>
        <w:spacing w:beforeLines="0" w:afterLines="0" w:line="400" w:lineRule="exact"/>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14:textFill>
            <w14:solidFill>
              <w14:schemeClr w14:val="tx1"/>
            </w14:solidFill>
          </w14:textFill>
        </w:rPr>
        <w:t>在项目经理工作不得力的情况下（如权力不够、技术不熟、管理不当等），招标方有权要求中标方更换项目经理。由此造成的项目进度的延误，由中标方承担责任。</w:t>
      </w:r>
    </w:p>
    <w:p>
      <w:pPr>
        <w:numPr>
          <w:ilvl w:val="0"/>
          <w:numId w:val="0"/>
        </w:numPr>
        <w:spacing w:beforeLines="0" w:afterLines="0" w:line="400" w:lineRule="exact"/>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14:textFill>
            <w14:solidFill>
              <w14:schemeClr w14:val="tx1"/>
            </w14:solidFill>
          </w14:textFill>
        </w:rPr>
        <w:t>投标方必须满足上述项目管理人事要求，其应标所报人数及资质将作为评标依据及中标后的考核依据。</w:t>
      </w:r>
    </w:p>
    <w:p>
      <w:pPr>
        <w:pStyle w:val="6"/>
        <w:bidi w:val="0"/>
        <w:spacing w:beforeLines="0" w:afterLines="0" w:line="400" w:lineRule="exact"/>
        <w:ind w:left="0" w:leftChars="0" w:firstLine="402" w:firstLineChars="0"/>
        <w:rPr>
          <w:rFonts w:hint="eastAsia" w:ascii="仿宋_GB2312" w:hAnsi="仿宋_GB2312" w:eastAsia="仿宋_GB2312" w:cs="仿宋_GB2312"/>
          <w:color w:val="000000" w:themeColor="text1"/>
          <w14:textFill>
            <w14:solidFill>
              <w14:schemeClr w14:val="tx1"/>
            </w14:solidFill>
          </w14:textFill>
        </w:rPr>
      </w:pPr>
      <w:bookmarkStart w:id="32" w:name="_Toc247358694"/>
      <w:bookmarkStart w:id="33" w:name="_Toc423613181"/>
      <w:r>
        <w:rPr>
          <w:rFonts w:hint="eastAsia" w:ascii="仿宋_GB2312" w:hAnsi="仿宋_GB2312" w:eastAsia="仿宋_GB2312" w:cs="仿宋_GB2312"/>
          <w:color w:val="000000" w:themeColor="text1"/>
          <w14:textFill>
            <w14:solidFill>
              <w14:schemeClr w14:val="tx1"/>
            </w14:solidFill>
          </w14:textFill>
        </w:rPr>
        <w:t>中标方项目团队</w:t>
      </w:r>
      <w:bookmarkEnd w:id="32"/>
      <w:bookmarkEnd w:id="33"/>
    </w:p>
    <w:p>
      <w:pPr>
        <w:numPr>
          <w:ilvl w:val="0"/>
          <w:numId w:val="0"/>
        </w:numPr>
        <w:spacing w:beforeLines="0" w:afterLines="0" w:line="400" w:lineRule="exact"/>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投标人应该在对本项目具体工作内容充分理解和切合实际的项目干系人分析基础上对于项目整体人员需求提出估计和建议，并对项目组织架构提出合理化建议。投标方应标时，须提交项目组织结构图，并对项目角色和职责进行描述。</w:t>
      </w:r>
    </w:p>
    <w:p>
      <w:pPr>
        <w:numPr>
          <w:ilvl w:val="0"/>
          <w:numId w:val="0"/>
        </w:numPr>
        <w:spacing w:beforeLines="0" w:afterLines="0" w:line="400" w:lineRule="exact"/>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投标方应标时，须按以下格式提交项目组成员名单及简历。简历须包括相关工作年限、学历、相关资质证书、以往参与项目情况、在本项目承担的角色等。</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95"/>
        <w:gridCol w:w="849"/>
        <w:gridCol w:w="1156"/>
        <w:gridCol w:w="1733"/>
        <w:gridCol w:w="28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Lines="0" w:afterLines="0" w:line="400" w:lineRule="exact"/>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序号</w:t>
            </w:r>
          </w:p>
        </w:tc>
        <w:tc>
          <w:tcPr>
            <w:tcW w:w="20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Lines="0" w:afterLines="0" w:line="400" w:lineRule="exact"/>
              <w:ind w:firstLine="420"/>
              <w:rPr>
                <w:rFonts w:hint="eastAsia" w:ascii="仿宋_GB2312" w:hAnsi="仿宋_GB2312" w:eastAsia="仿宋_GB2312" w:cs="仿宋_GB2312"/>
                <w:color w:val="000000" w:themeColor="text1"/>
                <w:sz w:val="24"/>
                <w:szCs w:val="24"/>
                <w14:textFill>
                  <w14:solidFill>
                    <w14:schemeClr w14:val="tx1"/>
                  </w14:solidFill>
                </w14:textFill>
              </w:rPr>
            </w:pPr>
          </w:p>
        </w:tc>
        <w:tc>
          <w:tcPr>
            <w:tcW w:w="1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Lines="0" w:afterLines="0" w:line="400" w:lineRule="exact"/>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姓名</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Lines="0" w:afterLines="0" w:line="400" w:lineRule="exact"/>
              <w:ind w:firstLine="42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18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Lines="0" w:afterLines="0" w:line="400" w:lineRule="exact"/>
              <w:ind w:firstLine="0" w:firstLineChars="0"/>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相关工作年限</w:t>
            </w:r>
          </w:p>
        </w:tc>
        <w:tc>
          <w:tcPr>
            <w:tcW w:w="20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Lines="0" w:afterLines="0" w:line="400" w:lineRule="exact"/>
              <w:ind w:firstLine="420"/>
              <w:rPr>
                <w:rFonts w:hint="eastAsia" w:ascii="仿宋_GB2312" w:hAnsi="仿宋_GB2312" w:eastAsia="仿宋_GB2312" w:cs="仿宋_GB2312"/>
                <w:color w:val="000000" w:themeColor="text1"/>
                <w:sz w:val="24"/>
                <w:szCs w:val="24"/>
                <w14:textFill>
                  <w14:solidFill>
                    <w14:schemeClr w14:val="tx1"/>
                  </w14:solidFill>
                </w14:textFill>
              </w:rPr>
            </w:pPr>
          </w:p>
        </w:tc>
        <w:tc>
          <w:tcPr>
            <w:tcW w:w="1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Lines="0" w:afterLines="0" w:line="400" w:lineRule="exact"/>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毕业院校</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Lines="0" w:afterLines="0" w:line="400" w:lineRule="exact"/>
              <w:ind w:firstLine="42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Lines="0" w:afterLines="0" w:line="400" w:lineRule="exact"/>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专业</w:t>
            </w:r>
          </w:p>
        </w:tc>
        <w:tc>
          <w:tcPr>
            <w:tcW w:w="20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p>
        </w:tc>
        <w:tc>
          <w:tcPr>
            <w:tcW w:w="1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Lines="0" w:afterLines="0" w:line="400" w:lineRule="exact"/>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学历</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Lines="0" w:afterLines="0" w:line="400" w:lineRule="exact"/>
              <w:ind w:firstLine="42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Lines="0" w:afterLines="0" w:line="400" w:lineRule="exact"/>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在本项目承担的角色</w:t>
            </w:r>
          </w:p>
        </w:tc>
        <w:tc>
          <w:tcPr>
            <w:tcW w:w="57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Lines="0" w:afterLines="0" w:line="400" w:lineRule="exact"/>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相关资质证书</w:t>
            </w:r>
          </w:p>
        </w:tc>
        <w:tc>
          <w:tcPr>
            <w:tcW w:w="57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Lines="0" w:afterLines="0" w:line="400" w:lineRule="exact"/>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以往参与项目情况</w:t>
            </w:r>
          </w:p>
        </w:tc>
        <w:tc>
          <w:tcPr>
            <w:tcW w:w="57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widowControl/>
              <w:spacing w:beforeLines="0" w:afterLines="0" w:line="400" w:lineRule="exact"/>
              <w:ind w:firstLine="420"/>
              <w:rPr>
                <w:rFonts w:hint="eastAsia" w:ascii="仿宋_GB2312" w:hAnsi="仿宋_GB2312" w:eastAsia="仿宋_GB2312" w:cs="仿宋_GB2312"/>
                <w:color w:val="000000" w:themeColor="text1"/>
                <w:sz w:val="24"/>
                <w:szCs w:val="24"/>
                <w14:textFill>
                  <w14:solidFill>
                    <w14:schemeClr w14:val="tx1"/>
                  </w14:solidFill>
                </w14:textFill>
              </w:rPr>
            </w:pPr>
          </w:p>
        </w:tc>
      </w:tr>
    </w:tbl>
    <w:p>
      <w:pPr>
        <w:numPr>
          <w:ilvl w:val="0"/>
          <w:numId w:val="0"/>
        </w:numPr>
        <w:spacing w:beforeLines="0" w:afterLines="0" w:line="400" w:lineRule="exact"/>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中标方必须保证参与项目实施人员的数量应能够保证项目进度与质量；</w:t>
      </w:r>
    </w:p>
    <w:p>
      <w:pPr>
        <w:numPr>
          <w:ilvl w:val="0"/>
          <w:numId w:val="0"/>
        </w:numPr>
        <w:spacing w:beforeLines="0" w:afterLines="0" w:line="400" w:lineRule="exact"/>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招标方有对中标方参与项目人员进行面试的权力。对于不满足招标方要求的人员，招标方有权要求中标方无条件更换，且不能影响项目进度；</w:t>
      </w:r>
    </w:p>
    <w:p>
      <w:pPr>
        <w:keepNext w:val="0"/>
        <w:keepLines w:val="0"/>
        <w:pageBreakBefore w:val="0"/>
        <w:numPr>
          <w:ilvl w:val="0"/>
          <w:numId w:val="0"/>
        </w:numPr>
        <w:kinsoku/>
        <w:wordWrap/>
        <w:topLinePunct w:val="0"/>
        <w:bidi w:val="0"/>
        <w:adjustRightInd/>
        <w:snapToGrid/>
        <w:spacing w:beforeLines="0" w:afterLines="0" w:line="400" w:lineRule="exact"/>
        <w:ind w:left="480"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中标方必须保证人员组织的稳定性，在系统投入试运行前，中标方不得抽调项目组成员。在本项目结束前，参加本项目的人员变动必须取得招标方同意，并立即安排拟订候补人员予以补充。招标方保留拒绝中标方人员变更要求的权利；</w:t>
      </w:r>
    </w:p>
    <w:p>
      <w:pPr>
        <w:pStyle w:val="4"/>
        <w:keepNext w:val="0"/>
        <w:keepLines w:val="0"/>
        <w:pageBreakBefore w:val="0"/>
        <w:numPr>
          <w:ilvl w:val="1"/>
          <w:numId w:val="0"/>
        </w:numPr>
        <w:tabs>
          <w:tab w:val="left" w:pos="0"/>
        </w:tabs>
        <w:kinsoku/>
        <w:wordWrap/>
        <w:topLinePunct w:val="0"/>
        <w:bidi w:val="0"/>
        <w:adjustRightInd/>
        <w:snapToGrid/>
        <w:spacing w:before="0" w:beforeLines="0" w:after="0" w:afterLines="0" w:line="400" w:lineRule="exact"/>
        <w:ind w:leftChars="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34" w:name="_Toc246469703"/>
      <w:bookmarkStart w:id="35" w:name="_Toc247358695"/>
      <w:bookmarkStart w:id="36" w:name="_Toc245888263"/>
      <w:bookmarkStart w:id="37" w:name="_Toc17872"/>
      <w:bookmarkStart w:id="38" w:name="_Toc246492793"/>
      <w:bookmarkStart w:id="39" w:name="_Toc423613182"/>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二</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质量管理</w:t>
      </w:r>
      <w:bookmarkEnd w:id="34"/>
      <w:bookmarkEnd w:id="35"/>
      <w:bookmarkEnd w:id="36"/>
      <w:bookmarkEnd w:id="37"/>
      <w:bookmarkEnd w:id="38"/>
      <w:bookmarkEnd w:id="39"/>
    </w:p>
    <w:p>
      <w:pPr>
        <w:numPr>
          <w:ilvl w:val="0"/>
          <w:numId w:val="0"/>
        </w:numPr>
        <w:spacing w:beforeLines="0" w:afterLines="0" w:line="400" w:lineRule="exact"/>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中标方须建立独立于项目设计与实施的质量保证机制，建立一套全面的项目质量管理体系；</w:t>
      </w:r>
    </w:p>
    <w:p>
      <w:pPr>
        <w:numPr>
          <w:ilvl w:val="0"/>
          <w:numId w:val="0"/>
        </w:numPr>
        <w:spacing w:beforeLines="0" w:afterLines="0" w:line="400" w:lineRule="exact"/>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中标方需要有质量保证人员来对项目的设计与实施进行审查，从而保证工作过程和项目的质量；</w:t>
      </w:r>
    </w:p>
    <w:p>
      <w:pPr>
        <w:numPr>
          <w:ilvl w:val="0"/>
          <w:numId w:val="0"/>
        </w:numPr>
        <w:spacing w:beforeLines="0" w:afterLines="0" w:line="400" w:lineRule="exact"/>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中标方须进行质量监测和关键点的质量评估；</w:t>
      </w:r>
    </w:p>
    <w:p>
      <w:pPr>
        <w:keepNext w:val="0"/>
        <w:keepLines w:val="0"/>
        <w:pageBreakBefore w:val="0"/>
        <w:numPr>
          <w:ilvl w:val="0"/>
          <w:numId w:val="0"/>
        </w:numPr>
        <w:kinsoku/>
        <w:wordWrap/>
        <w:topLinePunct w:val="0"/>
        <w:bidi w:val="0"/>
        <w:adjustRightInd/>
        <w:snapToGrid/>
        <w:spacing w:beforeLines="0" w:afterLines="0" w:line="400" w:lineRule="exact"/>
        <w:ind w:left="480"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为保证项目的正常运行，投标方应提供项目执行跟踪和监控的具体措施，措施应包括项目状态周报制度、每周项目例会制度、阶段总结制度等；</w:t>
      </w:r>
    </w:p>
    <w:p>
      <w:pPr>
        <w:pStyle w:val="4"/>
        <w:keepNext w:val="0"/>
        <w:keepLines w:val="0"/>
        <w:pageBreakBefore w:val="0"/>
        <w:numPr>
          <w:ilvl w:val="1"/>
          <w:numId w:val="0"/>
        </w:numPr>
        <w:tabs>
          <w:tab w:val="left" w:pos="0"/>
        </w:tabs>
        <w:kinsoku/>
        <w:wordWrap/>
        <w:topLinePunct w:val="0"/>
        <w:bidi w:val="0"/>
        <w:adjustRightInd/>
        <w:snapToGrid/>
        <w:spacing w:before="0" w:beforeLines="0" w:after="0" w:afterLines="0" w:line="400" w:lineRule="exact"/>
        <w:ind w:leftChars="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40" w:name="_Toc247358696"/>
      <w:bookmarkStart w:id="41" w:name="_Toc26442"/>
      <w:bookmarkStart w:id="42" w:name="_Toc423613183"/>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三</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进度管理</w:t>
      </w:r>
      <w:bookmarkEnd w:id="40"/>
      <w:bookmarkEnd w:id="41"/>
      <w:bookmarkEnd w:id="42"/>
    </w:p>
    <w:p>
      <w:pPr>
        <w:keepNext w:val="0"/>
        <w:keepLines w:val="0"/>
        <w:pageBreakBefore w:val="0"/>
        <w:kinsoku/>
        <w:wordWrap/>
        <w:topLinePunct w:val="0"/>
        <w:bidi w:val="0"/>
        <w:adjustRightInd/>
        <w:snapToGrid/>
        <w:spacing w:beforeLines="0" w:afterLines="0" w:line="400" w:lineRule="exact"/>
        <w:ind w:firstLine="48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的实施包含需求分析、系统设计、开发与测试、试运行、正式投产等阶段。中标方应根据招标方关于项目进度的要求制定详细的工作计划，按照计划执行，各阶段时间不能超过完成时限，且需提供相应的产出物，以供招标方核查。</w:t>
      </w:r>
    </w:p>
    <w:p>
      <w:pPr>
        <w:pStyle w:val="4"/>
        <w:keepNext w:val="0"/>
        <w:keepLines w:val="0"/>
        <w:pageBreakBefore w:val="0"/>
        <w:numPr>
          <w:ilvl w:val="1"/>
          <w:numId w:val="0"/>
        </w:numPr>
        <w:tabs>
          <w:tab w:val="left" w:pos="0"/>
        </w:tabs>
        <w:kinsoku/>
        <w:wordWrap/>
        <w:topLinePunct w:val="0"/>
        <w:bidi w:val="0"/>
        <w:adjustRightInd/>
        <w:snapToGrid/>
        <w:spacing w:before="0" w:beforeLines="0" w:after="0" w:afterLines="0" w:line="400" w:lineRule="exact"/>
        <w:ind w:leftChars="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43" w:name="_Toc5866"/>
      <w:bookmarkStart w:id="44" w:name="_Toc317256787"/>
      <w:bookmarkStart w:id="45" w:name="_Toc425932833"/>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四</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工作规范要求</w:t>
      </w:r>
      <w:bookmarkEnd w:id="43"/>
      <w:bookmarkEnd w:id="44"/>
      <w:bookmarkEnd w:id="45"/>
    </w:p>
    <w:p>
      <w:pPr>
        <w:widowControl/>
        <w:spacing w:beforeLines="0" w:afterLines="0" w:line="400" w:lineRule="exact"/>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中标方在开展测试服务工作期间，须严格遵守以下工作规范要求：</w:t>
      </w:r>
    </w:p>
    <w:p>
      <w:pPr>
        <w:widowControl/>
        <w:spacing w:beforeLines="0" w:afterLines="0" w:line="400" w:lineRule="exact"/>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遵守国家法律和政府的有关条例、规定和办法，以及招标方相关管理规定开展工作；</w:t>
      </w:r>
    </w:p>
    <w:p>
      <w:pPr>
        <w:widowControl/>
        <w:spacing w:beforeLines="0" w:afterLines="0" w:line="400" w:lineRule="exact"/>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执行有关项目建设的法律、法规、规范、标准和制度，履行测试服务规定的义务和职责；</w:t>
      </w:r>
    </w:p>
    <w:p>
      <w:pPr>
        <w:keepNext w:val="0"/>
        <w:keepLines w:val="0"/>
        <w:pageBreakBefore w:val="0"/>
        <w:kinsoku/>
        <w:wordWrap/>
        <w:topLinePunct w:val="0"/>
        <w:bidi w:val="0"/>
        <w:adjustRightInd w:val="0"/>
        <w:snapToGrid w:val="0"/>
        <w:spacing w:beforeLines="0" w:afterLines="0" w:line="400" w:lineRule="exact"/>
        <w:ind w:firstLine="48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中标方在签署技术协议时，须同步签订《安全协议》及《保密承诺书》并严格履行协议和承诺书条款。不泄漏所测试系统各方认为需要保密的事项。</w:t>
      </w:r>
    </w:p>
    <w:p>
      <w:pPr>
        <w:adjustRightInd w:val="0"/>
        <w:snapToGrid w:val="0"/>
        <w:spacing w:beforeLines="0" w:afterLines="0"/>
        <w:ind w:firstLine="480"/>
        <w:rPr>
          <w:rFonts w:hint="eastAsia" w:ascii="仿宋_GB2312" w:hAnsi="仿宋_GB2312" w:eastAsia="仿宋_GB2312" w:cs="仿宋_GB2312"/>
          <w:color w:val="000000" w:themeColor="text1"/>
          <w:sz w:val="24"/>
          <w:szCs w:val="24"/>
          <w14:textFill>
            <w14:solidFill>
              <w14:schemeClr w14:val="tx1"/>
            </w14:solidFill>
          </w14:textFill>
        </w:rPr>
      </w:pPr>
      <w:bookmarkStart w:id="46" w:name="_Toc425932835"/>
      <w:bookmarkStart w:id="47" w:name="_Toc5707"/>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五</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风险控制要求</w:t>
      </w:r>
      <w:bookmarkEnd w:id="46"/>
      <w:bookmarkEnd w:id="47"/>
    </w:p>
    <w:p>
      <w:pPr>
        <w:keepNext w:val="0"/>
        <w:keepLines w:val="0"/>
        <w:pageBreakBefore w:val="0"/>
        <w:kinsoku/>
        <w:wordWrap/>
        <w:topLinePunct w:val="0"/>
        <w:bidi w:val="0"/>
        <w:adjustRightInd w:val="0"/>
        <w:snapToGrid w:val="0"/>
        <w:spacing w:beforeLines="0" w:afterLines="0" w:line="400" w:lineRule="exact"/>
        <w:ind w:firstLine="48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中标方应对项目实施过程中可能遇到的风险、影响程度、发生概率进行说明，并给出风险应对计划。</w:t>
      </w:r>
    </w:p>
    <w:p>
      <w:pPr>
        <w:pStyle w:val="4"/>
        <w:keepNext w:val="0"/>
        <w:keepLines w:val="0"/>
        <w:pageBreakBefore w:val="0"/>
        <w:numPr>
          <w:ilvl w:val="1"/>
          <w:numId w:val="0"/>
        </w:numPr>
        <w:tabs>
          <w:tab w:val="left" w:pos="0"/>
        </w:tabs>
        <w:kinsoku/>
        <w:wordWrap/>
        <w:topLinePunct w:val="0"/>
        <w:bidi w:val="0"/>
        <w:adjustRightInd w:val="0"/>
        <w:snapToGrid w:val="0"/>
        <w:spacing w:before="0" w:beforeLines="0" w:after="0" w:afterLines="0" w:line="400" w:lineRule="exact"/>
        <w:ind w:leftChars="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48" w:name="_Toc19991"/>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六</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项目交付</w:t>
      </w:r>
      <w:bookmarkEnd w:id="48"/>
    </w:p>
    <w:p>
      <w:pPr>
        <w:spacing w:beforeLines="0" w:afterLines="0"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中标方必须在合同规定时间内，完成本项目的开发和实施。将招标范围内所界定的工作完成。在通过试运行验收后，中标方需将所有项目成果交付给招标方。</w:t>
      </w:r>
    </w:p>
    <w:p>
      <w:pPr>
        <w:widowControl/>
        <w:spacing w:beforeLines="0" w:afterLines="0" w:line="400" w:lineRule="exact"/>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项目成果交付物必须与实际工作相对应，保证两者间的一致性。</w:t>
      </w:r>
    </w:p>
    <w:p>
      <w:pPr>
        <w:widowControl/>
        <w:spacing w:beforeLines="0" w:afterLines="0" w:line="400" w:lineRule="exact"/>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严格管理交付物版本，保证招标方对于交付物各版本的可追溯性。</w:t>
      </w:r>
    </w:p>
    <w:p>
      <w:pPr>
        <w:keepNext w:val="0"/>
        <w:keepLines w:val="0"/>
        <w:pageBreakBefore w:val="0"/>
        <w:widowControl/>
        <w:kinsoku/>
        <w:wordWrap/>
        <w:overflowPunct/>
        <w:topLinePunct w:val="0"/>
        <w:bidi w:val="0"/>
        <w:adjustRightInd w:val="0"/>
        <w:snapToGrid w:val="0"/>
        <w:spacing w:beforeLines="0" w:afterLines="0" w:line="400" w:lineRule="exact"/>
        <w:ind w:firstLine="48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r>
        <w:rPr>
          <w:rFonts w:hint="eastAsia" w:ascii="仿宋_GB2312" w:hAnsi="仿宋_GB2312" w:eastAsia="仿宋_GB2312" w:cs="仿宋_GB2312"/>
          <w:color w:val="000000" w:themeColor="text1"/>
          <w:kern w:val="2"/>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其它：应提供其它与本系统实施和运行有关的文档和资料。</w:t>
      </w:r>
    </w:p>
    <w:p>
      <w:pPr>
        <w:adjustRightInd w:val="0"/>
        <w:snapToGrid w:val="0"/>
        <w:spacing w:before="0" w:beforeLines="0" w:after="0" w:afterLines="0"/>
        <w:ind w:firstLine="480"/>
        <w:rPr>
          <w:rFonts w:hint="eastAsia" w:ascii="仿宋_GB2312" w:hAnsi="仿宋_GB2312" w:eastAsia="仿宋_GB2312" w:cs="仿宋_GB2312"/>
          <w:color w:val="000000" w:themeColor="text1"/>
          <w:sz w:val="24"/>
          <w:szCs w:val="24"/>
          <w:lang w:eastAsia="zh-CN"/>
          <w14:textFill>
            <w14:solidFill>
              <w14:schemeClr w14:val="tx1"/>
            </w14:solidFill>
          </w14:textFill>
        </w:rPr>
      </w:pPr>
      <w:bookmarkStart w:id="49" w:name="_Toc410723689"/>
      <w:bookmarkStart w:id="50" w:name="_Toc408473421"/>
      <w:bookmarkStart w:id="51" w:name="_Toc406425809"/>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七</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交付清单</w:t>
      </w:r>
      <w:bookmarkEnd w:id="49"/>
      <w:bookmarkEnd w:id="50"/>
      <w:bookmarkEnd w:id="51"/>
    </w:p>
    <w:p>
      <w:pPr>
        <w:adjustRightInd w:val="0"/>
        <w:snapToGrid w:val="0"/>
        <w:spacing w:beforeLines="0" w:afterLines="0"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本项目交付的所有文档均应提交电子版及印刷版，另有说明的除外，交付物内容必须与实际工作情况相一致，其质量必须符合招标方的要求。</w:t>
      </w:r>
    </w:p>
    <w:p>
      <w:pPr>
        <w:spacing w:beforeLines="0" w:afterLines="0" w:line="400" w:lineRule="exact"/>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bookmarkStart w:id="52" w:name="_Toc406425810"/>
      <w:r>
        <w:rPr>
          <w:rFonts w:hint="eastAsia" w:ascii="仿宋_GB2312" w:hAnsi="仿宋_GB2312" w:eastAsia="仿宋_GB2312" w:cs="仿宋_GB2312"/>
          <w:color w:val="000000" w:themeColor="text1"/>
          <w:sz w:val="24"/>
          <w:szCs w:val="24"/>
          <w14:textFill>
            <w14:solidFill>
              <w14:schemeClr w14:val="tx1"/>
            </w14:solidFill>
          </w14:textFill>
        </w:rPr>
        <w:t>1．满足本招标文件的项目目标和相应的技术、业务要求的文档，包括但不限于：</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ind w:firstLineChars="83"/>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项目阶段</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400" w:lineRule="exact"/>
              <w:ind w:firstLine="472" w:firstLineChars="196"/>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交付物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ind w:firstLine="199" w:firstLineChars="8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需求分析</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400" w:lineRule="exact"/>
              <w:ind w:firstLine="0" w:firstLineChars="0"/>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《项目主计划》、《项目进度计划》、《业务需求说明书》、《需求规格说明书》</w:t>
            </w:r>
            <w:r>
              <w:rPr>
                <w:rFonts w:hint="eastAsia" w:ascii="仿宋_GB2312" w:hAnsi="仿宋_GB2312" w:eastAsia="仿宋_GB2312" w:cs="仿宋_GB2312"/>
                <w:color w:val="000000" w:themeColor="text1"/>
                <w:sz w:val="24"/>
                <w:szCs w:val="24"/>
                <w:lang w:eastAsia="zh-CN"/>
                <w14:textFill>
                  <w14:solidFill>
                    <w14:schemeClr w14:val="tx1"/>
                  </w14:solidFill>
                </w14:textFill>
              </w:rPr>
              <w:t>、《资产负债系统建设方案》、《流动性风险（含头寸）子系统业务需求说明书及软件需求说明书》、《利率风险子系统业务需求说明书及软件需求说明书》、《资产负债组合子系统业务需求说明书及软件需求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ind w:firstLine="199" w:firstLineChars="8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概要设计</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《系统软件总体设计方案》、《系统软件安全设计方案》</w:t>
            </w:r>
          </w:p>
          <w:p>
            <w:pPr>
              <w:spacing w:beforeLines="0" w:afterLines="0" w:line="400" w:lineRule="exact"/>
              <w:ind w:firstLine="0" w:firstLineChars="0"/>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《系统概要设计说明书》、《数据库概要设计说明书》</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资产负债系统数据来源系统改造方案</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资产负债系统实际应用效果评估方案</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ind w:firstLine="199" w:firstLineChars="8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详细设计</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400" w:lineRule="exact"/>
              <w:ind w:firstLine="0" w:firstLineChars="0"/>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《系统详细设计说明书》、《系统服务及接口详细设计说明书》、《数据库详细设计说明书》</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数据治理方案》、《数据标准建设方案》、《资产负债系统内子系统数据交互方案》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编码开发及单元测试</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《系统源代码清单及源码》、《代码审查报告》、《单元测试计划》、《单元测试案例》、《单元测试报告》、《配置手册》、《开发手册》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集成测试</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《集成测试计划》、《集成测试方案》、《集成测试案例》、《集成测试报告》、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系统测试（SIT）</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《系统部署手册》、《SIT测试方案》、《SIT测试案例》、《SIT测试报告》、《性能测试方案》、《性能测试报告》、《安全测试报告》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用户培训</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400" w:lineRule="exact"/>
              <w:ind w:firstLine="0" w:firstLineChars="0"/>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《用户培训计划》、《用户培训课件》、《用户培训记录》</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推广培训方案</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用户验收测试（UAT）</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《UAT测试方案》、《UAT测试案例》、《UAT测试报告》、《用户操作手册》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试运行投产</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beforeLines="0" w:afterLines="0" w:line="400" w:lineRule="exact"/>
              <w:ind w:firstLine="0" w:firstLineChars="0"/>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《系统试运行方案》、《系统应急及回退方案》、《系统试运行报告》</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操作手册</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操作规程</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管理制度（如：指标监测管理办法、压力测试管理办法、头寸管理办法、账簿利率风险管理办法、资产负债组合评价考核管理办法、流动性评价考核办法等）</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w:t>
            </w:r>
          </w:p>
        </w:tc>
      </w:tr>
    </w:tbl>
    <w:p>
      <w:pPr>
        <w:keepNext w:val="0"/>
        <w:keepLines w:val="0"/>
        <w:pageBreakBefore w:val="0"/>
        <w:widowControl/>
        <w:kinsoku/>
        <w:wordWrap/>
        <w:overflowPunct/>
        <w:topLinePunct w:val="0"/>
        <w:autoSpaceDE/>
        <w:autoSpaceDN/>
        <w:bidi w:val="0"/>
        <w:adjustRightInd/>
        <w:snapToGrid/>
        <w:spacing w:beforeLines="0" w:afterLines="0" w:line="400" w:lineRule="exact"/>
        <w:ind w:firstLine="482"/>
        <w:textAlignment w:val="auto"/>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与本次设计、实施工作相关的其他辅助文件，包括但不限于以下文件：</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项目工作计划书》、《会议记录》、中标方项目团队情况介绍、项目里程碑、验收申请书、评审申请书、所引用的完整标准文件、阶段性工作报告、阶段性项目成果、技术服务和技术服务相关资料、交付项资料清单、验收报告、管理员手册（含相关账号与密码）、软硬件配置清单及参数、系统源代码常见问题及应对措施，应急预案</w:t>
      </w:r>
    </w:p>
    <w:p>
      <w:pPr>
        <w:pStyle w:val="5"/>
        <w:numPr>
          <w:ilvl w:val="2"/>
          <w:numId w:val="0"/>
        </w:numPr>
        <w:tabs>
          <w:tab w:val="left" w:pos="0"/>
        </w:tabs>
        <w:spacing w:before="0" w:beforeLines="0" w:after="0" w:afterLines="0" w:line="400" w:lineRule="exact"/>
        <w:ind w:leftChars="0" w:firstLine="240" w:firstLineChars="100"/>
        <w:outlineLvl w:val="1"/>
        <w:rPr>
          <w:rFonts w:hint="eastAsia" w:ascii="仿宋_GB2312" w:hAnsi="仿宋_GB2312" w:eastAsia="仿宋_GB2312" w:cs="仿宋_GB2312"/>
          <w:color w:val="000000" w:themeColor="text1"/>
          <w:sz w:val="24"/>
          <w:szCs w:val="24"/>
          <w14:textFill>
            <w14:solidFill>
              <w14:schemeClr w14:val="tx1"/>
            </w14:solidFill>
          </w14:textFill>
        </w:rPr>
      </w:pPr>
      <w:bookmarkStart w:id="53" w:name="_Toc410723690"/>
      <w:bookmarkStart w:id="54" w:name="_Toc408473422"/>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八</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项目验收</w:t>
      </w:r>
      <w:bookmarkEnd w:id="52"/>
      <w:bookmarkEnd w:id="53"/>
      <w:bookmarkEnd w:id="54"/>
    </w:p>
    <w:p>
      <w:pPr>
        <w:numPr>
          <w:ilvl w:val="0"/>
          <w:numId w:val="9"/>
        </w:numPr>
        <w:spacing w:beforeLines="0" w:afterLines="0" w:line="400" w:lineRule="exact"/>
        <w:ind w:left="845" w:leftChars="0" w:hanging="425" w:firstLineChars="0"/>
        <w:outlineLvl w:val="2"/>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项目验收要求</w:t>
      </w:r>
    </w:p>
    <w:p>
      <w:pPr>
        <w:spacing w:beforeLines="0" w:afterLines="0" w:line="400" w:lineRule="exact"/>
        <w:ind w:firstLine="48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项目验收在系统正式投产连续、稳定运行三个月后进行。验收内容包括：系统投产初期运行情况、系统配套文档以及中标人承诺提供的培训及运维保障服务等。</w:t>
      </w:r>
    </w:p>
    <w:tbl>
      <w:tblPr>
        <w:tblStyle w:val="18"/>
        <w:tblW w:w="0" w:type="auto"/>
        <w:jc w:val="center"/>
        <w:tblLayout w:type="fixed"/>
        <w:tblCellMar>
          <w:top w:w="0" w:type="dxa"/>
          <w:left w:w="108" w:type="dxa"/>
          <w:bottom w:w="0" w:type="dxa"/>
          <w:right w:w="108" w:type="dxa"/>
        </w:tblCellMar>
      </w:tblPr>
      <w:tblGrid>
        <w:gridCol w:w="1790"/>
        <w:gridCol w:w="1720"/>
        <w:gridCol w:w="4406"/>
      </w:tblGrid>
      <w:tr>
        <w:trPr>
          <w:trHeight w:val="535" w:hRule="atLeast"/>
          <w:jc w:val="center"/>
        </w:trPr>
        <w:tc>
          <w:tcPr>
            <w:tcW w:w="1790" w:type="dxa"/>
            <w:tcBorders>
              <w:top w:val="single" w:color="000000" w:sz="4" w:space="0"/>
              <w:left w:val="single" w:color="000000" w:sz="4" w:space="0"/>
              <w:bottom w:val="single" w:color="000000" w:sz="4" w:space="0"/>
              <w:right w:val="single" w:color="000000" w:sz="4" w:space="0"/>
            </w:tcBorders>
            <w:shd w:val="clear" w:color="auto" w:fill="95B3D7"/>
            <w:vAlign w:val="center"/>
          </w:tcPr>
          <w:p>
            <w:pPr>
              <w:spacing w:beforeLines="0" w:afterLines="0" w:line="400" w:lineRule="exact"/>
              <w:ind w:left="0" w:leftChars="0" w:firstLine="0"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项目阶段</w:t>
            </w:r>
          </w:p>
        </w:tc>
        <w:tc>
          <w:tcPr>
            <w:tcW w:w="1720" w:type="dxa"/>
            <w:tcBorders>
              <w:top w:val="single" w:color="000000" w:sz="4" w:space="0"/>
              <w:left w:val="nil"/>
              <w:bottom w:val="single" w:color="000000" w:sz="4" w:space="0"/>
              <w:right w:val="single" w:color="000000" w:sz="4" w:space="0"/>
            </w:tcBorders>
            <w:shd w:val="clear" w:color="auto" w:fill="95B3D7"/>
            <w:vAlign w:val="center"/>
          </w:tcPr>
          <w:p>
            <w:pPr>
              <w:spacing w:beforeLines="0" w:afterLines="0" w:line="400" w:lineRule="exact"/>
              <w:ind w:left="0" w:leftChars="0" w:firstLine="0"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时间</w:t>
            </w:r>
          </w:p>
        </w:tc>
        <w:tc>
          <w:tcPr>
            <w:tcW w:w="4406" w:type="dxa"/>
            <w:tcBorders>
              <w:top w:val="single" w:color="000000" w:sz="4" w:space="0"/>
              <w:left w:val="nil"/>
              <w:bottom w:val="single" w:color="000000" w:sz="4" w:space="0"/>
              <w:right w:val="single" w:color="000000" w:sz="4" w:space="0"/>
            </w:tcBorders>
            <w:shd w:val="clear" w:color="auto" w:fill="95B3D7"/>
            <w:vAlign w:val="center"/>
          </w:tcPr>
          <w:p>
            <w:pPr>
              <w:spacing w:beforeLines="0" w:afterLines="0" w:line="400" w:lineRule="exact"/>
              <w:ind w:left="0" w:leftChars="0" w:firstLine="0"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验收条件</w:t>
            </w:r>
          </w:p>
        </w:tc>
      </w:tr>
      <w:tr>
        <w:trPr>
          <w:jc w:val="center"/>
        </w:trPr>
        <w:tc>
          <w:tcPr>
            <w:tcW w:w="1790" w:type="dxa"/>
            <w:tcBorders>
              <w:top w:val="nil"/>
              <w:left w:val="single" w:color="000000" w:sz="4" w:space="0"/>
              <w:bottom w:val="single" w:color="000000" w:sz="4" w:space="0"/>
              <w:right w:val="single" w:color="000000" w:sz="4" w:space="0"/>
            </w:tcBorders>
            <w:vAlign w:val="center"/>
          </w:tcPr>
          <w:p>
            <w:pPr>
              <w:spacing w:beforeLines="0" w:afterLines="0" w:line="400" w:lineRule="exact"/>
              <w:ind w:left="0" w:leftChars="0" w:firstLine="0"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阶段性评审</w:t>
            </w:r>
          </w:p>
        </w:tc>
        <w:tc>
          <w:tcPr>
            <w:tcW w:w="1720" w:type="dxa"/>
            <w:tcBorders>
              <w:top w:val="nil"/>
              <w:left w:val="nil"/>
              <w:bottom w:val="single" w:color="000000" w:sz="4" w:space="0"/>
              <w:right w:val="single" w:color="000000" w:sz="4" w:space="0"/>
            </w:tcBorders>
            <w:vAlign w:val="center"/>
          </w:tcPr>
          <w:p>
            <w:pPr>
              <w:spacing w:beforeLines="0" w:afterLines="0" w:line="400" w:lineRule="exact"/>
              <w:ind w:left="0" w:leftChars="0" w:firstLine="0"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中标方与投标方商定</w:t>
            </w:r>
          </w:p>
        </w:tc>
        <w:tc>
          <w:tcPr>
            <w:tcW w:w="4406" w:type="dxa"/>
            <w:tcBorders>
              <w:top w:val="nil"/>
              <w:left w:val="nil"/>
              <w:bottom w:val="single" w:color="000000" w:sz="4" w:space="0"/>
              <w:right w:val="single" w:color="000000" w:sz="4" w:space="0"/>
            </w:tcBorders>
            <w:vAlign w:val="center"/>
          </w:tcPr>
          <w:p>
            <w:pPr>
              <w:spacing w:beforeLines="0" w:afterLines="0" w:line="400" w:lineRule="exact"/>
              <w:ind w:left="0" w:leftChars="0" w:firstLine="0"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按照本标书要求,项目范围内的相应工作完成，并提交相应交付物。</w:t>
            </w:r>
          </w:p>
        </w:tc>
      </w:tr>
      <w:tr>
        <w:trPr>
          <w:jc w:val="center"/>
        </w:trPr>
        <w:tc>
          <w:tcPr>
            <w:tcW w:w="1790" w:type="dxa"/>
            <w:tcBorders>
              <w:top w:val="nil"/>
              <w:left w:val="single" w:color="000000" w:sz="4" w:space="0"/>
              <w:bottom w:val="single" w:color="000000" w:sz="4" w:space="0"/>
              <w:right w:val="single" w:color="000000" w:sz="4" w:space="0"/>
            </w:tcBorders>
            <w:vAlign w:val="center"/>
          </w:tcPr>
          <w:p>
            <w:pPr>
              <w:spacing w:beforeLines="0" w:afterLines="0" w:line="400" w:lineRule="exact"/>
              <w:ind w:left="0" w:leftChars="0" w:firstLine="0"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竣工验收</w:t>
            </w:r>
          </w:p>
        </w:tc>
        <w:tc>
          <w:tcPr>
            <w:tcW w:w="1720" w:type="dxa"/>
            <w:tcBorders>
              <w:top w:val="nil"/>
              <w:left w:val="nil"/>
              <w:bottom w:val="single" w:color="000000" w:sz="4" w:space="0"/>
              <w:right w:val="single" w:color="000000" w:sz="4" w:space="0"/>
            </w:tcBorders>
            <w:vAlign w:val="center"/>
          </w:tcPr>
          <w:p>
            <w:pPr>
              <w:spacing w:beforeLines="0" w:afterLines="0" w:line="400" w:lineRule="exact"/>
              <w:ind w:left="0" w:leftChars="0" w:firstLine="0"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中标方与投标方商定</w:t>
            </w:r>
          </w:p>
        </w:tc>
        <w:tc>
          <w:tcPr>
            <w:tcW w:w="4406" w:type="dxa"/>
            <w:tcBorders>
              <w:top w:val="nil"/>
              <w:left w:val="nil"/>
              <w:bottom w:val="single" w:color="000000" w:sz="4" w:space="0"/>
              <w:right w:val="single" w:color="000000" w:sz="4" w:space="0"/>
            </w:tcBorders>
            <w:vAlign w:val="center"/>
          </w:tcPr>
          <w:p>
            <w:pPr>
              <w:spacing w:beforeLines="0" w:afterLines="0" w:line="400" w:lineRule="exact"/>
              <w:ind w:left="0" w:leftChars="0" w:firstLine="0"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按照本标书要求,项目范围内的相应工作完成，并提交相应交付物。</w:t>
            </w:r>
          </w:p>
        </w:tc>
      </w:tr>
    </w:tbl>
    <w:p>
      <w:pPr>
        <w:spacing w:beforeLines="0" w:afterLines="0" w:line="400" w:lineRule="exact"/>
        <w:ind w:firstLine="48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中标人提交的验收内容和资料，应准确、真实、易读，如招标方对中标人所提交材料的完整性、准确性、规范性等存在异议，中标人须按要求重新整理后提交招标方。</w:t>
      </w:r>
    </w:p>
    <w:p>
      <w:pPr>
        <w:numPr>
          <w:ilvl w:val="0"/>
          <w:numId w:val="9"/>
        </w:numPr>
        <w:spacing w:beforeLines="0" w:afterLines="0" w:line="400" w:lineRule="exact"/>
        <w:ind w:left="845" w:leftChars="0" w:hanging="425" w:firstLineChars="0"/>
        <w:outlineLvl w:val="2"/>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验收流程与方式</w:t>
      </w:r>
    </w:p>
    <w:p>
      <w:pPr>
        <w:spacing w:beforeLines="0" w:afterLines="0" w:line="400" w:lineRule="exact"/>
        <w:ind w:firstLine="480"/>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满足验收条件后，由中标方提出验收申请，招标方对提供的验收材料进行审核；审核通过后，招标方组织项目验收小组验收，届时中标方需有至少2人参加；验收时，现场给出验收结果。</w:t>
      </w:r>
    </w:p>
    <w:p>
      <w:pPr>
        <w:spacing w:beforeLines="0" w:afterLines="0" w:line="400" w:lineRule="exact"/>
        <w:ind w:firstLine="600" w:firstLineChars="200"/>
        <w:outlineLvl w:val="0"/>
        <w:rPr>
          <w:rFonts w:hint="eastAsia" w:ascii="黑体" w:hAnsi="黑体" w:eastAsia="黑体" w:cs="黑体"/>
          <w:color w:val="000000" w:themeColor="text1"/>
          <w:sz w:val="30"/>
          <w:szCs w:val="30"/>
          <w:lang w:val="en-US" w:eastAsia="zh-CN"/>
          <w14:textFill>
            <w14:solidFill>
              <w14:schemeClr w14:val="tx1"/>
            </w14:solidFill>
          </w14:textFill>
        </w:rPr>
      </w:pPr>
      <w:r>
        <w:rPr>
          <w:rFonts w:hint="eastAsia" w:ascii="黑体" w:hAnsi="黑体" w:eastAsia="黑体" w:cs="黑体"/>
          <w:color w:val="000000" w:themeColor="text1"/>
          <w:sz w:val="30"/>
          <w:szCs w:val="30"/>
          <w:lang w:val="en-US" w:eastAsia="zh-CN"/>
          <w14:textFill>
            <w14:solidFill>
              <w14:schemeClr w14:val="tx1"/>
            </w14:solidFill>
          </w14:textFill>
        </w:rPr>
        <w:t>六、项目培训</w:t>
      </w:r>
    </w:p>
    <w:p>
      <w:pPr>
        <w:keepNext w:val="0"/>
        <w:keepLines w:val="0"/>
        <w:pageBreakBefore w:val="0"/>
        <w:widowControl/>
        <w:kinsoku/>
        <w:wordWrap/>
        <w:topLinePunct w:val="0"/>
        <w:bidi w:val="0"/>
        <w:adjustRightInd/>
        <w:snapToGrid/>
        <w:spacing w:beforeLines="0" w:afterLines="0" w:line="400" w:lineRule="exact"/>
        <w:ind w:firstLine="48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55" w:name="_Toc289776668"/>
      <w:r>
        <w:rPr>
          <w:rFonts w:hint="eastAsia" w:ascii="仿宋_GB2312" w:hAnsi="仿宋_GB2312" w:eastAsia="仿宋_GB2312" w:cs="仿宋_GB2312"/>
          <w:color w:val="000000" w:themeColor="text1"/>
          <w:kern w:val="0"/>
          <w:sz w:val="24"/>
          <w:szCs w:val="24"/>
          <w14:textFill>
            <w14:solidFill>
              <w14:schemeClr w14:val="tx1"/>
            </w14:solidFill>
          </w14:textFill>
        </w:rPr>
        <w:t>为使项目成果能够更好的被招标方理解、利用，以及使项目成果的维护和更新成本低、难度小，中标方须本着全面共享知识和经验的宗旨，根据甲方要求向招标方提供</w:t>
      </w:r>
      <w:bookmarkEnd w:id="55"/>
      <w:r>
        <w:rPr>
          <w:rFonts w:hint="eastAsia" w:ascii="仿宋_GB2312" w:hAnsi="仿宋_GB2312" w:eastAsia="仿宋_GB2312" w:cs="仿宋_GB2312"/>
          <w:color w:val="000000" w:themeColor="text1"/>
          <w:kern w:val="0"/>
          <w:sz w:val="24"/>
          <w:szCs w:val="24"/>
          <w14:textFill>
            <w14:solidFill>
              <w14:schemeClr w14:val="tx1"/>
            </w14:solidFill>
          </w14:textFill>
        </w:rPr>
        <w:t>技术培训，地点为招标方办公场地，内容为系统开发、运维及业务相关培训，具体培训时间与招标方协商确定，往返机票、食宿及培训费用由中标方承担。</w:t>
      </w:r>
    </w:p>
    <w:p>
      <w:pPr>
        <w:pStyle w:val="4"/>
        <w:keepNext w:val="0"/>
        <w:keepLines w:val="0"/>
        <w:pageBreakBefore w:val="0"/>
        <w:numPr>
          <w:ilvl w:val="1"/>
          <w:numId w:val="0"/>
        </w:numPr>
        <w:tabs>
          <w:tab w:val="left" w:pos="0"/>
        </w:tabs>
        <w:kinsoku/>
        <w:wordWrap/>
        <w:topLinePunct w:val="0"/>
        <w:bidi w:val="0"/>
        <w:adjustRightInd/>
        <w:snapToGrid/>
        <w:spacing w:before="0" w:beforeLines="0" w:after="0" w:afterLines="0" w:line="400" w:lineRule="exact"/>
        <w:ind w:leftChars="0" w:firstLine="240" w:firstLineChars="10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56" w:name="_Toc302632646"/>
      <w:bookmarkEnd w:id="56"/>
      <w:bookmarkStart w:id="57" w:name="_Toc302632647"/>
      <w:bookmarkEnd w:id="57"/>
      <w:bookmarkStart w:id="58" w:name="_Toc317256790"/>
      <w:bookmarkStart w:id="59" w:name="_Toc425932837"/>
      <w:bookmarkStart w:id="60" w:name="_Toc5726"/>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培训方式</w:t>
      </w:r>
      <w:bookmarkEnd w:id="58"/>
      <w:bookmarkEnd w:id="59"/>
      <w:bookmarkEnd w:id="60"/>
    </w:p>
    <w:p>
      <w:pPr>
        <w:keepNext w:val="0"/>
        <w:keepLines w:val="0"/>
        <w:pageBreakBefore w:val="0"/>
        <w:widowControl/>
        <w:kinsoku/>
        <w:wordWrap/>
        <w:overflowPunct/>
        <w:topLinePunct w:val="0"/>
        <w:autoSpaceDE/>
        <w:autoSpaceDN/>
        <w:bidi w:val="0"/>
        <w:adjustRightInd/>
        <w:snapToGrid/>
        <w:spacing w:beforeLines="0" w:afterLines="0" w:line="400" w:lineRule="exact"/>
        <w:ind w:firstLine="482"/>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培训全部采用现场培训方式进行，</w:t>
      </w:r>
      <w:r>
        <w:rPr>
          <w:rFonts w:hint="eastAsia" w:ascii="仿宋_GB2312" w:hAnsi="仿宋_GB2312" w:eastAsia="仿宋_GB2312" w:cs="仿宋_GB2312"/>
          <w:color w:val="000000" w:themeColor="text1"/>
          <w:sz w:val="24"/>
          <w:szCs w:val="24"/>
          <w14:textFill>
            <w14:solidFill>
              <w14:schemeClr w14:val="tx1"/>
            </w14:solidFill>
          </w14:textFill>
        </w:rPr>
        <w:t>培训时间按招标方的培训计划执行</w:t>
      </w:r>
      <w:r>
        <w:rPr>
          <w:rFonts w:hint="eastAsia" w:ascii="仿宋_GB2312" w:hAnsi="仿宋_GB2312" w:eastAsia="仿宋_GB2312" w:cs="仿宋_GB2312"/>
          <w:color w:val="000000" w:themeColor="text1"/>
          <w:kern w:val="0"/>
          <w:sz w:val="24"/>
          <w:szCs w:val="24"/>
          <w14:textFill>
            <w14:solidFill>
              <w14:schemeClr w14:val="tx1"/>
            </w14:solidFill>
          </w14:textFill>
        </w:rPr>
        <w:t>。将培训分为以下两种类型：</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2"/>
        <w:textAlignment w:val="auto"/>
        <w:outlineLvl w:val="2"/>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1.技术培训</w:t>
      </w:r>
    </w:p>
    <w:p>
      <w:pPr>
        <w:keepNext w:val="0"/>
        <w:keepLines w:val="0"/>
        <w:pageBreakBefore w:val="0"/>
        <w:widowControl/>
        <w:kinsoku/>
        <w:wordWrap/>
        <w:topLinePunct w:val="0"/>
        <w:bidi w:val="0"/>
        <w:adjustRightInd/>
        <w:snapToGrid/>
        <w:spacing w:beforeLines="0" w:afterLines="0" w:line="400" w:lineRule="exact"/>
        <w:ind w:firstLine="48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面向招标方技术人员。中标方对相关技术人员开展</w:t>
      </w:r>
      <w:r>
        <w:rPr>
          <w:rFonts w:hint="eastAsia" w:ascii="仿宋_GB2312" w:hAnsi="仿宋_GB2312" w:eastAsia="仿宋_GB2312" w:cs="仿宋_GB2312"/>
          <w:color w:val="000000" w:themeColor="text1"/>
          <w:sz w:val="24"/>
          <w:szCs w:val="24"/>
          <w14:textFill>
            <w14:solidFill>
              <w14:schemeClr w14:val="tx1"/>
            </w14:solidFill>
          </w14:textFill>
        </w:rPr>
        <w:t>系统管理、操作、维护、安装部署、接口开发等方面的免费培训</w:t>
      </w:r>
      <w:r>
        <w:rPr>
          <w:rFonts w:hint="eastAsia" w:ascii="仿宋_GB2312" w:hAnsi="仿宋_GB2312" w:eastAsia="仿宋_GB2312" w:cs="仿宋_GB2312"/>
          <w:color w:val="000000" w:themeColor="text1"/>
          <w:kern w:val="0"/>
          <w:sz w:val="24"/>
          <w:szCs w:val="24"/>
          <w14:textFill>
            <w14:solidFill>
              <w14:schemeClr w14:val="tx1"/>
            </w14:solidFill>
          </w14:textFill>
        </w:rPr>
        <w:t>。</w:t>
      </w:r>
    </w:p>
    <w:p>
      <w:pPr>
        <w:keepNext w:val="0"/>
        <w:keepLines w:val="0"/>
        <w:pageBreakBefore w:val="0"/>
        <w:widowControl/>
        <w:kinsoku/>
        <w:wordWrap/>
        <w:topLinePunct w:val="0"/>
        <w:bidi w:val="0"/>
        <w:adjustRightInd/>
        <w:snapToGrid/>
        <w:spacing w:beforeLines="0" w:afterLines="0" w:line="400" w:lineRule="exact"/>
        <w:ind w:firstLine="480"/>
        <w:textAlignment w:val="auto"/>
        <w:outlineLvl w:val="2"/>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2.业务培训</w:t>
      </w:r>
    </w:p>
    <w:p>
      <w:pPr>
        <w:keepNext w:val="0"/>
        <w:keepLines w:val="0"/>
        <w:pageBreakBefore w:val="0"/>
        <w:widowControl/>
        <w:kinsoku/>
        <w:wordWrap/>
        <w:topLinePunct w:val="0"/>
        <w:bidi w:val="0"/>
        <w:adjustRightInd/>
        <w:snapToGrid/>
        <w:spacing w:beforeLines="0" w:afterLines="0" w:line="400" w:lineRule="exact"/>
        <w:ind w:firstLine="48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面向招标方业务人员。中标方对相关业务人员开展系统操作等方面免费培训。</w:t>
      </w:r>
    </w:p>
    <w:p>
      <w:pPr>
        <w:pStyle w:val="4"/>
        <w:keepNext w:val="0"/>
        <w:keepLines w:val="0"/>
        <w:pageBreakBefore w:val="0"/>
        <w:numPr>
          <w:ilvl w:val="1"/>
          <w:numId w:val="0"/>
        </w:numPr>
        <w:tabs>
          <w:tab w:val="left" w:pos="0"/>
        </w:tabs>
        <w:kinsoku/>
        <w:wordWrap/>
        <w:topLinePunct w:val="0"/>
        <w:bidi w:val="0"/>
        <w:adjustRightInd/>
        <w:snapToGrid/>
        <w:spacing w:before="0" w:beforeLines="0" w:after="0" w:afterLines="0" w:line="400" w:lineRule="exact"/>
        <w:ind w:leftChars="0" w:firstLine="240" w:firstLineChars="10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61" w:name="_Toc293476793"/>
      <w:bookmarkEnd w:id="61"/>
      <w:bookmarkStart w:id="62" w:name="_Toc293478840"/>
      <w:bookmarkEnd w:id="62"/>
      <w:bookmarkStart w:id="63" w:name="_Toc291322851"/>
      <w:bookmarkEnd w:id="63"/>
      <w:bookmarkStart w:id="64" w:name="_Toc294167096"/>
      <w:bookmarkEnd w:id="64"/>
      <w:bookmarkStart w:id="65" w:name="_Toc293506163"/>
      <w:bookmarkEnd w:id="65"/>
      <w:bookmarkStart w:id="66" w:name="_Toc294167041"/>
      <w:bookmarkEnd w:id="66"/>
      <w:bookmarkStart w:id="67" w:name="_Toc302632648"/>
      <w:bookmarkEnd w:id="67"/>
      <w:bookmarkStart w:id="68" w:name="_Toc29674"/>
      <w:bookmarkStart w:id="69" w:name="_Toc291667275"/>
      <w:bookmarkStart w:id="70" w:name="_Toc317256791"/>
      <w:bookmarkStart w:id="71" w:name="_Toc425932838"/>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二</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培训要求</w:t>
      </w:r>
      <w:bookmarkEnd w:id="68"/>
      <w:bookmarkEnd w:id="69"/>
      <w:bookmarkEnd w:id="70"/>
      <w:bookmarkEnd w:id="71"/>
    </w:p>
    <w:p>
      <w:pPr>
        <w:widowControl/>
        <w:spacing w:beforeLines="0" w:afterLines="0" w:line="400" w:lineRule="exact"/>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培训开始前，中标方须向招标方提供培训老师的履历。经招标方认可后，培训课程老师方可开始培训。</w:t>
      </w:r>
    </w:p>
    <w:p>
      <w:pPr>
        <w:widowControl/>
        <w:spacing w:beforeLines="0" w:afterLines="0" w:line="400" w:lineRule="exact"/>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中标方事先须提供《培训方案》，且须通过工作小组审核通过。</w:t>
      </w:r>
    </w:p>
    <w:p>
      <w:pPr>
        <w:spacing w:beforeLines="0" w:afterLines="0"/>
        <w:ind w:firstLine="480" w:firstLineChars="2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培训工作须严格按照《培训方案》执行。</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p>
    <w:p>
      <w:pPr>
        <w:spacing w:beforeLines="0" w:afterLines="0" w:line="400" w:lineRule="exact"/>
        <w:ind w:firstLine="600" w:firstLineChars="200"/>
        <w:outlineLvl w:val="0"/>
        <w:rPr>
          <w:rFonts w:hint="eastAsia" w:ascii="黑体" w:hAnsi="黑体" w:eastAsia="黑体" w:cs="黑体"/>
          <w:color w:val="000000" w:themeColor="text1"/>
          <w:sz w:val="30"/>
          <w:szCs w:val="30"/>
          <w:lang w:val="en-US" w:eastAsia="zh-CN"/>
          <w14:textFill>
            <w14:solidFill>
              <w14:schemeClr w14:val="tx1"/>
            </w14:solidFill>
          </w14:textFill>
        </w:rPr>
      </w:pPr>
      <w:r>
        <w:rPr>
          <w:rFonts w:hint="eastAsia" w:ascii="黑体" w:hAnsi="黑体" w:eastAsia="黑体" w:cs="黑体"/>
          <w:color w:val="000000" w:themeColor="text1"/>
          <w:sz w:val="30"/>
          <w:szCs w:val="30"/>
          <w:lang w:val="en-US" w:eastAsia="zh-CN"/>
          <w14:textFill>
            <w14:solidFill>
              <w14:schemeClr w14:val="tx1"/>
            </w14:solidFill>
          </w14:textFill>
        </w:rPr>
        <w:t>七、维保服务</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本章约定免费维保期期间的服务要求。</w:t>
      </w:r>
    </w:p>
    <w:p>
      <w:pPr>
        <w:pStyle w:val="23"/>
        <w:spacing w:beforeLines="0" w:afterLines="0" w:line="400" w:lineRule="exact"/>
        <w:ind w:firstLineChars="0"/>
        <w:outlineLvl w:val="0"/>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中标方需在项目验收通过后，提供1年免费维保服务。</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中标方提供所有的维保服务，并按照贵州省农村信用社联合社信息系统相关移交管理规定向招标方进行项目移交。</w:t>
      </w:r>
    </w:p>
    <w:p>
      <w:pPr>
        <w:spacing w:beforeLines="0" w:afterLines="0" w:line="400" w:lineRule="exact"/>
        <w:ind w:firstLine="480"/>
        <w:outlineLvl w:val="1"/>
        <w:rPr>
          <w:rFonts w:hint="eastAsia" w:ascii="仿宋_GB2312" w:hAnsi="仿宋_GB2312" w:eastAsia="仿宋_GB2312" w:cs="仿宋_GB2312"/>
          <w:color w:val="000000" w:themeColor="text1"/>
          <w:sz w:val="24"/>
          <w:szCs w:val="24"/>
          <w14:textFill>
            <w14:solidFill>
              <w14:schemeClr w14:val="tx1"/>
            </w14:solidFill>
          </w14:textFill>
        </w:rPr>
      </w:pPr>
      <w:bookmarkStart w:id="72" w:name="_Toc673"/>
      <w:bookmarkStart w:id="73" w:name="_Toc26417"/>
      <w:r>
        <w:rPr>
          <w:rFonts w:hint="eastAsia" w:ascii="仿宋_GB2312" w:hAnsi="仿宋_GB2312" w:eastAsia="仿宋_GB2312" w:cs="仿宋_GB2312"/>
          <w:color w:val="000000" w:themeColor="text1"/>
          <w:sz w:val="24"/>
          <w:szCs w:val="24"/>
          <w14:textFill>
            <w14:solidFill>
              <w14:schemeClr w14:val="tx1"/>
            </w14:solidFill>
          </w14:textFill>
        </w:rPr>
        <w:t>（一）定义</w:t>
      </w:r>
      <w:bookmarkEnd w:id="72"/>
      <w:bookmarkEnd w:id="73"/>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故障是指信息系统在没有预先安排的情况下出现的对用户提供服务的中断。</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故障级别分为：</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一级故障：系统不能运行或存在故障，导致所有或部分业务都无法运行。</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二级故障：辖内部分机构的业务系统无法运行。</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三级故障：系统运行出现故障，但是不影响业务办理，或者有其他替代方式能够完成业务办理。</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缺陷是指信息系统存在的某种破坏正常运行能力的问题、错误，或者隐藏的功能缺陷，即将但是还没有造成系统故障。</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缺陷级别分为：</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紧急缺陷：指信息系统存在异常，即将造成大量业务中断或存在高风险安全漏洞，随时可能发生信息系统故障或安全事件。</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重大缺陷：指信息系统发生异常，不影响信息系统整体运行，即将或已经造成少量业务中断，对安全运行影响较大，尚能保持运行，不及时处理会造成信息系统停运等故障情况。</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普通缺陷：指设备(系统)、设施发生的异常，不影响业务运行，不影响设备（系统）整体运行，短时之内不会劣化为重大缺陷、紧急缺陷，对运行虽有影响但尚能保持运行。</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变更包括故障及缺陷的处理、日常运维中的数据变更和配置变更、定制化功能需求变更等。</w:t>
      </w:r>
    </w:p>
    <w:p>
      <w:pPr>
        <w:spacing w:beforeLines="0" w:afterLines="0" w:line="400" w:lineRule="exact"/>
        <w:ind w:firstLine="480"/>
        <w:outlineLvl w:val="1"/>
        <w:rPr>
          <w:rFonts w:hint="eastAsia" w:ascii="仿宋_GB2312" w:hAnsi="仿宋_GB2312" w:eastAsia="仿宋_GB2312" w:cs="仿宋_GB2312"/>
          <w:color w:val="000000" w:themeColor="text1"/>
          <w:sz w:val="24"/>
          <w:szCs w:val="24"/>
          <w14:textFill>
            <w14:solidFill>
              <w14:schemeClr w14:val="tx1"/>
            </w14:solidFill>
          </w14:textFill>
        </w:rPr>
      </w:pPr>
      <w:bookmarkStart w:id="74" w:name="_Toc29667"/>
      <w:bookmarkStart w:id="75" w:name="_Toc28880"/>
      <w:r>
        <w:rPr>
          <w:rFonts w:hint="eastAsia" w:ascii="仿宋_GB2312" w:hAnsi="仿宋_GB2312" w:eastAsia="仿宋_GB2312" w:cs="仿宋_GB2312"/>
          <w:color w:val="000000" w:themeColor="text1"/>
          <w:sz w:val="24"/>
          <w:szCs w:val="24"/>
          <w14:textFill>
            <w14:solidFill>
              <w14:schemeClr w14:val="tx1"/>
            </w14:solidFill>
          </w14:textFill>
        </w:rPr>
        <w:t>（二）维保服务范围</w:t>
      </w:r>
      <w:bookmarkEnd w:id="74"/>
      <w:bookmarkEnd w:id="75"/>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系统有效生命周期内（即招标方废止该系统运行之前）,中标方维保服务包括但不限于以下内容：</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1.系统运行问题的诊断和处理。</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2.系统运行期间技术咨询。</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3.产品版本升级、缺陷修复、故障处理。</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4.系统巡检、特殊时段保障。</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5.信息备份。</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6.配置变更、数据变更。</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7.不超过系统建设总工作量10%的局部功能的增加和调整。</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8.未来新增定制化改造内容的维保。</w:t>
      </w:r>
    </w:p>
    <w:p>
      <w:pPr>
        <w:spacing w:beforeLines="0" w:afterLines="0" w:line="400" w:lineRule="exact"/>
        <w:ind w:firstLine="480"/>
        <w:outlineLvl w:val="1"/>
        <w:rPr>
          <w:rFonts w:hint="eastAsia" w:ascii="仿宋_GB2312" w:hAnsi="仿宋_GB2312" w:eastAsia="仿宋_GB2312" w:cs="仿宋_GB2312"/>
          <w:color w:val="000000" w:themeColor="text1"/>
          <w:sz w:val="24"/>
          <w:szCs w:val="24"/>
          <w14:textFill>
            <w14:solidFill>
              <w14:schemeClr w14:val="tx1"/>
            </w14:solidFill>
          </w14:textFill>
        </w:rPr>
      </w:pPr>
      <w:bookmarkStart w:id="76" w:name="_Toc30880"/>
      <w:bookmarkStart w:id="77" w:name="_Toc446"/>
      <w:r>
        <w:rPr>
          <w:rFonts w:hint="eastAsia" w:ascii="仿宋_GB2312" w:hAnsi="仿宋_GB2312" w:eastAsia="仿宋_GB2312" w:cs="仿宋_GB2312"/>
          <w:color w:val="000000" w:themeColor="text1"/>
          <w:sz w:val="24"/>
          <w:szCs w:val="24"/>
          <w14:textFill>
            <w14:solidFill>
              <w14:schemeClr w14:val="tx1"/>
            </w14:solidFill>
          </w14:textFill>
        </w:rPr>
        <w:t>（三）维保服务要求</w:t>
      </w:r>
      <w:bookmarkEnd w:id="76"/>
      <w:bookmarkEnd w:id="77"/>
    </w:p>
    <w:p>
      <w:pPr>
        <w:spacing w:beforeLines="0" w:afterLines="0" w:line="400" w:lineRule="exact"/>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1.维保服务方式</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服务方式包括但不限于现场人员支持、现场咨询、现场排除故障、电话咨询、远程支持等。</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免费维保期限内提供至少</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1人经招标方认可的参与项目建设的人员进行驻场维保。</w:t>
      </w:r>
    </w:p>
    <w:p>
      <w:pPr>
        <w:spacing w:beforeLines="0" w:afterLines="0" w:line="400" w:lineRule="exact"/>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2.维保服务描述</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中标方在维保服务期按照贵州省农村信用社联合社信息系统运维管理相关规定，为招标方提供以下运维服务：</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900"/>
        <w:gridCol w:w="5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6" w:type="dxa"/>
            <w:noWrap w:val="0"/>
            <w:vAlign w:val="top"/>
          </w:tcPr>
          <w:p>
            <w:pPr>
              <w:adjustRightInd w:val="0"/>
              <w:snapToGrid w:val="0"/>
              <w:spacing w:beforeLines="0" w:afterLines="0" w:line="400" w:lineRule="exact"/>
              <w:ind w:firstLine="0" w:firstLineChars="0"/>
              <w:jc w:val="center"/>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序号</w:t>
            </w:r>
          </w:p>
        </w:tc>
        <w:tc>
          <w:tcPr>
            <w:tcW w:w="1900" w:type="dxa"/>
            <w:noWrap w:val="0"/>
            <w:vAlign w:val="top"/>
          </w:tcPr>
          <w:p>
            <w:pPr>
              <w:adjustRightInd w:val="0"/>
              <w:snapToGrid w:val="0"/>
              <w:spacing w:beforeLines="0" w:afterLines="0" w:line="400" w:lineRule="exact"/>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服务项</w:t>
            </w:r>
          </w:p>
        </w:tc>
        <w:tc>
          <w:tcPr>
            <w:tcW w:w="5474" w:type="dxa"/>
            <w:noWrap w:val="0"/>
            <w:vAlign w:val="top"/>
          </w:tcPr>
          <w:p>
            <w:pPr>
              <w:adjustRightInd w:val="0"/>
              <w:snapToGrid w:val="0"/>
              <w:spacing w:beforeLines="0" w:afterLines="0" w:line="400" w:lineRule="exact"/>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900"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系统巡检</w:t>
            </w:r>
          </w:p>
        </w:tc>
        <w:tc>
          <w:tcPr>
            <w:tcW w:w="5474"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对系统进行巡视，检查系统运行状态</w:t>
            </w:r>
            <w:r>
              <w:rPr>
                <w:rFonts w:hint="eastAsia" w:ascii="仿宋_GB2312" w:hAnsi="仿宋_GB2312" w:eastAsia="仿宋_GB2312" w:cs="仿宋_GB2312"/>
                <w:color w:val="000000" w:themeColor="text1"/>
                <w:sz w:val="24"/>
                <w:szCs w:val="24"/>
                <w14:textFill>
                  <w14:solidFill>
                    <w14:schemeClr w14:val="tx1"/>
                  </w14:solidFill>
                </w14:textFill>
              </w:rPr>
              <w:t>，及时解决突发问题；</w:t>
            </w:r>
          </w:p>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重大节假日</w:t>
            </w:r>
            <w:r>
              <w:rPr>
                <w:rFonts w:hint="eastAsia" w:ascii="仿宋_GB2312" w:hAnsi="仿宋_GB2312" w:eastAsia="仿宋_GB2312" w:cs="仿宋_GB2312"/>
                <w:color w:val="000000" w:themeColor="text1"/>
                <w:sz w:val="24"/>
                <w:szCs w:val="24"/>
                <w14:textFill>
                  <w14:solidFill>
                    <w14:schemeClr w14:val="tx1"/>
                  </w14:solidFill>
                </w14:textFill>
              </w:rPr>
              <w:t>或重要时点</w:t>
            </w:r>
            <w:r>
              <w:rPr>
                <w:rFonts w:hint="eastAsia" w:ascii="仿宋_GB2312" w:hAnsi="仿宋_GB2312" w:eastAsia="仿宋_GB2312" w:cs="仿宋_GB2312"/>
                <w:color w:val="000000" w:themeColor="text1"/>
                <w:sz w:val="24"/>
                <w:szCs w:val="24"/>
                <w:lang w:eastAsia="zh-TW"/>
                <w14:textFill>
                  <w14:solidFill>
                    <w14:schemeClr w14:val="tx1"/>
                  </w14:solidFill>
                </w14:textFill>
              </w:rPr>
              <w:t>前，对运维对象进行系统级检查，并及时处理系统隐患及异常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900"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特殊时段保障</w:t>
            </w:r>
          </w:p>
        </w:tc>
        <w:tc>
          <w:tcPr>
            <w:tcW w:w="5474"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重大节假日或重大活动日保障系统正常运行。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900"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技术咨询</w:t>
            </w:r>
          </w:p>
        </w:tc>
        <w:tc>
          <w:tcPr>
            <w:tcW w:w="5474"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7*24小时响应用户电话咨询，进行系统维护指导；</w:t>
            </w:r>
          </w:p>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技术方案支持、规划咨询服务等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900"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信息备份</w:t>
            </w:r>
          </w:p>
        </w:tc>
        <w:tc>
          <w:tcPr>
            <w:tcW w:w="5474"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对系统代码、系统配置信息、系统文档等进行备份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1900"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故障及缺陷处理</w:t>
            </w:r>
          </w:p>
        </w:tc>
        <w:tc>
          <w:tcPr>
            <w:tcW w:w="5474"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对影响系统可用性的故障及缺陷或突发事件进行处置，最大化系统可用率、杜绝信息安全事件、保证系统应用性能</w:t>
            </w:r>
          </w:p>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对系统BUG或功能BUG进行处理完善</w:t>
            </w:r>
          </w:p>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对系统性能进行优化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1900"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w:t>
            </w:r>
          </w:p>
        </w:tc>
        <w:tc>
          <w:tcPr>
            <w:tcW w:w="5474"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完成系统运行环境、运行参数、操作系统补丁的升级和调优工作</w:t>
            </w:r>
          </w:p>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TW"/>
                <w14:textFill>
                  <w14:solidFill>
                    <w14:schemeClr w14:val="tx1"/>
                  </w14:solidFill>
                </w14:textFill>
              </w:rPr>
              <w:t>配合完成系统测试环境搭建</w:t>
            </w:r>
          </w:p>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eastAsia="zh-TW"/>
                <w14:textFill>
                  <w14:solidFill>
                    <w14:schemeClr w14:val="tx1"/>
                  </w14:solidFill>
                </w14:textFill>
              </w:rPr>
              <w:t>配合完成系统迁移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1900"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产品</w:t>
            </w:r>
            <w:r>
              <w:rPr>
                <w:rFonts w:hint="eastAsia" w:ascii="仿宋_GB2312" w:hAnsi="仿宋_GB2312" w:eastAsia="仿宋_GB2312" w:cs="仿宋_GB2312"/>
                <w:color w:val="000000" w:themeColor="text1"/>
                <w:sz w:val="24"/>
                <w:szCs w:val="24"/>
                <w:lang w:eastAsia="zh-TW"/>
                <w14:textFill>
                  <w14:solidFill>
                    <w14:schemeClr w14:val="tx1"/>
                  </w14:solidFill>
                </w14:textFill>
              </w:rPr>
              <w:t>版本</w:t>
            </w:r>
            <w:r>
              <w:rPr>
                <w:rFonts w:hint="eastAsia" w:ascii="仿宋_GB2312" w:hAnsi="仿宋_GB2312" w:eastAsia="仿宋_GB2312" w:cs="仿宋_GB2312"/>
                <w:color w:val="000000" w:themeColor="text1"/>
                <w:sz w:val="24"/>
                <w:szCs w:val="24"/>
                <w14:textFill>
                  <w14:solidFill>
                    <w14:schemeClr w14:val="tx1"/>
                  </w14:solidFill>
                </w14:textFill>
              </w:rPr>
              <w:t>升级</w:t>
            </w:r>
          </w:p>
        </w:tc>
        <w:tc>
          <w:tcPr>
            <w:tcW w:w="5474"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系统程序</w:t>
            </w:r>
            <w:r>
              <w:rPr>
                <w:rFonts w:hint="eastAsia" w:ascii="仿宋_GB2312" w:hAnsi="仿宋_GB2312" w:eastAsia="仿宋_GB2312" w:cs="仿宋_GB2312"/>
                <w:color w:val="000000" w:themeColor="text1"/>
                <w:sz w:val="24"/>
                <w:szCs w:val="24"/>
                <w14:textFill>
                  <w14:solidFill>
                    <w14:schemeClr w14:val="tx1"/>
                  </w14:solidFill>
                </w14:textFill>
              </w:rPr>
              <w:t>发布、部署及相关文档等</w:t>
            </w:r>
            <w:r>
              <w:rPr>
                <w:rFonts w:hint="eastAsia" w:ascii="仿宋_GB2312" w:hAnsi="仿宋_GB2312" w:eastAsia="仿宋_GB2312" w:cs="仿宋_GB2312"/>
                <w:color w:val="000000" w:themeColor="text1"/>
                <w:sz w:val="24"/>
                <w:szCs w:val="24"/>
                <w:lang w:eastAsia="zh-TW"/>
                <w14:textFill>
                  <w14:solidFill>
                    <w14:schemeClr w14:val="tx1"/>
                  </w14:solidFill>
                </w14:textFill>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1900"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局部功能调整</w:t>
            </w:r>
          </w:p>
        </w:tc>
        <w:tc>
          <w:tcPr>
            <w:tcW w:w="5474"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对系统功能进行局部功能更改，并同步对《需求说明》、《设计文档》、《数据字典》、《使用手册》</w:t>
            </w:r>
            <w:r>
              <w:rPr>
                <w:rFonts w:hint="eastAsia" w:ascii="仿宋_GB2312" w:hAnsi="仿宋_GB2312" w:eastAsia="仿宋_GB2312" w:cs="仿宋_GB2312"/>
                <w:color w:val="000000" w:themeColor="text1"/>
                <w:sz w:val="24"/>
                <w:szCs w:val="24"/>
                <w14:textFill>
                  <w14:solidFill>
                    <w14:schemeClr w14:val="tx1"/>
                  </w14:solidFill>
                </w14:textFill>
              </w:rPr>
              <w:t>等</w:t>
            </w:r>
            <w:r>
              <w:rPr>
                <w:rFonts w:hint="eastAsia" w:ascii="仿宋_GB2312" w:hAnsi="仿宋_GB2312" w:eastAsia="仿宋_GB2312" w:cs="仿宋_GB2312"/>
                <w:color w:val="000000" w:themeColor="text1"/>
                <w:sz w:val="24"/>
                <w:szCs w:val="24"/>
                <w:lang w:eastAsia="zh-TW"/>
                <w14:textFill>
                  <w14:solidFill>
                    <w14:schemeClr w14:val="tx1"/>
                  </w14:solidFill>
                </w14:textFill>
              </w:rPr>
              <w:t>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1900"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w:t>
            </w:r>
          </w:p>
        </w:tc>
        <w:tc>
          <w:tcPr>
            <w:tcW w:w="5474"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对因用户误操作、通过系统功能无法更正的应用数据，在招标方书面授权后，进行后台修改，并对数据实行分级维护（对不同单位、个人授予相应权限）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1900"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其他</w:t>
            </w:r>
          </w:p>
        </w:tc>
        <w:tc>
          <w:tcPr>
            <w:tcW w:w="5474"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针对系统可能的突发事件，配合招标方编制应急预案，并配合招标方进行应急演练</w:t>
            </w:r>
          </w:p>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TW"/>
                <w14:textFill>
                  <w14:solidFill>
                    <w14:schemeClr w14:val="tx1"/>
                  </w14:solidFill>
                </w14:textFill>
              </w:rPr>
              <w:t>配合进行安全测评，以及安全整改和加固</w:t>
            </w:r>
          </w:p>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eastAsia="zh-TW"/>
                <w14:textFill>
                  <w14:solidFill>
                    <w14:schemeClr w14:val="tx1"/>
                  </w14:solidFill>
                </w14:textFill>
              </w:rPr>
              <w:t>配合完成与本系统相关的其它运维服务工作</w:t>
            </w:r>
          </w:p>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r>
              <w:rPr>
                <w:rFonts w:hint="eastAsia" w:ascii="仿宋_GB2312" w:hAnsi="仿宋_GB2312" w:eastAsia="仿宋_GB2312" w:cs="仿宋_GB2312"/>
                <w:color w:val="000000" w:themeColor="text1"/>
                <w:sz w:val="24"/>
                <w:szCs w:val="24"/>
                <w:lang w:eastAsia="zh-TW"/>
                <w14:textFill>
                  <w14:solidFill>
                    <w14:schemeClr w14:val="tx1"/>
                  </w14:solidFill>
                </w14:textFill>
              </w:rPr>
              <w:t>协助招标方完成制定IT服务的相关流程、制度，详细列出针对不同事件和问题的技术方案和解决方案，并提供相关技术参考资料等</w:t>
            </w:r>
          </w:p>
        </w:tc>
      </w:tr>
    </w:tbl>
    <w:p>
      <w:pPr>
        <w:spacing w:beforeLines="0" w:afterLines="0" w:line="400" w:lineRule="exact"/>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3.服务响应时限和服务周期要求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896"/>
        <w:gridCol w:w="5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beforeLines="0" w:afterLines="0" w:line="400" w:lineRule="exact"/>
              <w:ind w:firstLine="0" w:firstLineChars="0"/>
              <w:jc w:val="center"/>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序号</w:t>
            </w:r>
          </w:p>
        </w:tc>
        <w:tc>
          <w:tcPr>
            <w:tcW w:w="1896" w:type="dxa"/>
            <w:noWrap w:val="0"/>
            <w:vAlign w:val="top"/>
          </w:tcPr>
          <w:p>
            <w:pPr>
              <w:adjustRightInd w:val="0"/>
              <w:snapToGrid w:val="0"/>
              <w:spacing w:beforeLines="0" w:afterLines="0" w:line="400" w:lineRule="exact"/>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服务项</w:t>
            </w:r>
          </w:p>
        </w:tc>
        <w:tc>
          <w:tcPr>
            <w:tcW w:w="5471" w:type="dxa"/>
            <w:noWrap w:val="0"/>
            <w:vAlign w:val="top"/>
          </w:tcPr>
          <w:p>
            <w:pPr>
              <w:adjustRightInd w:val="0"/>
              <w:snapToGrid w:val="0"/>
              <w:spacing w:beforeLines="0" w:afterLines="0" w:line="400" w:lineRule="exact"/>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服务响应时限和服务周期要求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896"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系统巡检</w:t>
            </w:r>
          </w:p>
        </w:tc>
        <w:tc>
          <w:tcPr>
            <w:tcW w:w="5471"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每月及重大节假日或重大活动日或重大事件前进行巡检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896"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特殊时段保障</w:t>
            </w:r>
          </w:p>
        </w:tc>
        <w:tc>
          <w:tcPr>
            <w:tcW w:w="5471"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招标方有权要求中标方在重大节假日或重大活动日派驻至少一名技术人员驻场保障系统正常运行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896"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技术咨询</w:t>
            </w:r>
          </w:p>
        </w:tc>
        <w:tc>
          <w:tcPr>
            <w:tcW w:w="5471"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提供7×24小时服务</w:t>
            </w:r>
          </w:p>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TW"/>
                <w14:textFill>
                  <w14:solidFill>
                    <w14:schemeClr w14:val="tx1"/>
                  </w14:solidFill>
                </w14:textFill>
              </w:rPr>
              <w:t>3小时内响应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896"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信息备份</w:t>
            </w:r>
          </w:p>
        </w:tc>
        <w:tc>
          <w:tcPr>
            <w:tcW w:w="5471"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系统代码、系统配置信息、系统文档发生改变后1个工作日内进行备份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1896"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故障及缺陷处理</w:t>
            </w:r>
          </w:p>
        </w:tc>
        <w:tc>
          <w:tcPr>
            <w:tcW w:w="5471"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提供7×24小时服务</w:t>
            </w:r>
          </w:p>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（2）详见表下约定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1896"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w:t>
            </w:r>
          </w:p>
        </w:tc>
        <w:tc>
          <w:tcPr>
            <w:tcW w:w="5471"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开展配置变更的工作时间不能影响系统正常使用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1896"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产品版本升级</w:t>
            </w:r>
          </w:p>
        </w:tc>
        <w:tc>
          <w:tcPr>
            <w:tcW w:w="5471"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开展程序发布的工作时间不能影响系统正常使用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1896"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数据变更及其他</w:t>
            </w:r>
          </w:p>
        </w:tc>
        <w:tc>
          <w:tcPr>
            <w:tcW w:w="5471"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满足招标方时限要求</w:t>
            </w:r>
          </w:p>
        </w:tc>
      </w:tr>
    </w:tbl>
    <w:p>
      <w:pPr>
        <w:spacing w:beforeLines="0" w:afterLines="0" w:line="400" w:lineRule="exact"/>
        <w:ind w:firstLine="480"/>
        <w:outlineLvl w:val="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（1）故障处理时限要求</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级故障：要求30分钟内予以响应，经招标方评估，需要中标方到现场解决的，中标方维护人员如在招标方所在地或是招标方所辖内的机构（包括分支机构）所在地，要求2小时内到达现场；如在外地，到达现场所用时间应控制在12小时内。</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级故障：要求1小时内予以响应，经招标方评估，需要中标方到现场解决的，中标方维护人员如在招标方所在地或是招标方所辖内的机构（包括分支机构）所在地，要求4小时内到达现场；如在外地，到达现场所用时间应控制在24小时内。</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级故障：要求1小时内予以响应，经招标方评估，需要中标方到现场解决的，中标方维护人员如在招标方所在地或是招标方所辖内的机构（包括分支机构）所在地，要求8小时内到达现场；如在外地，到达现场时间应控制在48小时内。</w:t>
      </w:r>
    </w:p>
    <w:p>
      <w:pPr>
        <w:spacing w:beforeLines="0" w:afterLines="0" w:line="400" w:lineRule="exact"/>
        <w:ind w:firstLine="480"/>
        <w:outlineLvl w:val="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（2）缺陷修复时限要求</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紧急缺陷：要求1小时内予以响应，2天内予以解决。</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重大缺陷：要求1天内予以响应，7天内予以解决。</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普通缺陷：要求2天内予以响应，双方友好协商。</w:t>
      </w:r>
    </w:p>
    <w:p>
      <w:pPr>
        <w:spacing w:beforeLines="0" w:afterLines="0" w:line="400" w:lineRule="exact"/>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4.交付物要求清单/清单要求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377"/>
        <w:gridCol w:w="2965"/>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top"/>
          </w:tcPr>
          <w:p>
            <w:pPr>
              <w:adjustRightInd w:val="0"/>
              <w:snapToGrid w:val="0"/>
              <w:spacing w:beforeLines="0" w:afterLines="0" w:line="400" w:lineRule="exact"/>
              <w:ind w:firstLine="0" w:firstLineChars="0"/>
              <w:jc w:val="center"/>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序号</w:t>
            </w:r>
          </w:p>
        </w:tc>
        <w:tc>
          <w:tcPr>
            <w:tcW w:w="1377" w:type="dxa"/>
            <w:noWrap w:val="0"/>
            <w:vAlign w:val="top"/>
          </w:tcPr>
          <w:p>
            <w:pPr>
              <w:adjustRightInd w:val="0"/>
              <w:snapToGrid w:val="0"/>
              <w:spacing w:beforeLines="0" w:afterLines="0" w:line="400" w:lineRule="exact"/>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服务项</w:t>
            </w:r>
          </w:p>
        </w:tc>
        <w:tc>
          <w:tcPr>
            <w:tcW w:w="2965" w:type="dxa"/>
            <w:noWrap w:val="0"/>
            <w:vAlign w:val="top"/>
          </w:tcPr>
          <w:p>
            <w:pPr>
              <w:adjustRightInd w:val="0"/>
              <w:snapToGrid w:val="0"/>
              <w:spacing w:beforeLines="0" w:afterLines="0" w:line="400" w:lineRule="exact"/>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交付物</w:t>
            </w:r>
          </w:p>
        </w:tc>
        <w:tc>
          <w:tcPr>
            <w:tcW w:w="3054" w:type="dxa"/>
            <w:noWrap w:val="0"/>
            <w:vAlign w:val="top"/>
          </w:tcPr>
          <w:p>
            <w:pPr>
              <w:adjustRightInd w:val="0"/>
              <w:snapToGrid w:val="0"/>
              <w:spacing w:beforeLines="0" w:afterLines="0" w:line="400" w:lineRule="exact"/>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noWrap w:val="0"/>
            <w:vAlign w:val="center"/>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377" w:type="dxa"/>
            <w:vMerge w:val="restart"/>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系统巡检</w:t>
            </w:r>
          </w:p>
        </w:tc>
        <w:tc>
          <w:tcPr>
            <w:tcW w:w="2965"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《系统巡检指南》</w:t>
            </w:r>
          </w:p>
        </w:tc>
        <w:tc>
          <w:tcPr>
            <w:tcW w:w="3054"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系统上线后20个工作日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numPr>
                <w:ilvl w:val="0"/>
                <w:numId w:val="10"/>
              </w:numPr>
              <w:adjustRightInd w:val="0"/>
              <w:snapToGrid w:val="0"/>
              <w:spacing w:beforeLines="0" w:afterLines="0" w:line="400" w:lineRule="exact"/>
              <w:ind w:firstLineChars="0"/>
              <w:jc w:val="center"/>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1377" w:type="dxa"/>
            <w:vMerge w:val="continue"/>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2965"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巡检报告</w:t>
            </w:r>
          </w:p>
        </w:tc>
        <w:tc>
          <w:tcPr>
            <w:tcW w:w="3054"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巡检结束后5个工作日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377"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特殊时段保障</w:t>
            </w:r>
          </w:p>
        </w:tc>
        <w:tc>
          <w:tcPr>
            <w:tcW w:w="2965" w:type="dxa"/>
            <w:noWrap w:val="0"/>
            <w:vAlign w:val="top"/>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缺陷处理报告</w:t>
            </w:r>
          </w:p>
        </w:tc>
        <w:tc>
          <w:tcPr>
            <w:tcW w:w="3054"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noWrap w:val="0"/>
            <w:vAlign w:val="center"/>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377" w:type="dxa"/>
            <w:vMerge w:val="restart"/>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故障处理</w:t>
            </w:r>
          </w:p>
        </w:tc>
        <w:tc>
          <w:tcPr>
            <w:tcW w:w="2965" w:type="dxa"/>
            <w:noWrap w:val="0"/>
            <w:vAlign w:val="center"/>
          </w:tcPr>
          <w:p>
            <w:pPr>
              <w:pStyle w:val="25"/>
              <w:spacing w:beforeLines="0" w:after="0" w:afterLines="0" w:line="400" w:lineRule="exact"/>
              <w:ind w:left="0" w:leftChars="0" w:firstLine="0" w:firstLineChars="0"/>
              <w:rPr>
                <w:rFonts w:hint="eastAsia" w:ascii="仿宋_GB2312" w:hAnsi="仿宋_GB2312" w:eastAsia="仿宋_GB2312" w:cs="仿宋_GB2312"/>
                <w:color w:val="000000" w:themeColor="text1"/>
                <w:kern w:val="2"/>
                <w:sz w:val="24"/>
                <w:szCs w:val="24"/>
                <w:lang w:eastAsia="zh-TW"/>
                <w14:textFill>
                  <w14:solidFill>
                    <w14:schemeClr w14:val="tx1"/>
                  </w14:solidFill>
                </w14:textFill>
              </w:rPr>
            </w:pPr>
            <w:r>
              <w:rPr>
                <w:rFonts w:hint="eastAsia" w:ascii="仿宋_GB2312" w:hAnsi="仿宋_GB2312" w:eastAsia="仿宋_GB2312" w:cs="仿宋_GB2312"/>
                <w:color w:val="000000" w:themeColor="text1"/>
                <w:kern w:val="2"/>
                <w:sz w:val="24"/>
                <w:szCs w:val="24"/>
                <w:lang w:eastAsia="zh-TW"/>
                <w14:textFill>
                  <w14:solidFill>
                    <w14:schemeClr w14:val="tx1"/>
                  </w14:solidFill>
                </w14:textFill>
              </w:rPr>
              <w:t>故障处理报告或记录</w:t>
            </w:r>
          </w:p>
        </w:tc>
        <w:tc>
          <w:tcPr>
            <w:tcW w:w="3054" w:type="dxa"/>
            <w:noWrap w:val="0"/>
            <w:vAlign w:val="center"/>
          </w:tcPr>
          <w:p>
            <w:pPr>
              <w:pStyle w:val="25"/>
              <w:spacing w:beforeLines="0" w:after="0" w:afterLines="0" w:line="400" w:lineRule="exact"/>
              <w:ind w:left="0" w:leftChars="0" w:firstLine="0" w:firstLineChars="0"/>
              <w:rPr>
                <w:rFonts w:hint="eastAsia" w:ascii="仿宋_GB2312" w:hAnsi="仿宋_GB2312" w:eastAsia="仿宋_GB2312" w:cs="仿宋_GB2312"/>
                <w:color w:val="000000" w:themeColor="text1"/>
                <w:kern w:val="2"/>
                <w:sz w:val="24"/>
                <w:szCs w:val="24"/>
                <w:lang w:eastAsia="zh-TW"/>
                <w14:textFill>
                  <w14:solidFill>
                    <w14:schemeClr w14:val="tx1"/>
                  </w14:solidFill>
                </w14:textFill>
              </w:rPr>
            </w:pPr>
            <w:r>
              <w:rPr>
                <w:rFonts w:hint="eastAsia" w:ascii="仿宋_GB2312" w:hAnsi="仿宋_GB2312" w:eastAsia="仿宋_GB2312" w:cs="仿宋_GB2312"/>
                <w:color w:val="000000" w:themeColor="text1"/>
                <w:kern w:val="2"/>
                <w:sz w:val="24"/>
                <w:szCs w:val="24"/>
                <w:lang w:eastAsia="zh-TW"/>
                <w14:textFill>
                  <w14:solidFill>
                    <w14:schemeClr w14:val="tx1"/>
                  </w14:solidFill>
                </w14:textFill>
              </w:rPr>
              <w:t>故障处理完成后1个工作日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numPr>
                <w:ilvl w:val="0"/>
                <w:numId w:val="10"/>
              </w:numPr>
              <w:adjustRightInd w:val="0"/>
              <w:snapToGrid w:val="0"/>
              <w:spacing w:beforeLines="0" w:afterLines="0" w:line="400" w:lineRule="exact"/>
              <w:ind w:firstLineChars="0"/>
              <w:jc w:val="center"/>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1377" w:type="dxa"/>
            <w:vMerge w:val="continue"/>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2965" w:type="dxa"/>
            <w:noWrap w:val="0"/>
            <w:vAlign w:val="center"/>
          </w:tcPr>
          <w:p>
            <w:pPr>
              <w:pStyle w:val="25"/>
              <w:spacing w:beforeLines="0" w:after="0" w:afterLines="0" w:line="400" w:lineRule="exact"/>
              <w:ind w:left="0" w:leftChars="0" w:firstLine="0" w:firstLineChars="0"/>
              <w:rPr>
                <w:rFonts w:hint="eastAsia" w:ascii="仿宋_GB2312" w:hAnsi="仿宋_GB2312" w:eastAsia="仿宋_GB2312" w:cs="仿宋_GB2312"/>
                <w:color w:val="000000" w:themeColor="text1"/>
                <w:kern w:val="2"/>
                <w:sz w:val="24"/>
                <w:szCs w:val="24"/>
                <w:lang w:eastAsia="zh-TW"/>
                <w14:textFill>
                  <w14:solidFill>
                    <w14:schemeClr w14:val="tx1"/>
                  </w14:solidFill>
                </w14:textFill>
              </w:rPr>
            </w:pPr>
            <w:r>
              <w:rPr>
                <w:rFonts w:hint="eastAsia" w:ascii="仿宋_GB2312" w:hAnsi="仿宋_GB2312" w:eastAsia="仿宋_GB2312" w:cs="仿宋_GB2312"/>
                <w:color w:val="000000" w:themeColor="text1"/>
                <w:kern w:val="2"/>
                <w:sz w:val="24"/>
                <w:szCs w:val="24"/>
                <w:lang w:eastAsia="zh-TW"/>
                <w14:textFill>
                  <w14:solidFill>
                    <w14:schemeClr w14:val="tx1"/>
                  </w14:solidFill>
                </w14:textFill>
              </w:rPr>
              <w:t>更新《系统故障处置指南》</w:t>
            </w:r>
          </w:p>
        </w:tc>
        <w:tc>
          <w:tcPr>
            <w:tcW w:w="3054" w:type="dxa"/>
            <w:noWrap w:val="0"/>
            <w:vAlign w:val="center"/>
          </w:tcPr>
          <w:p>
            <w:pPr>
              <w:pStyle w:val="25"/>
              <w:spacing w:beforeLines="0" w:after="0" w:afterLines="0" w:line="400" w:lineRule="exact"/>
              <w:ind w:left="0" w:leftChars="0" w:firstLine="0" w:firstLineChars="0"/>
              <w:rPr>
                <w:rFonts w:hint="eastAsia" w:ascii="仿宋_GB2312" w:hAnsi="仿宋_GB2312" w:eastAsia="仿宋_GB2312" w:cs="仿宋_GB2312"/>
                <w:color w:val="000000" w:themeColor="text1"/>
                <w:kern w:val="2"/>
                <w:sz w:val="24"/>
                <w:szCs w:val="24"/>
                <w:lang w:eastAsia="zh-TW"/>
                <w14:textFill>
                  <w14:solidFill>
                    <w14:schemeClr w14:val="tx1"/>
                  </w14:solidFill>
                </w14:textFill>
              </w:rPr>
            </w:pPr>
            <w:r>
              <w:rPr>
                <w:rFonts w:hint="eastAsia" w:ascii="仿宋_GB2312" w:hAnsi="仿宋_GB2312" w:eastAsia="仿宋_GB2312" w:cs="仿宋_GB2312"/>
                <w:color w:val="000000" w:themeColor="text1"/>
                <w:kern w:val="2"/>
                <w:sz w:val="24"/>
                <w:szCs w:val="24"/>
                <w:lang w:eastAsia="zh-TW"/>
                <w14:textFill>
                  <w14:solidFill>
                    <w14:schemeClr w14:val="tx1"/>
                  </w14:solidFill>
                </w14:textFill>
              </w:rPr>
              <w:t>故障处理完成后5个工作日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noWrap w:val="0"/>
            <w:vAlign w:val="center"/>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377" w:type="dxa"/>
            <w:vMerge w:val="restart"/>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w:t>
            </w:r>
          </w:p>
        </w:tc>
        <w:tc>
          <w:tcPr>
            <w:tcW w:w="2965"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缺陷处理报告或记录</w:t>
            </w:r>
          </w:p>
        </w:tc>
        <w:tc>
          <w:tcPr>
            <w:tcW w:w="3054"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numPr>
                <w:ilvl w:val="0"/>
                <w:numId w:val="10"/>
              </w:numPr>
              <w:adjustRightInd w:val="0"/>
              <w:snapToGrid w:val="0"/>
              <w:spacing w:beforeLines="0" w:afterLines="0" w:line="400" w:lineRule="exact"/>
              <w:ind w:firstLineChars="0"/>
              <w:jc w:val="center"/>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1377" w:type="dxa"/>
            <w:vMerge w:val="continue"/>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2965"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更新《系统缺陷处置指南》</w:t>
            </w:r>
          </w:p>
        </w:tc>
        <w:tc>
          <w:tcPr>
            <w:tcW w:w="3054"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noWrap w:val="0"/>
            <w:vAlign w:val="center"/>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1377" w:type="dxa"/>
            <w:vMerge w:val="restart"/>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w:t>
            </w:r>
          </w:p>
        </w:tc>
        <w:tc>
          <w:tcPr>
            <w:tcW w:w="2965"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配置变更记录</w:t>
            </w:r>
          </w:p>
        </w:tc>
        <w:tc>
          <w:tcPr>
            <w:tcW w:w="3054"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numPr>
                <w:ilvl w:val="0"/>
                <w:numId w:val="10"/>
              </w:numPr>
              <w:adjustRightInd w:val="0"/>
              <w:snapToGrid w:val="0"/>
              <w:spacing w:beforeLines="0" w:afterLines="0" w:line="400" w:lineRule="exact"/>
              <w:ind w:firstLineChars="0"/>
              <w:jc w:val="center"/>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1377" w:type="dxa"/>
            <w:vMerge w:val="continue"/>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2965"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更新《系统配置指南》</w:t>
            </w:r>
          </w:p>
        </w:tc>
        <w:tc>
          <w:tcPr>
            <w:tcW w:w="3054"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1377"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产品版本升级</w:t>
            </w:r>
          </w:p>
        </w:tc>
        <w:tc>
          <w:tcPr>
            <w:tcW w:w="2965"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产品版本升级记录</w:t>
            </w:r>
          </w:p>
        </w:tc>
        <w:tc>
          <w:tcPr>
            <w:tcW w:w="3054"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升级完成后1个工作日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1377"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需求变更</w:t>
            </w:r>
          </w:p>
        </w:tc>
        <w:tc>
          <w:tcPr>
            <w:tcW w:w="2965"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更新《需求说明书》、《设计文档》、《数据字典》、《使用手册》</w:t>
            </w:r>
          </w:p>
        </w:tc>
        <w:tc>
          <w:tcPr>
            <w:tcW w:w="3054"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需求变更后5个工作日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1377"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w:t>
            </w:r>
          </w:p>
        </w:tc>
        <w:tc>
          <w:tcPr>
            <w:tcW w:w="2965"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数据变更记录</w:t>
            </w:r>
          </w:p>
        </w:tc>
        <w:tc>
          <w:tcPr>
            <w:tcW w:w="3054"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beforeLines="0" w:afterLines="0" w:line="400" w:lineRule="exact"/>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1377"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其他</w:t>
            </w:r>
          </w:p>
        </w:tc>
        <w:tc>
          <w:tcPr>
            <w:tcW w:w="2965"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按招标方要求</w:t>
            </w:r>
          </w:p>
        </w:tc>
        <w:tc>
          <w:tcPr>
            <w:tcW w:w="3054" w:type="dxa"/>
            <w:noWrap w:val="0"/>
            <w:vAlign w:val="center"/>
          </w:tcPr>
          <w:p>
            <w:pPr>
              <w:adjustRightInd w:val="0"/>
              <w:snapToGrid w:val="0"/>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按招标方实际要求</w:t>
            </w:r>
          </w:p>
        </w:tc>
      </w:tr>
    </w:tbl>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招标方在收到中标方交付物后，若招标方认为交付物未满足项目要求，则中标方必须在招标方要求时限内对交付物做出修改，直至取得招标方认可后，方可再次提交。</w:t>
      </w:r>
    </w:p>
    <w:p>
      <w:pPr>
        <w:spacing w:beforeLines="0" w:afterLines="0" w:line="400" w:lineRule="exact"/>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5.运维服务质量要求</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中标方提供的维保服务应规范、及时、有效，准确，满足以下质量要求：</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保障运维期间系统运行稳定，不因为运维工作不规范、不及时、不到位或者工作失误，导致系统不可用；</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保障运维期间系统运行安全，不因为运维工作不规范、不及时、不到位或者工作失误，发生信息安全事件；</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不因运维工作不规范、不及时、不到位或工作失误以导致系统数据、应用数据和配置信息丢失；</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不因运维工作不规范、不及时、不到位或工作失误以及工作态度问题导致用户投诉；</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严格遵循贵州省农村信用社联合社运维管理相关规定开展工作，杜绝运维工作违规违纪现象发生。</w:t>
      </w:r>
    </w:p>
    <w:p>
      <w:pPr>
        <w:spacing w:beforeLines="0" w:afterLines="0" w:line="400" w:lineRule="exact"/>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6.维保人员要求</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中标方按招标方要求派驻现场的技术人员，对不满足招标方工作要求的，招标方有权要求中标方予以更换。</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中标方派驻现场的技术人员需遵守：</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不在现场超过1天须向招标方提出书面申请，获得同意后方可离开； </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人员更换须向招标方提出书面申请，获得同意后方可更换；</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必须遵守招标方现场工作纪律规定，包括考勤、着装、纪律等。</w:t>
      </w:r>
    </w:p>
    <w:p>
      <w:pPr>
        <w:spacing w:beforeLines="0" w:afterLines="0" w:line="400" w:lineRule="exact"/>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7.工作规范要求</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中标方必须严格遵循招标方信息系统相关工作流程、规范、标准和制度要求，在招标方指定平台中按照开展维保服务工作，做好各项工作的过程及结果的详细记录；</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中标方必须严格执行工作审批流程，未经许可不得擅自扩大工作范围；</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中标方在运维工作中必须严格遵循早发现、早汇报、早处理原则。任何情况下，都不能向招标方隐瞒维保工作真实情况；</w:t>
      </w:r>
    </w:p>
    <w:p>
      <w:pPr>
        <w:pStyle w:val="23"/>
        <w:spacing w:beforeLines="0" w:afterLines="0" w:line="400" w:lineRule="exact"/>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中标方在维保工作中要做好备份、测试、监护等风险预防措施，杜绝工作失误造成的系统故障、数据丢失等事件；</w:t>
      </w:r>
    </w:p>
    <w:p>
      <w:pPr>
        <w:spacing w:beforeLines="0" w:afterLines="0" w:line="400" w:lineRule="exact"/>
        <w:ind w:firstLine="480"/>
        <w:outlineLvl w:val="1"/>
        <w:rPr>
          <w:rFonts w:hint="eastAsia" w:ascii="仿宋_GB2312" w:hAnsi="仿宋_GB2312" w:eastAsia="仿宋_GB2312" w:cs="仿宋_GB2312"/>
          <w:color w:val="000000" w:themeColor="text1"/>
          <w:sz w:val="24"/>
          <w:szCs w:val="24"/>
          <w14:textFill>
            <w14:solidFill>
              <w14:schemeClr w14:val="tx1"/>
            </w14:solidFill>
          </w14:textFill>
        </w:rPr>
      </w:pPr>
      <w:bookmarkStart w:id="78" w:name="_Toc5815"/>
      <w:bookmarkStart w:id="79" w:name="_Toc8345"/>
      <w:r>
        <w:rPr>
          <w:rFonts w:hint="eastAsia" w:ascii="仿宋_GB2312" w:hAnsi="仿宋_GB2312" w:eastAsia="仿宋_GB2312" w:cs="仿宋_GB2312"/>
          <w:color w:val="000000" w:themeColor="text1"/>
          <w:sz w:val="24"/>
          <w:szCs w:val="24"/>
          <w14:textFill>
            <w14:solidFill>
              <w14:schemeClr w14:val="tx1"/>
            </w14:solidFill>
          </w14:textFill>
        </w:rPr>
        <w:t>（四）维保服务考核</w:t>
      </w:r>
      <w:bookmarkEnd w:id="78"/>
      <w:bookmarkEnd w:id="79"/>
    </w:p>
    <w:p>
      <w:pPr>
        <w:spacing w:beforeLines="0" w:afterLines="0"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招标方根据下表所列考核方法对项目进行考核：（1）免费维保期间，招标方从合同剩余金额（质量保证金）中扣除考核款后支付予中标方；（2）免费维保期结束后，招标方从当期维保费用中扣除考核款后支付予中标方。</w:t>
      </w:r>
    </w:p>
    <w:tbl>
      <w:tblPr>
        <w:tblStyle w:val="18"/>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219"/>
        <w:gridCol w:w="4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beforeLines="0" w:afterLines="0" w:line="400" w:lineRule="exact"/>
              <w:ind w:firstLine="0" w:firstLineChars="0"/>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序号</w:t>
            </w:r>
          </w:p>
        </w:tc>
        <w:tc>
          <w:tcPr>
            <w:tcW w:w="3219" w:type="dxa"/>
            <w:noWrap w:val="0"/>
            <w:vAlign w:val="center"/>
          </w:tcPr>
          <w:p>
            <w:pPr>
              <w:widowControl/>
              <w:spacing w:beforeLines="0" w:afterLines="0" w:line="400" w:lineRule="exact"/>
              <w:ind w:firstLine="0" w:firstLineChars="0"/>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考核点</w:t>
            </w:r>
          </w:p>
        </w:tc>
        <w:tc>
          <w:tcPr>
            <w:tcW w:w="4805" w:type="dxa"/>
            <w:noWrap w:val="0"/>
            <w:vAlign w:val="center"/>
          </w:tcPr>
          <w:p>
            <w:pPr>
              <w:widowControl/>
              <w:spacing w:beforeLines="0" w:afterLines="0" w:line="400" w:lineRule="exact"/>
              <w:ind w:firstLine="0" w:firstLineChars="0"/>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扣减</w:t>
            </w: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3219"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在合同履行过程中存在故意或过失行为造成招标方损失</w:t>
            </w:r>
          </w:p>
        </w:tc>
        <w:tc>
          <w:tcPr>
            <w:tcW w:w="4805"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扣减当</w:t>
            </w:r>
            <w:r>
              <w:rPr>
                <w:rFonts w:hint="eastAsia" w:ascii="仿宋_GB2312" w:hAnsi="仿宋_GB2312" w:eastAsia="仿宋_GB2312" w:cs="仿宋_GB2312"/>
                <w:color w:val="000000" w:themeColor="text1"/>
                <w:sz w:val="24"/>
                <w:szCs w:val="24"/>
                <w14:textFill>
                  <w14:solidFill>
                    <w14:schemeClr w14:val="tx1"/>
                  </w14:solidFill>
                </w14:textFill>
              </w:rPr>
              <w:t>期全部维保费用</w:t>
            </w:r>
            <w:r>
              <w:rPr>
                <w:rFonts w:hint="eastAsia" w:ascii="仿宋_GB2312" w:hAnsi="仿宋_GB2312" w:eastAsia="仿宋_GB2312" w:cs="仿宋_GB2312"/>
                <w:color w:val="000000" w:themeColor="text1"/>
                <w:sz w:val="24"/>
                <w:szCs w:val="24"/>
                <w:lang w:eastAsia="zh-TW"/>
                <w14:textFill>
                  <w14:solidFill>
                    <w14:schemeClr w14:val="tx1"/>
                  </w14:solidFill>
                </w14:textFill>
              </w:rPr>
              <w:t>，并赔偿招标方损失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3219"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系统不可用超标</w:t>
            </w:r>
          </w:p>
        </w:tc>
        <w:tc>
          <w:tcPr>
            <w:tcW w:w="4805"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当期维保期</w:t>
            </w:r>
            <w:r>
              <w:rPr>
                <w:rFonts w:hint="eastAsia" w:ascii="仿宋_GB2312" w:hAnsi="仿宋_GB2312" w:eastAsia="仿宋_GB2312" w:cs="仿宋_GB2312"/>
                <w:color w:val="000000" w:themeColor="text1"/>
                <w:sz w:val="24"/>
                <w:szCs w:val="24"/>
                <w:lang w:eastAsia="zh-TW"/>
                <w14:textFill>
                  <w14:solidFill>
                    <w14:schemeClr w14:val="tx1"/>
                  </w14:solidFill>
                </w14:textFill>
              </w:rPr>
              <w:t>内，</w:t>
            </w:r>
            <w:r>
              <w:rPr>
                <w:rFonts w:hint="eastAsia" w:ascii="仿宋_GB2312" w:hAnsi="仿宋_GB2312" w:eastAsia="仿宋_GB2312" w:cs="仿宋_GB2312"/>
                <w:color w:val="000000" w:themeColor="text1"/>
                <w:sz w:val="24"/>
                <w:szCs w:val="24"/>
                <w14:textFill>
                  <w14:solidFill>
                    <w14:schemeClr w14:val="tx1"/>
                  </w14:solidFill>
                </w14:textFill>
              </w:rPr>
              <w:t>因本系统自身原因导致</w:t>
            </w:r>
            <w:r>
              <w:rPr>
                <w:rFonts w:hint="eastAsia" w:ascii="仿宋_GB2312" w:hAnsi="仿宋_GB2312" w:eastAsia="仿宋_GB2312" w:cs="仿宋_GB2312"/>
                <w:color w:val="000000" w:themeColor="text1"/>
                <w:sz w:val="24"/>
                <w:szCs w:val="24"/>
                <w:lang w:eastAsia="zh-TW"/>
                <w14:textFill>
                  <w14:solidFill>
                    <w14:schemeClr w14:val="tx1"/>
                  </w14:solidFill>
                </w14:textFill>
              </w:rPr>
              <w:t>不可用时间每增加8小时，扣减5%</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3219"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故障处理超时</w:t>
            </w:r>
          </w:p>
        </w:tc>
        <w:tc>
          <w:tcPr>
            <w:tcW w:w="4805"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一级或二级故障处理超时，每发生1次，扣减2%当期维保费用</w:t>
            </w:r>
          </w:p>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三级故障处理超时，每发生1次，扣减0.1%当期维保费用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3219"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缺陷处理超时</w:t>
            </w:r>
          </w:p>
        </w:tc>
        <w:tc>
          <w:tcPr>
            <w:tcW w:w="4805"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紧急缺陷处理超时，每发生1次，扣减2%</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普通缺陷处理超时，每发生1次，扣减0.1%</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3219"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不遵守招标方信息系统运维工作相关规定，进行违规操作</w:t>
            </w:r>
          </w:p>
        </w:tc>
        <w:tc>
          <w:tcPr>
            <w:tcW w:w="4805"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每发生1次，扣减1%</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3219"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工作失误</w:t>
            </w:r>
          </w:p>
        </w:tc>
        <w:tc>
          <w:tcPr>
            <w:tcW w:w="4805"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每发生1次，扣减0.5%</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r>
              <w:rPr>
                <w:rFonts w:hint="eastAsia" w:ascii="仿宋_GB2312" w:hAnsi="仿宋_GB2312" w:eastAsia="仿宋_GB2312" w:cs="仿宋_GB2312"/>
                <w:color w:val="000000" w:themeColor="text1"/>
                <w:sz w:val="24"/>
                <w:szCs w:val="24"/>
                <w:lang w:eastAsia="zh-TW"/>
                <w14:textFill>
                  <w14:solidFill>
                    <w14:schemeClr w14:val="tx1"/>
                  </w14:solidFill>
                </w14:textFill>
              </w:rPr>
              <w:t>。造成重大影响的，酌情加重扣减。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3219"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客户投诉</w:t>
            </w:r>
          </w:p>
        </w:tc>
        <w:tc>
          <w:tcPr>
            <w:tcW w:w="4805"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如经查实确为中标方原因造成系统客户投诉，每投诉1次，扣减0.5%</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3219"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运维周报和月报、运行记录等运维文档提交或记录不及时，不完整，不规范，不参加工作例会</w:t>
            </w:r>
          </w:p>
        </w:tc>
        <w:tc>
          <w:tcPr>
            <w:tcW w:w="4805"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每发生1次，扣减0.5%</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3219"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如要求中标方技术人员驻场工作但未驻场</w:t>
            </w:r>
          </w:p>
        </w:tc>
        <w:tc>
          <w:tcPr>
            <w:tcW w:w="4805"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每发生1次，扣减</w:t>
            </w: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3219"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中标方未经招标方书面同意，</w:t>
            </w:r>
            <w:r>
              <w:rPr>
                <w:rFonts w:hint="eastAsia" w:ascii="仿宋_GB2312" w:hAnsi="仿宋_GB2312" w:eastAsia="仿宋_GB2312" w:cs="仿宋_GB2312"/>
                <w:color w:val="000000" w:themeColor="text1"/>
                <w:sz w:val="24"/>
                <w:szCs w:val="24"/>
                <w14:textFill>
                  <w14:solidFill>
                    <w14:schemeClr w14:val="tx1"/>
                  </w14:solidFill>
                </w14:textFill>
              </w:rPr>
              <w:t>擅自</w:t>
            </w:r>
            <w:r>
              <w:rPr>
                <w:rFonts w:hint="eastAsia" w:ascii="仿宋_GB2312" w:hAnsi="仿宋_GB2312" w:eastAsia="仿宋_GB2312" w:cs="仿宋_GB2312"/>
                <w:color w:val="000000" w:themeColor="text1"/>
                <w:sz w:val="24"/>
                <w:szCs w:val="24"/>
                <w:lang w:eastAsia="zh-TW"/>
                <w14:textFill>
                  <w14:solidFill>
                    <w14:schemeClr w14:val="tx1"/>
                  </w14:solidFill>
                </w14:textFill>
              </w:rPr>
              <w:t>更换维保服务人员</w:t>
            </w:r>
          </w:p>
        </w:tc>
        <w:tc>
          <w:tcPr>
            <w:tcW w:w="4805"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每发生1人次，扣减</w:t>
            </w: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w:t>
            </w:r>
          </w:p>
        </w:tc>
        <w:tc>
          <w:tcPr>
            <w:tcW w:w="3219"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维保服务人员不遵守招标方工作纪律</w:t>
            </w:r>
          </w:p>
        </w:tc>
        <w:tc>
          <w:tcPr>
            <w:tcW w:w="4805"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每发生1人次，扣减0.1%</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c>
          <w:tcPr>
            <w:tcW w:w="3219"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在遇到紧急事件处理时，维保服务人员电话未能及时接通</w:t>
            </w:r>
          </w:p>
        </w:tc>
        <w:tc>
          <w:tcPr>
            <w:tcW w:w="4805"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每发生1人次，扣减0.</w:t>
            </w: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w:t>
            </w:r>
          </w:p>
        </w:tc>
        <w:tc>
          <w:tcPr>
            <w:tcW w:w="3219"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未按中标方要求完成对不影响系统架构的局部功能调整</w:t>
            </w:r>
          </w:p>
        </w:tc>
        <w:tc>
          <w:tcPr>
            <w:tcW w:w="4805" w:type="dxa"/>
            <w:noWrap w:val="0"/>
            <w:vAlign w:val="center"/>
          </w:tcPr>
          <w:p>
            <w:pPr>
              <w:widowControl/>
              <w:spacing w:beforeLines="0" w:afterLines="0" w:line="40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每发生1次，扣减1%当期维保费用</w:t>
            </w:r>
          </w:p>
        </w:tc>
      </w:tr>
    </w:tbl>
    <w:p>
      <w:pPr>
        <w:spacing w:beforeLines="0" w:afterLines="0" w:line="400" w:lineRule="exact"/>
        <w:ind w:firstLine="480" w:firstLineChars="20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80" w:name="_Toc8737"/>
      <w:r>
        <w:rPr>
          <w:rFonts w:hint="eastAsia" w:ascii="仿宋_GB2312" w:hAnsi="仿宋_GB2312" w:eastAsia="仿宋_GB2312" w:cs="仿宋_GB2312"/>
          <w:color w:val="000000" w:themeColor="text1"/>
          <w:sz w:val="24"/>
          <w:lang w:val="en-US" w:eastAsia="zh-CN"/>
          <w14:textFill>
            <w14:solidFill>
              <w14:schemeClr w14:val="tx1"/>
            </w14:solidFill>
          </w14:textFill>
        </w:rPr>
        <w:t>（五）其他服务</w:t>
      </w:r>
      <w:bookmarkEnd w:id="80"/>
    </w:p>
    <w:p>
      <w:pPr>
        <w:pStyle w:val="23"/>
        <w:spacing w:beforeLines="0" w:afterLines="0" w:line="400" w:lineRule="exact"/>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中标方应书面说明关于本项目的维护队伍情况、实施组织方式、服务模式，以及售后服务的开展方式；</w:t>
      </w:r>
    </w:p>
    <w:p>
      <w:pPr>
        <w:pStyle w:val="23"/>
        <w:spacing w:beforeLines="0" w:afterLines="0" w:line="400" w:lineRule="exact"/>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中标方应对其本地的售后服务、技术支持方面的情况作出说明（包括在贵州省内如贵阳市有无相关服务机构、地点设在何处、维护人员构成、提供服务的时段、维保服务范围、收费情况及服务方式等）。</w:t>
      </w:r>
    </w:p>
    <w:p>
      <w:pPr>
        <w:spacing w:beforeLines="0" w:afterLines="0" w:line="400" w:lineRule="exact"/>
        <w:ind w:firstLine="480"/>
        <w:rPr>
          <w:rFonts w:hint="eastAsia" w:ascii="仿宋_GB2312" w:hAnsi="仿宋_GB2312" w:eastAsia="仿宋_GB2312" w:cs="仿宋_GB2312"/>
          <w:color w:val="000000" w:themeColor="text1"/>
          <w:sz w:val="24"/>
          <w:szCs w:val="24"/>
          <w:lang w:eastAsia="zh-CN"/>
          <w14:textFill>
            <w14:solidFill>
              <w14:schemeClr w14:val="tx1"/>
            </w14:solidFill>
          </w14:textFill>
        </w:rPr>
      </w:pPr>
    </w:p>
    <w:p>
      <w:pPr>
        <w:spacing w:beforeLines="0" w:afterLines="0" w:line="400" w:lineRule="exact"/>
        <w:rPr>
          <w:rFonts w:hint="eastAsia" w:ascii="仿宋_GB2312" w:hAnsi="仿宋_GB2312" w:eastAsia="仿宋_GB2312" w:cs="仿宋_GB2312"/>
          <w:color w:val="000000" w:themeColor="text1"/>
          <w:sz w:val="24"/>
          <w:lang w:val="en-US" w:eastAsia="zh-CN"/>
          <w14:textFill>
            <w14:solidFill>
              <w14:schemeClr w14:val="tx1"/>
            </w14:solidFill>
          </w14:textFill>
        </w:rPr>
      </w:pPr>
    </w:p>
    <w:p>
      <w:pPr>
        <w:spacing w:beforeLines="0" w:afterLines="0" w:line="400" w:lineRule="exact"/>
        <w:rPr>
          <w:rFonts w:hint="eastAsia" w:ascii="仿宋_GB2312" w:hAnsi="仿宋_GB2312" w:eastAsia="仿宋_GB2312" w:cs="仿宋_GB2312"/>
          <w:color w:val="000000" w:themeColor="text1"/>
          <w:sz w:val="24"/>
          <w14:textFill>
            <w14:solidFill>
              <w14:schemeClr w14:val="tx1"/>
            </w14:solidFill>
          </w14:textFill>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posOffset>-31750</wp:posOffset>
              </wp:positionH>
              <wp:positionV relativeFrom="paragraph">
                <wp:posOffset>10160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pt;margin-top:0.8pt;height:144pt;width:144pt;mso-position-horizontal-relative:margin;mso-wrap-style:none;z-index:251659264;mso-width-relative:page;mso-height-relative:page;" filled="f" stroked="f" coordsize="21600,21600" o:gfxdata="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Ao/dN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A9D2A"/>
    <w:multiLevelType w:val="multilevel"/>
    <w:tmpl w:val="92EA9D2A"/>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default" w:ascii="仿宋_GB2312" w:hAnsi="仿宋_GB2312" w:eastAsia="仿宋_GB2312" w:cs="仿宋_GB2312"/>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9961260"/>
    <w:multiLevelType w:val="singleLevel"/>
    <w:tmpl w:val="B9961260"/>
    <w:lvl w:ilvl="0" w:tentative="0">
      <w:start w:val="1"/>
      <w:numFmt w:val="chineseCounting"/>
      <w:suff w:val="nothing"/>
      <w:lvlText w:val="（%1）"/>
      <w:lvlJc w:val="left"/>
      <w:pPr>
        <w:ind w:left="0" w:firstLine="420"/>
      </w:pPr>
      <w:rPr>
        <w:rFonts w:hint="eastAsia"/>
      </w:rPr>
    </w:lvl>
  </w:abstractNum>
  <w:abstractNum w:abstractNumId="2">
    <w:nsid w:val="D5D2AB5E"/>
    <w:multiLevelType w:val="singleLevel"/>
    <w:tmpl w:val="D5D2AB5E"/>
    <w:lvl w:ilvl="0" w:tentative="0">
      <w:start w:val="1"/>
      <w:numFmt w:val="decimal"/>
      <w:lvlText w:val="%1."/>
      <w:lvlJc w:val="left"/>
      <w:pPr>
        <w:tabs>
          <w:tab w:val="left" w:pos="312"/>
        </w:tabs>
      </w:pPr>
    </w:lvl>
  </w:abstractNum>
  <w:abstractNum w:abstractNumId="3">
    <w:nsid w:val="037D14D4"/>
    <w:multiLevelType w:val="multilevel"/>
    <w:tmpl w:val="037D14D4"/>
    <w:lvl w:ilvl="0" w:tentative="0">
      <w:start w:val="1"/>
      <w:numFmt w:val="decimal"/>
      <w:suff w:val="nothing"/>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3B13F05"/>
    <w:multiLevelType w:val="multilevel"/>
    <w:tmpl w:val="03B13F0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536A9FA"/>
    <w:multiLevelType w:val="multilevel"/>
    <w:tmpl w:val="0536A9FA"/>
    <w:lvl w:ilvl="0" w:tentative="0">
      <w:start w:val="1"/>
      <w:numFmt w:val="decimal"/>
      <w:lvlText w:val="%1."/>
      <w:lvlJc w:val="left"/>
      <w:pPr>
        <w:tabs>
          <w:tab w:val="left" w:pos="840"/>
        </w:tabs>
        <w:ind w:left="1265" w:hanging="425"/>
      </w:pPr>
      <w:rPr>
        <w:rFonts w:hint="default"/>
      </w:rPr>
    </w:lvl>
    <w:lvl w:ilvl="1" w:tentative="0">
      <w:start w:val="1"/>
      <w:numFmt w:val="decimal"/>
      <w:lvlText w:val="(%2)"/>
      <w:lvlJc w:val="left"/>
      <w:pPr>
        <w:tabs>
          <w:tab w:val="left" w:pos="840"/>
        </w:tabs>
        <w:ind w:left="1680" w:leftChars="0" w:hanging="420" w:firstLineChars="0"/>
      </w:pPr>
      <w:rPr>
        <w:rFonts w:hint="default"/>
      </w:rPr>
    </w:lvl>
    <w:lvl w:ilvl="2" w:tentative="0">
      <w:start w:val="1"/>
      <w:numFmt w:val="decimalEnclosedCircleChinese"/>
      <w:lvlText w:val="%3"/>
      <w:lvlJc w:val="left"/>
      <w:pPr>
        <w:tabs>
          <w:tab w:val="left" w:pos="1260"/>
        </w:tabs>
        <w:ind w:left="2100" w:leftChars="0" w:hanging="420" w:firstLineChars="0"/>
      </w:pPr>
      <w:rPr>
        <w:rFonts w:hint="default"/>
      </w:rPr>
    </w:lvl>
    <w:lvl w:ilvl="3" w:tentative="0">
      <w:start w:val="1"/>
      <w:numFmt w:val="decimal"/>
      <w:lvlText w:val="%4)"/>
      <w:lvlJc w:val="left"/>
      <w:pPr>
        <w:tabs>
          <w:tab w:val="left" w:pos="1680"/>
        </w:tabs>
        <w:ind w:left="2520" w:leftChars="0" w:hanging="420" w:firstLineChars="0"/>
      </w:pPr>
      <w:rPr>
        <w:rFonts w:hint="default"/>
      </w:rPr>
    </w:lvl>
    <w:lvl w:ilvl="4" w:tentative="0">
      <w:start w:val="1"/>
      <w:numFmt w:val="lowerLetter"/>
      <w:lvlText w:val="%5."/>
      <w:lvlJc w:val="left"/>
      <w:pPr>
        <w:tabs>
          <w:tab w:val="left" w:pos="2100"/>
        </w:tabs>
        <w:ind w:left="2940" w:leftChars="0" w:hanging="420" w:firstLineChars="0"/>
      </w:pPr>
      <w:rPr>
        <w:rFonts w:hint="default"/>
      </w:rPr>
    </w:lvl>
    <w:lvl w:ilvl="5" w:tentative="0">
      <w:start w:val="1"/>
      <w:numFmt w:val="lowerLetter"/>
      <w:lvlText w:val="%6)"/>
      <w:lvlJc w:val="left"/>
      <w:pPr>
        <w:tabs>
          <w:tab w:val="left" w:pos="2520"/>
        </w:tabs>
        <w:ind w:left="3360" w:leftChars="0" w:hanging="420" w:firstLineChars="0"/>
      </w:pPr>
      <w:rPr>
        <w:rFonts w:hint="default"/>
      </w:rPr>
    </w:lvl>
    <w:lvl w:ilvl="6" w:tentative="0">
      <w:start w:val="1"/>
      <w:numFmt w:val="lowerRoman"/>
      <w:lvlText w:val="%7."/>
      <w:lvlJc w:val="left"/>
      <w:pPr>
        <w:tabs>
          <w:tab w:val="left" w:pos="2940"/>
        </w:tabs>
        <w:ind w:left="3780" w:leftChars="0" w:hanging="420" w:firstLineChars="0"/>
      </w:pPr>
      <w:rPr>
        <w:rFonts w:hint="default"/>
      </w:rPr>
    </w:lvl>
    <w:lvl w:ilvl="7" w:tentative="0">
      <w:start w:val="1"/>
      <w:numFmt w:val="lowerRoman"/>
      <w:lvlText w:val="%8)"/>
      <w:lvlJc w:val="left"/>
      <w:pPr>
        <w:tabs>
          <w:tab w:val="left" w:pos="3360"/>
        </w:tabs>
        <w:ind w:left="4200" w:leftChars="0" w:hanging="420" w:firstLineChars="0"/>
      </w:pPr>
      <w:rPr>
        <w:rFonts w:hint="default"/>
      </w:rPr>
    </w:lvl>
    <w:lvl w:ilvl="8" w:tentative="0">
      <w:start w:val="1"/>
      <w:numFmt w:val="lowerLetter"/>
      <w:lvlText w:val="%9."/>
      <w:lvlJc w:val="left"/>
      <w:pPr>
        <w:tabs>
          <w:tab w:val="left" w:pos="3780"/>
        </w:tabs>
        <w:ind w:left="4620" w:leftChars="0" w:hanging="420" w:firstLineChars="0"/>
      </w:pPr>
      <w:rPr>
        <w:rFonts w:hint="default"/>
      </w:rPr>
    </w:lvl>
  </w:abstractNum>
  <w:abstractNum w:abstractNumId="6">
    <w:nsid w:val="3EA7F25A"/>
    <w:multiLevelType w:val="singleLevel"/>
    <w:tmpl w:val="3EA7F25A"/>
    <w:lvl w:ilvl="0" w:tentative="0">
      <w:start w:val="1"/>
      <w:numFmt w:val="decimal"/>
      <w:lvlText w:val="%1."/>
      <w:lvlJc w:val="left"/>
      <w:pPr>
        <w:tabs>
          <w:tab w:val="left" w:pos="840"/>
        </w:tabs>
        <w:ind w:left="1265" w:hanging="425"/>
      </w:pPr>
      <w:rPr>
        <w:rFonts w:hint="default"/>
      </w:rPr>
    </w:lvl>
  </w:abstractNum>
  <w:abstractNum w:abstractNumId="7">
    <w:nsid w:val="605912E3"/>
    <w:multiLevelType w:val="multilevel"/>
    <w:tmpl w:val="605912E3"/>
    <w:lvl w:ilvl="0" w:tentative="0">
      <w:start w:val="1"/>
      <w:numFmt w:val="decimal"/>
      <w:lvlText w:val="%1"/>
      <w:lvlJc w:val="left"/>
      <w:pPr>
        <w:ind w:left="425" w:hanging="425"/>
      </w:pPr>
      <w:rPr>
        <w:rFonts w:hint="eastAsia"/>
      </w:rPr>
    </w:lvl>
    <w:lvl w:ilvl="1" w:tentative="0">
      <w:start w:val="1"/>
      <w:numFmt w:val="decimal"/>
      <w:lvlText w:val="%1.%2"/>
      <w:lvlJc w:val="left"/>
      <w:pPr>
        <w:ind w:left="425" w:firstLine="0"/>
      </w:pPr>
      <w:rPr>
        <w:rFonts w:hint="eastAsia"/>
      </w:rPr>
    </w:lvl>
    <w:lvl w:ilvl="2" w:tentative="0">
      <w:start w:val="1"/>
      <w:numFmt w:val="decimal"/>
      <w:lvlText w:val="%1.%2.%3"/>
      <w:lvlJc w:val="left"/>
      <w:pPr>
        <w:ind w:left="425" w:firstLine="0"/>
      </w:pPr>
      <w:rPr>
        <w:rFonts w:hint="eastAsia" w:ascii="楷体" w:hAnsi="楷体" w:eastAsia="楷体"/>
        <w:b w:val="0"/>
        <w:bCs w:val="0"/>
        <w:sz w:val="32"/>
        <w:szCs w:val="32"/>
      </w:rPr>
    </w:lvl>
    <w:lvl w:ilvl="3" w:tentative="0">
      <w:start w:val="1"/>
      <w:numFmt w:val="decimal"/>
      <w:lvlText w:val="%1.%2.%3.%4"/>
      <w:lvlJc w:val="left"/>
      <w:pPr>
        <w:tabs>
          <w:tab w:val="left" w:pos="425"/>
        </w:tabs>
        <w:ind w:left="425" w:firstLine="0"/>
      </w:pPr>
      <w:rPr>
        <w:rFonts w:hint="eastAsia" w:ascii="楷体" w:hAnsi="楷体" w:eastAsia="楷体"/>
        <w:b w:val="0"/>
        <w:sz w:val="32"/>
        <w:szCs w:val="32"/>
      </w:rPr>
    </w:lvl>
    <w:lvl w:ilvl="4" w:tentative="0">
      <w:start w:val="1"/>
      <w:numFmt w:val="decimal"/>
      <w:lvlText w:val="%1.%2.%3.%4.%5"/>
      <w:lvlJc w:val="left"/>
      <w:pPr>
        <w:ind w:left="0" w:firstLine="0"/>
      </w:pPr>
      <w:rPr>
        <w:rFonts w:ascii="楷体" w:hAnsi="楷体" w:eastAsia="楷体"/>
        <w:b w:val="0"/>
        <w:bCs w:val="0"/>
        <w:i w:val="0"/>
        <w:iCs w:val="0"/>
        <w:caps w:val="0"/>
        <w:smallCaps w:val="0"/>
        <w:strike w:val="0"/>
        <w:dstrike w:val="0"/>
        <w:vanish w:val="0"/>
        <w:spacing w:val="0"/>
        <w:position w:val="0"/>
        <w:sz w:val="32"/>
        <w:szCs w:val="32"/>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lvlText w:val="%1.%2.%3.%4.%5.%6"/>
      <w:lvlJc w:val="left"/>
      <w:pPr>
        <w:ind w:left="425" w:firstLine="0"/>
      </w:pPr>
      <w:rPr>
        <w:rFonts w:hint="eastAsia"/>
      </w:rPr>
    </w:lvl>
    <w:lvl w:ilvl="6" w:tentative="0">
      <w:start w:val="1"/>
      <w:numFmt w:val="decimal"/>
      <w:lvlText w:val="%1.%2.%3.%4.%5.%6.%7"/>
      <w:lvlJc w:val="left"/>
      <w:pPr>
        <w:ind w:left="425" w:firstLine="0"/>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63D366A8"/>
    <w:multiLevelType w:val="singleLevel"/>
    <w:tmpl w:val="63D366A8"/>
    <w:lvl w:ilvl="0" w:tentative="0">
      <w:start w:val="1"/>
      <w:numFmt w:val="decimal"/>
      <w:lvlText w:val="%1."/>
      <w:lvlJc w:val="left"/>
      <w:pPr>
        <w:tabs>
          <w:tab w:val="left" w:pos="420"/>
        </w:tabs>
        <w:ind w:left="845" w:hanging="425"/>
      </w:pPr>
      <w:rPr>
        <w:rFonts w:hint="default"/>
      </w:rPr>
    </w:lvl>
  </w:abstractNum>
  <w:abstractNum w:abstractNumId="9">
    <w:nsid w:val="75165C69"/>
    <w:multiLevelType w:val="multilevel"/>
    <w:tmpl w:val="75165C69"/>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7"/>
  </w:num>
  <w:num w:numId="2">
    <w:abstractNumId w:val="9"/>
  </w:num>
  <w:num w:numId="3">
    <w:abstractNumId w:val="0"/>
  </w:num>
  <w:num w:numId="4">
    <w:abstractNumId w:val="1"/>
  </w:num>
  <w:num w:numId="5">
    <w:abstractNumId w:val="5"/>
  </w:num>
  <w:num w:numId="6">
    <w:abstractNumId w:val="6"/>
  </w:num>
  <w:num w:numId="7">
    <w:abstractNumId w:val="3"/>
  </w:num>
  <w:num w:numId="8">
    <w:abstractNumId w:val="2"/>
  </w:num>
  <w:num w:numId="9">
    <w:abstractNumId w:val="8"/>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0256-代文林">
    <w15:presenceInfo w15:providerId="None" w15:userId="100256-代文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C2D64"/>
    <w:rsid w:val="00B42DC8"/>
    <w:rsid w:val="07F53E87"/>
    <w:rsid w:val="09FD3758"/>
    <w:rsid w:val="0AE50A6E"/>
    <w:rsid w:val="0B275D1B"/>
    <w:rsid w:val="0C1F6A38"/>
    <w:rsid w:val="0C4134E6"/>
    <w:rsid w:val="0EC766F3"/>
    <w:rsid w:val="0EFA310E"/>
    <w:rsid w:val="11DC6563"/>
    <w:rsid w:val="1335295A"/>
    <w:rsid w:val="17CE1E84"/>
    <w:rsid w:val="18D204A8"/>
    <w:rsid w:val="1CD52186"/>
    <w:rsid w:val="1E1B67E6"/>
    <w:rsid w:val="1F2E1863"/>
    <w:rsid w:val="20816650"/>
    <w:rsid w:val="2E4A3E5E"/>
    <w:rsid w:val="30694E3E"/>
    <w:rsid w:val="35A72BC0"/>
    <w:rsid w:val="366248FA"/>
    <w:rsid w:val="37E9635A"/>
    <w:rsid w:val="387D2CAF"/>
    <w:rsid w:val="3AD97FA4"/>
    <w:rsid w:val="3D84460C"/>
    <w:rsid w:val="3F994B49"/>
    <w:rsid w:val="3FF65E5B"/>
    <w:rsid w:val="422C7A95"/>
    <w:rsid w:val="428667F4"/>
    <w:rsid w:val="432B0179"/>
    <w:rsid w:val="43D55013"/>
    <w:rsid w:val="46732094"/>
    <w:rsid w:val="472826F9"/>
    <w:rsid w:val="48047651"/>
    <w:rsid w:val="4ADF5C32"/>
    <w:rsid w:val="50262331"/>
    <w:rsid w:val="528108BF"/>
    <w:rsid w:val="53B1460A"/>
    <w:rsid w:val="563D74F0"/>
    <w:rsid w:val="577410C2"/>
    <w:rsid w:val="57F0418F"/>
    <w:rsid w:val="5BCE4D35"/>
    <w:rsid w:val="5E864CFF"/>
    <w:rsid w:val="5F9A058E"/>
    <w:rsid w:val="63EE61B6"/>
    <w:rsid w:val="64E846EC"/>
    <w:rsid w:val="65994838"/>
    <w:rsid w:val="66773604"/>
    <w:rsid w:val="68C63BC5"/>
    <w:rsid w:val="68C85954"/>
    <w:rsid w:val="755336DF"/>
    <w:rsid w:val="76AE5908"/>
    <w:rsid w:val="794243B7"/>
    <w:rsid w:val="7C762C59"/>
    <w:rsid w:val="7F2A7880"/>
    <w:rsid w:val="7F74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9" w:semiHidden="0" w:name="heading 3"/>
    <w:lsdException w:qFormat="1" w:unhideWhenUsed="0" w:uiPriority="9" w:semiHidden="0" w:name="heading 4"/>
    <w:lsdException w:qFormat="1" w:unhideWhenUsed="0"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numPr>
        <w:ilvl w:val="0"/>
        <w:numId w:val="2"/>
      </w:numPr>
      <w:spacing w:before="260" w:after="260" w:line="560" w:lineRule="exact"/>
      <w:ind w:left="0" w:firstLine="0" w:firstLineChars="0"/>
      <w:jc w:val="left"/>
      <w:outlineLvl w:val="0"/>
      <w:pPrChange w:id="0" w:author="王静怡" w:date="2023-09-07T09:06:00Z">
        <w:pPr>
          <w:keepNext/>
          <w:keepLines/>
          <w:widowControl w:val="0"/>
          <w:numPr>
            <w:numId w:val="1"/>
          </w:numPr>
          <w:spacing w:before="260" w:after="260" w:line="560" w:lineRule="exact"/>
          <w:outlineLvl w:val="0"/>
        </w:pPr>
      </w:pPrChange>
    </w:pPr>
    <w:rPr>
      <w:rFonts w:ascii="黑体" w:hAnsi="黑体" w:eastAsia="楷体" w:cs="宋体"/>
      <w:bCs/>
      <w:kern w:val="44"/>
      <w:szCs w:val="44"/>
      <w:rPrChange w:id="1" w:author="王静怡" w:date="2023-09-07T09:06:00Z">
        <w:rPr>
          <w:rFonts w:ascii="黑体" w:hAnsi="黑体" w:eastAsia="楷体" w:cs="宋体"/>
          <w:bCs/>
          <w:kern w:val="44"/>
          <w:sz w:val="32"/>
          <w:szCs w:val="44"/>
          <w:lang w:val="en-US" w:eastAsia="zh-CN" w:bidi="ar-SA"/>
        </w:rPr>
      </w:rPrChange>
    </w:rPr>
  </w:style>
  <w:style w:type="paragraph" w:styleId="4">
    <w:name w:val="heading 2"/>
    <w:basedOn w:val="1"/>
    <w:next w:val="1"/>
    <w:unhideWhenUsed/>
    <w:qFormat/>
    <w:uiPriority w:val="99"/>
    <w:pPr>
      <w:keepNext/>
      <w:keepLines/>
      <w:numPr>
        <w:ilvl w:val="1"/>
        <w:numId w:val="3"/>
      </w:numPr>
      <w:adjustRightInd w:val="0"/>
      <w:snapToGrid w:val="0"/>
      <w:spacing w:before="120" w:after="120"/>
      <w:jc w:val="both"/>
      <w:outlineLvl w:val="1"/>
    </w:pPr>
    <w:rPr>
      <w:rFonts w:ascii="黑体" w:hAnsi="黑体" w:eastAsia="黑体" w:cs="黑体"/>
      <w:bCs/>
      <w:kern w:val="2"/>
      <w:sz w:val="24"/>
      <w:szCs w:val="24"/>
      <w:lang w:val="en-US" w:eastAsia="zh-CN" w:bidi="ar-SA"/>
    </w:rPr>
  </w:style>
  <w:style w:type="paragraph" w:styleId="5">
    <w:name w:val="heading 3"/>
    <w:basedOn w:val="1"/>
    <w:next w:val="1"/>
    <w:unhideWhenUsed/>
    <w:qFormat/>
    <w:uiPriority w:val="99"/>
    <w:pPr>
      <w:keepNext/>
      <w:keepLines/>
      <w:numPr>
        <w:ilvl w:val="2"/>
        <w:numId w:val="3"/>
      </w:numPr>
      <w:adjustRightInd w:val="0"/>
      <w:snapToGrid w:val="0"/>
      <w:spacing w:before="163" w:beforeLines="50" w:after="163" w:afterLines="50"/>
      <w:ind w:left="0" w:firstLine="400"/>
      <w:jc w:val="both"/>
      <w:outlineLvl w:val="2"/>
    </w:pPr>
    <w:rPr>
      <w:rFonts w:ascii="黑体" w:hAnsi="黑体" w:eastAsia="黑体" w:cs="黑体"/>
      <w:kern w:val="2"/>
      <w:sz w:val="24"/>
      <w:szCs w:val="24"/>
      <w:lang w:val="en-US" w:eastAsia="zh-CN" w:bidi="ar-SA"/>
    </w:rPr>
  </w:style>
  <w:style w:type="paragraph" w:styleId="6">
    <w:name w:val="heading 4"/>
    <w:basedOn w:val="1"/>
    <w:next w:val="1"/>
    <w:qFormat/>
    <w:uiPriority w:val="9"/>
    <w:pPr>
      <w:spacing w:line="360" w:lineRule="auto"/>
      <w:ind w:firstLine="402" w:firstLineChars="0"/>
      <w:outlineLvl w:val="3"/>
    </w:pPr>
    <w:rPr>
      <w:rFonts w:ascii="宋体" w:hAnsi="宋体" w:eastAsia="宋体" w:cs="Times New Roman"/>
      <w:kern w:val="2"/>
      <w:sz w:val="24"/>
      <w:szCs w:val="24"/>
      <w:lang w:val="en-US" w:eastAsia="zh-CN" w:bidi="ar-SA"/>
    </w:rPr>
  </w:style>
  <w:style w:type="paragraph" w:styleId="7">
    <w:name w:val="heading 5"/>
    <w:basedOn w:val="1"/>
    <w:next w:val="1"/>
    <w:qFormat/>
    <w:uiPriority w:val="0"/>
    <w:pPr>
      <w:keepNext/>
      <w:keepLines/>
      <w:numPr>
        <w:ilvl w:val="4"/>
        <w:numId w:val="3"/>
      </w:numPr>
      <w:tabs>
        <w:tab w:val="left" w:pos="432"/>
        <w:tab w:val="left" w:pos="1150"/>
      </w:tabs>
      <w:spacing w:line="240" w:lineRule="atLeast"/>
      <w:ind w:left="0" w:firstLine="402"/>
      <w:jc w:val="left"/>
      <w:outlineLvl w:val="4"/>
    </w:pPr>
    <w:rPr>
      <w:rFonts w:ascii="Tahoma" w:hAnsi="Tahoma" w:eastAsia="黑体"/>
      <w:kern w:val="20"/>
      <w:sz w:val="28"/>
      <w:szCs w:val="20"/>
    </w:rPr>
  </w:style>
  <w:style w:type="paragraph" w:styleId="8">
    <w:name w:val="heading 6"/>
    <w:basedOn w:val="1"/>
    <w:next w:val="1"/>
    <w:semiHidden/>
    <w:unhideWhenUsed/>
    <w:qFormat/>
    <w:uiPriority w:val="9"/>
    <w:pPr>
      <w:keepNext/>
      <w:keepLines/>
      <w:numPr>
        <w:ilvl w:val="5"/>
        <w:numId w:val="2"/>
      </w:numPr>
      <w:spacing w:before="240" w:after="64" w:line="320" w:lineRule="auto"/>
      <w:ind w:left="0" w:firstLine="402" w:firstLineChars="0"/>
      <w:outlineLvl w:val="5"/>
    </w:pPr>
    <w:rPr>
      <w:rFonts w:asciiTheme="majorHAnsi" w:hAnsiTheme="majorHAnsi" w:eastAsiaTheme="majorEastAsia" w:cstheme="majorBidi"/>
      <w:b/>
      <w:bCs/>
      <w:szCs w:val="24"/>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420" w:leftChars="200"/>
      <w:pPrChange w:id="2" w:author="王静怡" w:date="2023-09-07T09:06:00Z">
        <w:pPr>
          <w:widowControl w:val="0"/>
          <w:spacing w:before="100" w:beforeAutospacing="1" w:after="100" w:afterAutospacing="1" w:line="360" w:lineRule="auto"/>
          <w:ind w:left="420" w:leftChars="200" w:firstLine="200" w:firstLineChars="200"/>
          <w:jc w:val="both"/>
        </w:pPr>
      </w:pPrChange>
    </w:pPr>
    <w:rPr>
      <w:rPrChange w:id="3" w:author="王静怡" w:date="2023-09-07T09:06:00Z">
        <w:rPr>
          <w:rFonts w:eastAsia="仿宋_GB2312" w:asciiTheme="minorHAnsi" w:hAnsiTheme="minorHAnsi" w:cstheme="minorBidi"/>
          <w:kern w:val="2"/>
          <w:sz w:val="32"/>
          <w:szCs w:val="22"/>
          <w:lang w:val="en-US" w:eastAsia="zh-CN" w:bidi="ar-SA"/>
        </w:rPr>
      </w:rPrChange>
    </w:rPr>
  </w:style>
  <w:style w:type="paragraph" w:styleId="9">
    <w:name w:val="Normal Indent"/>
    <w:basedOn w:val="1"/>
    <w:qFormat/>
    <w:uiPriority w:val="99"/>
    <w:pPr>
      <w:spacing w:beforeLines="25" w:afterLines="25" w:line="480" w:lineRule="exact"/>
      <w:ind w:firstLine="560" w:firstLineChars="200"/>
    </w:pPr>
    <w:rPr>
      <w:rFonts w:ascii="楷体_GB2312" w:hAnsi="Times New Roman" w:eastAsia="楷体_GB2312" w:cs="Times New Roman"/>
      <w:kern w:val="0"/>
      <w:sz w:val="28"/>
      <w:szCs w:val="20"/>
    </w:rPr>
  </w:style>
  <w:style w:type="paragraph" w:styleId="10">
    <w:name w:val="annotation text"/>
    <w:basedOn w:val="1"/>
    <w:qFormat/>
    <w:uiPriority w:val="0"/>
    <w:pPr>
      <w:jc w:val="left"/>
    </w:pPr>
  </w:style>
  <w:style w:type="paragraph" w:styleId="11">
    <w:name w:val="Body Text"/>
    <w:basedOn w:val="1"/>
    <w:next w:val="1"/>
    <w:qFormat/>
    <w:uiPriority w:val="0"/>
    <w:pPr>
      <w:spacing w:line="240" w:lineRule="auto"/>
    </w:pPr>
    <w:rPr>
      <w:rFonts w:ascii="Times New Roman" w:hAnsi="Times New Roman" w:cs="Times New Roman"/>
      <w:i/>
      <w:iCs/>
      <w:sz w:val="18"/>
    </w:rPr>
  </w:style>
  <w:style w:type="paragraph" w:styleId="12">
    <w:name w:val="Body Text Indent"/>
    <w:basedOn w:val="1"/>
    <w:qFormat/>
    <w:uiPriority w:val="0"/>
    <w:pPr>
      <w:spacing w:after="120" w:afterLines="0"/>
      <w:ind w:left="420" w:leftChars="200"/>
    </w:pPr>
    <w:rPr>
      <w:kern w:val="2"/>
      <w:sz w:val="21"/>
      <w:szCs w:val="24"/>
      <w:lang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ahoma" w:hAnsi="Tahoma"/>
      <w:sz w:val="18"/>
      <w:szCs w:val="20"/>
    </w:rPr>
  </w:style>
  <w:style w:type="paragraph" w:styleId="15">
    <w:name w:val="toc 1"/>
    <w:basedOn w:val="1"/>
    <w:next w:val="1"/>
    <w:qFormat/>
    <w:uiPriority w:val="39"/>
    <w:pPr>
      <w:spacing w:after="0" w:line="220" w:lineRule="exact"/>
    </w:pPr>
    <w:rPr>
      <w:rFonts w:cs="Calibri"/>
      <w:b/>
      <w:bCs/>
      <w:caps/>
      <w:color w:val="0070C0"/>
      <w:sz w:val="15"/>
      <w:szCs w:val="20"/>
    </w:rPr>
  </w:style>
  <w:style w:type="paragraph" w:styleId="16">
    <w:name w:val="Normal (Web)"/>
    <w:basedOn w:val="1"/>
    <w:unhideWhenUsed/>
    <w:qFormat/>
    <w:uiPriority w:val="99"/>
    <w:pPr>
      <w:widowControl/>
      <w:jc w:val="left"/>
    </w:pPr>
    <w:rPr>
      <w:rFonts w:ascii="宋体" w:hAnsi="宋体" w:cs="宋体"/>
      <w:kern w:val="0"/>
      <w:szCs w:val="24"/>
    </w:rPr>
  </w:style>
  <w:style w:type="paragraph" w:styleId="17">
    <w:name w:val="Body Text First Indent"/>
    <w:basedOn w:val="11"/>
    <w:qFormat/>
    <w:uiPriority w:val="0"/>
    <w:pPr>
      <w:ind w:firstLine="420" w:firstLineChars="100"/>
    </w:pPr>
  </w:style>
  <w:style w:type="character" w:styleId="20">
    <w:name w:val="page number"/>
    <w:basedOn w:val="19"/>
    <w:qFormat/>
    <w:uiPriority w:val="0"/>
  </w:style>
  <w:style w:type="paragraph" w:customStyle="1" w:styleId="21">
    <w:name w:val="PwC Normal"/>
    <w:basedOn w:val="1"/>
    <w:qFormat/>
    <w:uiPriority w:val="99"/>
    <w:pPr>
      <w:spacing w:before="180" w:after="180" w:line="240" w:lineRule="atLeast"/>
    </w:pPr>
  </w:style>
  <w:style w:type="paragraph" w:styleId="22">
    <w:name w:val="List Paragraph"/>
    <w:basedOn w:val="1"/>
    <w:qFormat/>
    <w:uiPriority w:val="34"/>
    <w:pPr>
      <w:ind w:firstLine="420"/>
    </w:pPr>
  </w:style>
  <w:style w:type="paragraph" w:customStyle="1" w:styleId="23">
    <w:name w:val="List Paragraph1"/>
    <w:basedOn w:val="1"/>
    <w:qFormat/>
    <w:uiPriority w:val="0"/>
    <w:pPr>
      <w:spacing w:line="240" w:lineRule="auto"/>
      <w:ind w:firstLine="420"/>
    </w:pPr>
    <w:rPr>
      <w:rFonts w:ascii="Times New Roman" w:hAnsi="Times New Roman" w:cs="Times New Roman"/>
      <w:sz w:val="21"/>
      <w:szCs w:val="21"/>
    </w:rPr>
  </w:style>
  <w:style w:type="paragraph" w:customStyle="1" w:styleId="24">
    <w:name w:val="列出段落1"/>
    <w:basedOn w:val="1"/>
    <w:qFormat/>
    <w:uiPriority w:val="34"/>
    <w:pPr>
      <w:ind w:firstLine="420"/>
    </w:pPr>
  </w:style>
  <w:style w:type="paragraph" w:customStyle="1" w:styleId="25">
    <w:name w:val="表内容"/>
    <w:qFormat/>
    <w:uiPriority w:val="0"/>
    <w:pPr>
      <w:spacing w:after="200" w:line="440" w:lineRule="exact"/>
      <w:ind w:firstLine="200" w:firstLineChars="20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2022-09-15T05:37:00Z</dcterms:created>
  <dc:creator>gwooding</dc:creator>
  <cp:lastModifiedBy>100256-代文林</cp:lastModifiedBy>
  <dcterms:modified xsi:type="dcterms:W3CDTF">2023-11-14T07:27:29Z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