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8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ind w:left="0" w:right="0" w:firstLine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</w:rPr>
        <w:t>贵州普定农村商业银行股份有限公司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余官支行业务用房第八轮安全评估自查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检查发现问题整改项目</w:t>
      </w:r>
    </w:p>
    <w:p>
      <w:pPr>
        <w:jc w:val="center"/>
        <w:rPr>
          <w:rFonts w:ascii="仿宋_GB2312" w:hAnsi="仿宋_GB2312" w:eastAsia="仿宋_GB2312" w:cs="仿宋_GB2312"/>
          <w:b/>
          <w:bCs/>
          <w:sz w:val="44"/>
          <w:szCs w:val="44"/>
        </w:rPr>
      </w:pPr>
    </w:p>
    <w:p>
      <w:pPr>
        <w:jc w:val="center"/>
        <w:rPr>
          <w:rFonts w:ascii="仿宋_GB2312" w:hAnsi="仿宋_GB2312" w:eastAsia="仿宋_GB2312" w:cs="仿宋_GB2312"/>
          <w:b/>
          <w:bCs/>
          <w:sz w:val="44"/>
          <w:szCs w:val="44"/>
        </w:rPr>
      </w:pPr>
    </w:p>
    <w:p>
      <w:pPr>
        <w:jc w:val="center"/>
        <w:rPr>
          <w:rFonts w:ascii="仿宋_GB2312" w:hAnsi="仿宋_GB2312" w:eastAsia="仿宋_GB2312" w:cs="仿宋_GB2312"/>
          <w:b/>
          <w:bCs/>
          <w:sz w:val="44"/>
          <w:szCs w:val="44"/>
        </w:rPr>
      </w:pPr>
    </w:p>
    <w:p>
      <w:pPr>
        <w:jc w:val="center"/>
        <w:rPr>
          <w:rFonts w:ascii="仿宋_GB2312" w:hAnsi="仿宋_GB2312" w:eastAsia="仿宋_GB2312" w:cs="仿宋_GB2312"/>
          <w:b/>
          <w:bCs/>
          <w:sz w:val="44"/>
          <w:szCs w:val="44"/>
        </w:rPr>
      </w:pPr>
    </w:p>
    <w:p>
      <w:pPr>
        <w:jc w:val="center"/>
        <w:rPr>
          <w:rFonts w:ascii="仿宋_GB2312" w:hAnsi="仿宋_GB2312" w:eastAsia="仿宋_GB2312" w:cs="仿宋_GB2312"/>
          <w:b/>
          <w:bCs/>
          <w:sz w:val="44"/>
          <w:szCs w:val="44"/>
        </w:rPr>
      </w:pPr>
    </w:p>
    <w:p>
      <w:pPr>
        <w:jc w:val="center"/>
        <w:rPr>
          <w:rFonts w:ascii="仿宋_GB2312" w:hAnsi="仿宋_GB2312" w:eastAsia="仿宋_GB2312" w:cs="仿宋_GB2312"/>
          <w:b/>
          <w:bCs/>
          <w:sz w:val="36"/>
          <w:szCs w:val="36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6"/>
          <w:szCs w:val="36"/>
          <w:lang w:eastAsia="zh-CN"/>
        </w:rPr>
        <w:t>竞争性谈判文件</w:t>
      </w:r>
    </w:p>
    <w:p>
      <w:pPr>
        <w:jc w:val="center"/>
        <w:rPr>
          <w:rFonts w:ascii="仿宋_GB2312" w:hAnsi="仿宋_GB2312" w:eastAsia="仿宋_GB2312" w:cs="仿宋_GB2312"/>
          <w:b/>
          <w:bCs/>
          <w:sz w:val="36"/>
          <w:szCs w:val="36"/>
        </w:rPr>
      </w:pPr>
    </w:p>
    <w:p>
      <w:pPr>
        <w:jc w:val="center"/>
        <w:rPr>
          <w:rFonts w:ascii="仿宋_GB2312" w:hAnsi="仿宋_GB2312" w:eastAsia="仿宋_GB2312" w:cs="仿宋_GB2312"/>
          <w:b/>
          <w:bCs/>
          <w:sz w:val="36"/>
          <w:szCs w:val="36"/>
        </w:rPr>
      </w:pPr>
    </w:p>
    <w:p>
      <w:pPr>
        <w:jc w:val="center"/>
        <w:rPr>
          <w:rFonts w:ascii="仿宋_GB2312" w:hAnsi="仿宋_GB2312" w:eastAsia="仿宋_GB2312" w:cs="仿宋_GB2312"/>
          <w:b/>
          <w:bCs/>
          <w:sz w:val="36"/>
          <w:szCs w:val="36"/>
        </w:rPr>
      </w:pPr>
    </w:p>
    <w:p>
      <w:pPr>
        <w:jc w:val="center"/>
        <w:rPr>
          <w:rFonts w:ascii="仿宋_GB2312" w:hAnsi="仿宋_GB2312" w:eastAsia="仿宋_GB2312" w:cs="仿宋_GB2312"/>
          <w:b/>
          <w:bCs/>
          <w:sz w:val="36"/>
          <w:szCs w:val="36"/>
        </w:rPr>
      </w:pPr>
    </w:p>
    <w:p>
      <w:pPr>
        <w:jc w:val="center"/>
        <w:rPr>
          <w:rFonts w:ascii="仿宋_GB2312" w:hAnsi="仿宋_GB2312" w:eastAsia="仿宋_GB2312" w:cs="仿宋_GB2312"/>
          <w:b/>
          <w:bCs/>
          <w:sz w:val="36"/>
          <w:szCs w:val="36"/>
        </w:rPr>
      </w:pPr>
    </w:p>
    <w:p>
      <w:pPr>
        <w:jc w:val="center"/>
        <w:rPr>
          <w:rFonts w:ascii="仿宋_GB2312" w:hAnsi="仿宋_GB2312" w:eastAsia="仿宋_GB2312" w:cs="仿宋_GB2312"/>
          <w:b/>
          <w:bCs/>
          <w:sz w:val="36"/>
          <w:szCs w:val="36"/>
        </w:rPr>
      </w:pPr>
    </w:p>
    <w:p>
      <w:pPr>
        <w:rPr>
          <w:rFonts w:ascii="仿宋_GB2312" w:hAnsi="仿宋_GB2312" w:eastAsia="仿宋_GB2312" w:cs="仿宋_GB2312"/>
          <w:b/>
          <w:bCs/>
          <w:sz w:val="36"/>
          <w:szCs w:val="36"/>
        </w:rPr>
      </w:pPr>
    </w:p>
    <w:p>
      <w:pPr>
        <w:jc w:val="center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项目业主： 贵州普定农村商业银行股份有限公司</w:t>
      </w:r>
    </w:p>
    <w:p>
      <w:pPr>
        <w:ind w:firstLine="643" w:firstLineChars="200"/>
        <w:jc w:val="both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编制日期：  202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9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月</w:t>
      </w:r>
    </w:p>
    <w:p>
      <w:pPr>
        <w:jc w:val="center"/>
        <w:rPr>
          <w:rFonts w:ascii="仿宋_GB2312" w:hAnsi="仿宋_GB2312" w:eastAsia="仿宋_GB2312" w:cs="仿宋_GB2312"/>
          <w:sz w:val="36"/>
          <w:szCs w:val="36"/>
        </w:rPr>
      </w:pPr>
    </w:p>
    <w:p>
      <w:pPr>
        <w:rPr>
          <w:rFonts w:ascii="仿宋_GB2312" w:hAnsi="仿宋_GB2312" w:eastAsia="仿宋_GB2312" w:cs="仿宋_GB2312"/>
          <w:sz w:val="48"/>
          <w:szCs w:val="48"/>
        </w:rPr>
        <w:sectPr>
          <w:footerReference r:id="rId3" w:type="default"/>
          <w:pgSz w:w="11906" w:h="16838"/>
          <w:pgMar w:top="1440" w:right="1800" w:bottom="1440" w:left="1800" w:header="851" w:footer="992" w:gutter="0"/>
          <w:pgNumType w:fmt="numberInDash"/>
          <w:cols w:space="425" w:num="1"/>
          <w:docGrid w:type="lines" w:linePitch="312" w:charSpace="0"/>
        </w:sectPr>
      </w:pPr>
    </w:p>
    <w:p>
      <w:pPr>
        <w:jc w:val="center"/>
        <w:rPr>
          <w:rFonts w:ascii="仿宋_GB2312" w:hAnsi="仿宋_GB2312" w:eastAsia="仿宋_GB2312" w:cs="仿宋_GB2312"/>
          <w:b/>
          <w:bCs/>
          <w:sz w:val="48"/>
          <w:szCs w:val="48"/>
        </w:rPr>
      </w:pPr>
      <w:r>
        <w:rPr>
          <w:rFonts w:hint="eastAsia" w:ascii="仿宋_GB2312" w:hAnsi="仿宋_GB2312" w:eastAsia="仿宋_GB2312" w:cs="仿宋_GB2312"/>
          <w:b/>
          <w:bCs/>
          <w:sz w:val="48"/>
          <w:szCs w:val="48"/>
        </w:rPr>
        <w:t>目     录</w:t>
      </w:r>
    </w:p>
    <w:p>
      <w:pPr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目录.........................................（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）</w:t>
      </w:r>
    </w:p>
    <w:p>
      <w:pPr>
        <w:rPr>
          <w:rFonts w:ascii="仿宋_GB2312" w:hAnsi="仿宋_GB2312" w:eastAsia="仿宋_GB2312" w:cs="仿宋_GB2312"/>
          <w:b/>
          <w:bCs/>
          <w:sz w:val="32"/>
          <w:szCs w:val="32"/>
        </w:rPr>
      </w:pPr>
    </w:p>
    <w:p>
      <w:pPr>
        <w:numPr>
          <w:ilvl w:val="0"/>
          <w:numId w:val="0"/>
        </w:numPr>
        <w:jc w:val="left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szCs w:val="32"/>
          <w:lang w:val="en-US" w:eastAsia="zh-CN"/>
        </w:rPr>
        <w:t>第一章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szCs w:val="32"/>
        </w:rPr>
        <w:t xml:space="preserve"> 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szCs w:val="32"/>
          <w:lang w:eastAsia="zh-CN"/>
        </w:rPr>
        <w:t>报价供应商资格条件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.........................（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）</w:t>
      </w:r>
    </w:p>
    <w:p>
      <w:pPr>
        <w:rPr>
          <w:rFonts w:ascii="仿宋_GB2312" w:hAnsi="仿宋_GB2312" w:eastAsia="仿宋_GB2312" w:cs="仿宋_GB2312"/>
          <w:b/>
          <w:bCs/>
          <w:sz w:val="32"/>
          <w:szCs w:val="32"/>
        </w:rPr>
      </w:pPr>
    </w:p>
    <w:p>
      <w:pPr>
        <w:widowControl w:val="0"/>
        <w:spacing w:after="0" w:line="520" w:lineRule="exact"/>
        <w:jc w:val="left"/>
        <w:outlineLvl w:val="1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kern w:val="2"/>
          <w:sz w:val="32"/>
          <w:szCs w:val="32"/>
          <w:lang w:val="en-US" w:eastAsia="zh-CN" w:bidi="ar-SA"/>
        </w:rPr>
        <w:t xml:space="preserve">第二章   </w:t>
      </w:r>
      <w:r>
        <w:rPr>
          <w:rFonts w:hint="eastAsia" w:ascii="方正小标宋简体" w:hAnsi="方正小标宋简体" w:eastAsia="方正小标宋简体" w:cs="方正小标宋简体"/>
          <w:kern w:val="2"/>
          <w:sz w:val="32"/>
          <w:szCs w:val="32"/>
          <w:lang w:eastAsia="zh-CN" w:bidi="ar-SA"/>
        </w:rPr>
        <w:t>报价文件递交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.....................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........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）</w:t>
      </w:r>
    </w:p>
    <w:p>
      <w:pPr>
        <w:rPr>
          <w:rFonts w:ascii="仿宋_GB2312" w:hAnsi="仿宋_GB2312" w:eastAsia="仿宋_GB2312" w:cs="仿宋_GB2312"/>
          <w:b/>
          <w:bCs/>
          <w:sz w:val="32"/>
          <w:szCs w:val="32"/>
        </w:rPr>
      </w:pPr>
    </w:p>
    <w:p>
      <w:pPr>
        <w:spacing w:after="0" w:line="500" w:lineRule="exact"/>
        <w:jc w:val="left"/>
        <w:outlineLvl w:val="1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sz w:val="32"/>
          <w:szCs w:val="32"/>
          <w:lang w:val="en-US" w:eastAsia="zh-CN"/>
        </w:rPr>
        <w:t xml:space="preserve">第三章  </w:t>
      </w:r>
      <w:r>
        <w:rPr>
          <w:rFonts w:hint="eastAsia" w:ascii="方正小标宋简体" w:hAnsi="方正小标宋简体" w:eastAsia="方正小标宋简体" w:cs="方正小标宋简体"/>
          <w:sz w:val="32"/>
          <w:szCs w:val="32"/>
          <w:lang w:val="zh-CN" w:eastAsia="zh-CN"/>
        </w:rPr>
        <w:t>谈判与评审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.............................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..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4-6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）</w:t>
      </w:r>
    </w:p>
    <w:p>
      <w:pPr>
        <w:rPr>
          <w:rFonts w:ascii="仿宋_GB2312" w:hAnsi="仿宋_GB2312" w:eastAsia="仿宋_GB2312" w:cs="仿宋_GB2312"/>
          <w:b/>
          <w:bCs/>
          <w:sz w:val="32"/>
          <w:szCs w:val="32"/>
        </w:rPr>
      </w:pPr>
    </w:p>
    <w:p>
      <w:pPr>
        <w:numPr>
          <w:ilvl w:val="0"/>
          <w:numId w:val="0"/>
        </w:numPr>
        <w:jc w:val="left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sz w:val="30"/>
          <w:szCs w:val="30"/>
          <w:lang w:val="en-US" w:eastAsia="zh-CN"/>
        </w:rPr>
        <w:t>第四章    报价表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...........................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.......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7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）</w:t>
      </w:r>
    </w:p>
    <w:p>
      <w:pPr>
        <w:rPr>
          <w:rFonts w:ascii="仿宋_GB2312" w:hAnsi="仿宋_GB2312" w:eastAsia="仿宋_GB2312" w:cs="仿宋_GB2312"/>
          <w:b/>
          <w:bCs/>
          <w:sz w:val="32"/>
          <w:szCs w:val="32"/>
        </w:rPr>
      </w:pPr>
    </w:p>
    <w:p>
      <w:pPr>
        <w:rPr>
          <w:rFonts w:ascii="仿宋_GB2312" w:hAnsi="仿宋_GB2312" w:eastAsia="仿宋_GB2312" w:cs="仿宋_GB2312"/>
          <w:b/>
          <w:bCs/>
          <w:sz w:val="32"/>
          <w:szCs w:val="32"/>
        </w:rPr>
      </w:pPr>
    </w:p>
    <w:p/>
    <w:p/>
    <w:p/>
    <w:p/>
    <w:p/>
    <w:p/>
    <w:p/>
    <w:p/>
    <w:p/>
    <w:p/>
    <w:p/>
    <w:p/>
    <w:p>
      <w:pPr>
        <w:jc w:val="center"/>
        <w:rPr>
          <w:rFonts w:ascii="仿宋_GB2312" w:hAnsi="仿宋_GB2312" w:eastAsia="仿宋_GB2312" w:cs="仿宋_GB2312"/>
          <w:b/>
          <w:bCs/>
          <w:sz w:val="36"/>
          <w:szCs w:val="36"/>
        </w:rPr>
      </w:pPr>
    </w:p>
    <w:p>
      <w:pPr>
        <w:pStyle w:val="14"/>
        <w:rPr>
          <w:rFonts w:ascii="仿宋_GB2312" w:hAnsi="仿宋_GB2312" w:eastAsia="仿宋_GB2312" w:cs="仿宋_GB2312"/>
          <w:b/>
          <w:bCs/>
          <w:sz w:val="36"/>
          <w:szCs w:val="36"/>
        </w:rPr>
      </w:pPr>
    </w:p>
    <w:p>
      <w:pPr>
        <w:pStyle w:val="14"/>
        <w:rPr>
          <w:rFonts w:ascii="仿宋_GB2312" w:hAnsi="仿宋_GB2312" w:eastAsia="仿宋_GB2312" w:cs="仿宋_GB2312"/>
          <w:b/>
          <w:bCs/>
          <w:sz w:val="36"/>
          <w:szCs w:val="36"/>
        </w:rPr>
      </w:pPr>
    </w:p>
    <w:p>
      <w:pPr>
        <w:numPr>
          <w:ilvl w:val="0"/>
          <w:numId w:val="0"/>
        </w:numPr>
        <w:jc w:val="center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szCs w:val="32"/>
          <w:lang w:val="en-US" w:eastAsia="zh-CN"/>
        </w:rPr>
        <w:t>第一章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szCs w:val="32"/>
        </w:rPr>
        <w:t xml:space="preserve"> </w:t>
      </w:r>
      <w:bookmarkStart w:id="0" w:name="_Toc31319"/>
      <w:bookmarkStart w:id="1" w:name="_Toc6241"/>
      <w:r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szCs w:val="32"/>
          <w:lang w:eastAsia="zh-CN"/>
        </w:rPr>
        <w:t>报价供应商资格条件</w:t>
      </w:r>
      <w:bookmarkEnd w:id="0"/>
      <w:bookmarkEnd w:id="1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（一）基本条件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1.具有独立承担民事责任的能力；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2.具有良好的商业信誉和健全的财务会计制度；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3.具有履行合同所必需的设备和专业技术能力；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4.有依法缴纳税收和社会保障资金的良好记录；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5.参加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本次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采购活动前3年内，在经营活动中没有重大违法记录；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/>
          <w:lang w:val="en-US"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6.近3年内未发生过质量及安全事故（供应商自行承诺，格式自拟）。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7.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法律、行政法规规定的其他条件。</w:t>
      </w:r>
      <w:bookmarkStart w:id="15" w:name="_GoBack"/>
      <w:bookmarkEnd w:id="15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（二）单位负责人为同一人或者存在直接控股、管理关系的不同供应商，不得同时参加同一包的采购活动。生产型企业的生产场经营地址或者注册登记地址为同一地址的，非国有销售型企业的控股股东和管理人员（法定代表人、董事、监事）之间存在近亲属、相互占股等关联的，也不得同时参加同一包的采购活动。近亲属指夫妻、直系血亲、三代以内旁系血亲或近姻亲关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（三）未被列入政府采购失信名单，未被“信用中国”网站列入失信被执行人、重大税收违法案件当事人。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（四）本项目不接受联合体报价。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（五）报价供应商应当具备服务履约的能力，在履约环节不得转包和违法分包，一经发现存在转包和违法分包行为，转包和违法分包的相关企业均将受到相关处罚。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※（六）本项目特定的其他资质。</w:t>
      </w:r>
    </w:p>
    <w:p>
      <w:pPr>
        <w:widowControl w:val="0"/>
        <w:spacing w:after="0" w:line="520" w:lineRule="exact"/>
        <w:ind w:firstLine="616" w:firstLineChars="200"/>
        <w:jc w:val="center"/>
        <w:outlineLvl w:val="1"/>
        <w:rPr>
          <w:rFonts w:hint="eastAsia" w:ascii="方正小标宋简体" w:hAnsi="方正小标宋简体" w:eastAsia="方正小标宋简体" w:cs="方正小标宋简体"/>
          <w:kern w:val="2"/>
          <w:sz w:val="32"/>
          <w:szCs w:val="32"/>
          <w:lang w:eastAsia="zh-CN" w:bidi="ar-SA"/>
        </w:rPr>
      </w:pPr>
      <w:r>
        <w:rPr>
          <w:rFonts w:hint="eastAsia" w:ascii="方正小标宋简体" w:hAnsi="方正小标宋简体" w:eastAsia="方正小标宋简体" w:cs="方正小标宋简体"/>
          <w:kern w:val="2"/>
          <w:sz w:val="32"/>
          <w:szCs w:val="32"/>
          <w:lang w:val="en-US" w:eastAsia="zh-CN" w:bidi="ar-SA"/>
        </w:rPr>
        <w:t xml:space="preserve">第二章   </w:t>
      </w:r>
      <w:r>
        <w:rPr>
          <w:rFonts w:hint="eastAsia" w:ascii="方正小标宋简体" w:hAnsi="方正小标宋简体" w:eastAsia="方正小标宋简体" w:cs="方正小标宋简体"/>
          <w:kern w:val="2"/>
          <w:sz w:val="32"/>
          <w:szCs w:val="32"/>
          <w:lang w:eastAsia="zh-CN" w:bidi="ar-SA"/>
        </w:rPr>
        <w:t>报价文件递交</w:t>
      </w:r>
    </w:p>
    <w:p>
      <w:pPr>
        <w:spacing w:after="0" w:line="520" w:lineRule="exact"/>
        <w:jc w:val="both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</w:p>
    <w:p>
      <w:pPr>
        <w:spacing w:after="0" w:line="520" w:lineRule="exact"/>
        <w:jc w:val="both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一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）报价文件递交截止时间：</w:t>
      </w:r>
      <w:r>
        <w:rPr>
          <w:rFonts w:hint="eastAsia" w:ascii="仿宋_GB2312" w:hAnsi="仿宋_GB2312" w:eastAsia="仿宋_GB2312" w:cs="仿宋_GB2312"/>
          <w:sz w:val="30"/>
          <w:szCs w:val="30"/>
          <w:u w:val="single"/>
          <w:lang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0"/>
          <w:szCs w:val="30"/>
          <w:u w:val="single"/>
          <w:lang w:val="en-US" w:eastAsia="zh-CN"/>
        </w:rPr>
        <w:t>2023</w:t>
      </w:r>
      <w:r>
        <w:rPr>
          <w:rFonts w:hint="eastAsia" w:ascii="仿宋_GB2312" w:hAnsi="仿宋_GB2312" w:eastAsia="仿宋_GB2312" w:cs="仿宋_GB2312"/>
          <w:sz w:val="30"/>
          <w:szCs w:val="30"/>
          <w:u w:val="single"/>
          <w:lang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年</w:t>
      </w:r>
      <w:r>
        <w:rPr>
          <w:rFonts w:hint="eastAsia" w:ascii="仿宋_GB2312" w:hAnsi="仿宋_GB2312" w:eastAsia="仿宋_GB2312" w:cs="仿宋_GB2312"/>
          <w:sz w:val="30"/>
          <w:szCs w:val="30"/>
          <w:u w:val="single"/>
          <w:lang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0"/>
          <w:szCs w:val="30"/>
          <w:u w:val="single"/>
          <w:lang w:val="en-US" w:eastAsia="zh-CN"/>
        </w:rPr>
        <w:t>9</w:t>
      </w:r>
      <w:r>
        <w:rPr>
          <w:rFonts w:hint="eastAsia" w:ascii="仿宋_GB2312" w:hAnsi="仿宋_GB2312" w:eastAsia="仿宋_GB2312" w:cs="仿宋_GB2312"/>
          <w:sz w:val="30"/>
          <w:szCs w:val="30"/>
          <w:u w:val="single"/>
          <w:lang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月</w:t>
      </w:r>
      <w:r>
        <w:rPr>
          <w:rFonts w:hint="eastAsia" w:ascii="仿宋_GB2312" w:hAnsi="仿宋_GB2312" w:eastAsia="仿宋_GB2312" w:cs="仿宋_GB2312"/>
          <w:sz w:val="30"/>
          <w:szCs w:val="30"/>
          <w:u w:val="single"/>
          <w:lang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0"/>
          <w:szCs w:val="30"/>
          <w:u w:val="single"/>
          <w:lang w:val="en-US" w:eastAsia="zh-CN"/>
        </w:rPr>
        <w:t>19</w:t>
      </w:r>
      <w:r>
        <w:rPr>
          <w:rFonts w:hint="eastAsia" w:ascii="仿宋_GB2312" w:hAnsi="仿宋_GB2312" w:eastAsia="仿宋_GB2312" w:cs="仿宋_GB2312"/>
          <w:sz w:val="30"/>
          <w:szCs w:val="30"/>
          <w:u w:val="single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日</w:t>
      </w:r>
      <w:r>
        <w:rPr>
          <w:rFonts w:hint="eastAsia" w:ascii="仿宋_GB2312" w:hAnsi="仿宋_GB2312" w:eastAsia="仿宋_GB2312" w:cs="仿宋_GB2312"/>
          <w:sz w:val="30"/>
          <w:szCs w:val="30"/>
          <w:u w:val="single"/>
          <w:lang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0"/>
          <w:szCs w:val="30"/>
          <w:u w:val="single"/>
          <w:lang w:val="en-US" w:eastAsia="zh-CN"/>
        </w:rPr>
        <w:t>17</w:t>
      </w:r>
      <w:r>
        <w:rPr>
          <w:rFonts w:hint="eastAsia" w:ascii="仿宋_GB2312" w:hAnsi="仿宋_GB2312" w:eastAsia="仿宋_GB2312" w:cs="仿宋_GB2312"/>
          <w:sz w:val="30"/>
          <w:szCs w:val="30"/>
          <w:u w:val="single"/>
          <w:lang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:</w:t>
      </w:r>
      <w:r>
        <w:rPr>
          <w:rFonts w:hint="eastAsia" w:ascii="仿宋_GB2312" w:hAnsi="仿宋_GB2312" w:eastAsia="仿宋_GB2312" w:cs="仿宋_GB2312"/>
          <w:sz w:val="30"/>
          <w:szCs w:val="30"/>
          <w:u w:val="single"/>
          <w:lang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0"/>
          <w:szCs w:val="30"/>
          <w:u w:val="single"/>
          <w:lang w:val="en-US" w:eastAsia="zh-CN"/>
        </w:rPr>
        <w:t>00</w:t>
      </w:r>
      <w:r>
        <w:rPr>
          <w:rFonts w:hint="eastAsia" w:ascii="仿宋_GB2312" w:hAnsi="仿宋_GB2312" w:eastAsia="仿宋_GB2312" w:cs="仿宋_GB2312"/>
          <w:sz w:val="30"/>
          <w:szCs w:val="30"/>
          <w:u w:val="single"/>
          <w:lang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（北京时间）。</w:t>
      </w:r>
    </w:p>
    <w:p>
      <w:pPr>
        <w:spacing w:after="0" w:line="520" w:lineRule="exact"/>
        <w:jc w:val="both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二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）报价文件递交地点：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222222"/>
          <w:spacing w:val="8"/>
          <w:sz w:val="30"/>
          <w:szCs w:val="30"/>
          <w:lang w:val="en-US" w:eastAsia="zh-CN"/>
        </w:rPr>
        <w:t>贵州省安顺市普定县穿洞街道中心大道（新县委大楼旁）普定农商银行607综合办公室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。</w:t>
      </w:r>
    </w:p>
    <w:p>
      <w:pPr>
        <w:rPr>
          <w:rFonts w:ascii="仿宋_GB2312" w:hAnsi="仿宋_GB2312" w:eastAsia="仿宋_GB2312" w:cs="仿宋_GB2312"/>
          <w:sz w:val="30"/>
          <w:szCs w:val="30"/>
        </w:rPr>
      </w:pPr>
    </w:p>
    <w:p>
      <w:pPr>
        <w:rPr>
          <w:rFonts w:ascii="仿宋_GB2312" w:hAnsi="仿宋_GB2312" w:eastAsia="仿宋_GB2312" w:cs="仿宋_GB2312"/>
          <w:sz w:val="30"/>
          <w:szCs w:val="30"/>
        </w:rPr>
      </w:pPr>
    </w:p>
    <w:p>
      <w:pPr>
        <w:rPr>
          <w:rFonts w:ascii="仿宋_GB2312" w:hAnsi="仿宋_GB2312" w:eastAsia="仿宋_GB2312" w:cs="仿宋_GB2312"/>
          <w:sz w:val="30"/>
          <w:szCs w:val="30"/>
        </w:rPr>
      </w:pPr>
    </w:p>
    <w:p>
      <w:pPr>
        <w:rPr>
          <w:rFonts w:ascii="仿宋_GB2312" w:hAnsi="仿宋_GB2312" w:eastAsia="仿宋_GB2312" w:cs="仿宋_GB2312"/>
          <w:sz w:val="30"/>
          <w:szCs w:val="30"/>
        </w:rPr>
      </w:pPr>
    </w:p>
    <w:p>
      <w:pPr>
        <w:rPr>
          <w:rFonts w:ascii="仿宋_GB2312" w:hAnsi="仿宋_GB2312" w:eastAsia="仿宋_GB2312" w:cs="仿宋_GB2312"/>
          <w:sz w:val="30"/>
          <w:szCs w:val="30"/>
        </w:rPr>
      </w:pPr>
    </w:p>
    <w:p>
      <w:pPr>
        <w:rPr>
          <w:rFonts w:ascii="仿宋_GB2312" w:hAnsi="仿宋_GB2312" w:eastAsia="仿宋_GB2312" w:cs="仿宋_GB2312"/>
          <w:sz w:val="30"/>
          <w:szCs w:val="30"/>
        </w:rPr>
      </w:pPr>
    </w:p>
    <w:p>
      <w:pPr>
        <w:rPr>
          <w:rFonts w:ascii="仿宋_GB2312" w:hAnsi="仿宋_GB2312" w:eastAsia="仿宋_GB2312" w:cs="仿宋_GB2312"/>
          <w:sz w:val="30"/>
          <w:szCs w:val="30"/>
        </w:rPr>
      </w:pP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0"/>
          <w:szCs w:val="30"/>
        </w:rPr>
      </w:pP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0"/>
          <w:szCs w:val="30"/>
        </w:rPr>
      </w:pP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0"/>
          <w:szCs w:val="30"/>
        </w:rPr>
      </w:pP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0"/>
          <w:szCs w:val="30"/>
        </w:rPr>
      </w:pP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0"/>
          <w:szCs w:val="30"/>
        </w:rPr>
      </w:pP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0"/>
          <w:szCs w:val="30"/>
        </w:rPr>
      </w:pP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0"/>
          <w:szCs w:val="30"/>
        </w:rPr>
      </w:pP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0"/>
          <w:szCs w:val="30"/>
        </w:rPr>
      </w:pPr>
    </w:p>
    <w:p>
      <w:pPr>
        <w:spacing w:after="0" w:line="500" w:lineRule="exact"/>
        <w:ind w:firstLine="616" w:firstLineChars="200"/>
        <w:jc w:val="center"/>
        <w:outlineLvl w:val="1"/>
        <w:rPr>
          <w:rFonts w:hint="eastAsia" w:ascii="方正小标宋简体" w:hAnsi="方正小标宋简体" w:eastAsia="方正小标宋简体" w:cs="方正小标宋简体"/>
          <w:sz w:val="32"/>
          <w:szCs w:val="32"/>
          <w:lang w:val="en-US" w:eastAsia="zh-CN"/>
        </w:rPr>
      </w:pPr>
      <w:bookmarkStart w:id="2" w:name="_Toc9740"/>
      <w:bookmarkStart w:id="3" w:name="_Toc17657"/>
    </w:p>
    <w:p>
      <w:pPr>
        <w:spacing w:after="0" w:line="500" w:lineRule="exact"/>
        <w:ind w:firstLine="616" w:firstLineChars="200"/>
        <w:jc w:val="center"/>
        <w:outlineLvl w:val="1"/>
        <w:rPr>
          <w:rFonts w:hint="eastAsia" w:ascii="方正小标宋简体" w:hAnsi="方正小标宋简体" w:eastAsia="方正小标宋简体" w:cs="方正小标宋简体"/>
          <w:sz w:val="32"/>
          <w:szCs w:val="32"/>
          <w:lang w:val="zh-CN" w:eastAsia="zh-CN"/>
        </w:rPr>
      </w:pPr>
      <w:r>
        <w:rPr>
          <w:rFonts w:hint="eastAsia" w:ascii="方正小标宋简体" w:hAnsi="方正小标宋简体" w:eastAsia="方正小标宋简体" w:cs="方正小标宋简体"/>
          <w:sz w:val="32"/>
          <w:szCs w:val="32"/>
          <w:lang w:val="en-US" w:eastAsia="zh-CN"/>
        </w:rPr>
        <w:t xml:space="preserve">第三章  </w:t>
      </w:r>
      <w:r>
        <w:rPr>
          <w:rFonts w:hint="eastAsia" w:ascii="方正小标宋简体" w:hAnsi="方正小标宋简体" w:eastAsia="方正小标宋简体" w:cs="方正小标宋简体"/>
          <w:sz w:val="32"/>
          <w:szCs w:val="32"/>
          <w:lang w:val="zh-CN" w:eastAsia="zh-CN"/>
        </w:rPr>
        <w:t>谈判与评审</w:t>
      </w:r>
      <w:bookmarkEnd w:id="2"/>
      <w:bookmarkEnd w:id="3"/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560" w:lineRule="exact"/>
        <w:ind w:firstLine="576" w:firstLineChars="200"/>
        <w:textAlignment w:val="auto"/>
        <w:rPr>
          <w:rFonts w:hint="eastAsia" w:ascii="仿宋_GB2312" w:hAnsi="仿宋_GB2312" w:eastAsia="仿宋_GB2312" w:cs="仿宋_GB2312"/>
          <w:b w:val="0"/>
          <w:sz w:val="30"/>
          <w:szCs w:val="30"/>
          <w:lang w:eastAsia="zh-CN"/>
        </w:rPr>
      </w:pPr>
      <w:bookmarkStart w:id="4" w:name="_Toc62487639"/>
      <w:bookmarkStart w:id="5" w:name="_Toc11060"/>
      <w:bookmarkStart w:id="6" w:name="_Toc30707"/>
      <w:bookmarkStart w:id="7" w:name="_Toc30307"/>
      <w:bookmarkStart w:id="8" w:name="_Toc117697257"/>
      <w:bookmarkStart w:id="9" w:name="_Toc13323"/>
      <w:bookmarkStart w:id="10" w:name="_Toc23412"/>
      <w:bookmarkStart w:id="11" w:name="_Toc7039"/>
      <w:bookmarkStart w:id="12" w:name="_Toc112854364"/>
      <w:r>
        <w:rPr>
          <w:rFonts w:hint="eastAsia" w:ascii="仿宋_GB2312" w:hAnsi="仿宋_GB2312" w:eastAsia="仿宋_GB2312" w:cs="仿宋_GB2312"/>
          <w:b w:val="0"/>
          <w:sz w:val="30"/>
          <w:szCs w:val="30"/>
          <w:lang w:eastAsia="zh-CN"/>
        </w:rPr>
        <w:t>（一）谈判小组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after="0" w:line="560" w:lineRule="exact"/>
        <w:ind w:firstLine="576" w:firstLineChars="200"/>
        <w:jc w:val="both"/>
        <w:textAlignment w:val="auto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采购机构根据项目实际组织相关人员组成谈判小组，对报价文件进行评审，并与供应商法定代表人或授权代表进行谈判。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560" w:lineRule="exact"/>
        <w:ind w:firstLine="576" w:firstLineChars="200"/>
        <w:textAlignment w:val="auto"/>
        <w:rPr>
          <w:rFonts w:hint="eastAsia" w:ascii="仿宋_GB2312" w:hAnsi="仿宋_GB2312" w:eastAsia="仿宋_GB2312" w:cs="仿宋_GB2312"/>
          <w:b w:val="0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0"/>
          <w:szCs w:val="30"/>
          <w:lang w:eastAsia="zh-CN"/>
        </w:rPr>
        <w:t>（二）谈判方式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after="0" w:line="560" w:lineRule="exact"/>
        <w:ind w:firstLine="576" w:firstLineChars="200"/>
        <w:jc w:val="both"/>
        <w:textAlignment w:val="auto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本项目采取</w:t>
      </w: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轮谈判</w:t>
      </w: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轮报价，每轮报价金额不能高于上一轮报价金额，取最后一轮报价为成交价格，投标人最终报价不超过招标人批准的预算或招标控制价。报价文件书面报价为首轮报价，后续每轮报价通过协商确定。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560" w:lineRule="exact"/>
        <w:ind w:firstLine="576" w:firstLineChars="200"/>
        <w:textAlignment w:val="auto"/>
        <w:rPr>
          <w:rFonts w:hint="eastAsia" w:ascii="仿宋_GB2312" w:hAnsi="仿宋_GB2312" w:eastAsia="仿宋_GB2312" w:cs="仿宋_GB2312"/>
          <w:b w:val="0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0"/>
          <w:szCs w:val="30"/>
          <w:lang w:eastAsia="zh-CN"/>
        </w:rPr>
        <w:t>（三）</w:t>
      </w:r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r>
        <w:rPr>
          <w:rFonts w:hint="eastAsia" w:ascii="仿宋_GB2312" w:hAnsi="仿宋_GB2312" w:eastAsia="仿宋_GB2312" w:cs="仿宋_GB2312"/>
          <w:b w:val="0"/>
          <w:sz w:val="30"/>
          <w:szCs w:val="30"/>
          <w:lang w:eastAsia="zh-CN"/>
        </w:rPr>
        <w:t>评审原则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after="0" w:line="560" w:lineRule="exact"/>
        <w:ind w:firstLine="576" w:firstLineChars="200"/>
        <w:jc w:val="both"/>
        <w:textAlignment w:val="auto"/>
        <w:rPr>
          <w:rFonts w:hint="eastAsia" w:ascii="仿宋_GB2312" w:hAnsi="仿宋_GB2312" w:eastAsia="仿宋_GB2312" w:cs="仿宋_GB2312"/>
          <w:sz w:val="30"/>
          <w:szCs w:val="30"/>
          <w:lang w:val="zh-CN" w:eastAsia="zh-CN"/>
        </w:rPr>
      </w:pPr>
      <w:bookmarkStart w:id="13" w:name="_Hlk128229422"/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1.</w:t>
      </w:r>
      <w:r>
        <w:rPr>
          <w:rFonts w:hint="eastAsia" w:ascii="仿宋_GB2312" w:hAnsi="仿宋_GB2312" w:eastAsia="仿宋_GB2312" w:cs="仿宋_GB2312"/>
          <w:sz w:val="30"/>
          <w:szCs w:val="30"/>
          <w:lang w:val="zh-CN" w:eastAsia="zh-CN"/>
        </w:rPr>
        <w:t>评审活动遵循公平、公正、科学和择优的原则。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after="0" w:line="560" w:lineRule="exact"/>
        <w:ind w:firstLine="576" w:firstLineChars="200"/>
        <w:jc w:val="both"/>
        <w:textAlignment w:val="auto"/>
        <w:rPr>
          <w:rFonts w:hint="eastAsia" w:ascii="仿宋_GB2312" w:hAnsi="仿宋_GB2312" w:eastAsia="仿宋_GB2312" w:cs="仿宋_GB2312"/>
          <w:sz w:val="30"/>
          <w:szCs w:val="30"/>
          <w:lang w:val="zh-CN"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2.</w:t>
      </w:r>
      <w:r>
        <w:rPr>
          <w:rFonts w:hint="eastAsia" w:ascii="仿宋_GB2312" w:hAnsi="仿宋_GB2312" w:eastAsia="仿宋_GB2312" w:cs="仿宋_GB2312"/>
          <w:sz w:val="30"/>
          <w:szCs w:val="30"/>
          <w:lang w:val="zh-CN" w:eastAsia="zh-CN"/>
        </w:rPr>
        <w:t>严格依据谈判文件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规定</w:t>
      </w:r>
      <w:r>
        <w:rPr>
          <w:rFonts w:hint="eastAsia" w:ascii="仿宋_GB2312" w:hAnsi="仿宋_GB2312" w:eastAsia="仿宋_GB2312" w:cs="仿宋_GB2312"/>
          <w:sz w:val="30"/>
          <w:szCs w:val="30"/>
          <w:lang w:val="zh-CN" w:eastAsia="zh-CN"/>
        </w:rPr>
        <w:t>的评审方法、程序和标准评审。不得以投票表决等形式修改谈判文件规定的评审方法、程序和标准；谈判文件没有规定的评审方法、程序和标准，不得作为评审依据。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after="0" w:line="560" w:lineRule="exact"/>
        <w:ind w:firstLine="576" w:firstLineChars="200"/>
        <w:jc w:val="both"/>
        <w:textAlignment w:val="auto"/>
        <w:rPr>
          <w:rFonts w:hint="eastAsia" w:ascii="仿宋_GB2312" w:hAnsi="仿宋_GB2312" w:eastAsia="仿宋_GB2312" w:cs="仿宋_GB2312"/>
          <w:sz w:val="30"/>
          <w:szCs w:val="30"/>
          <w:lang w:val="zh-CN"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3.</w:t>
      </w:r>
      <w:r>
        <w:rPr>
          <w:rFonts w:hint="eastAsia" w:ascii="仿宋_GB2312" w:hAnsi="仿宋_GB2312" w:eastAsia="仿宋_GB2312" w:cs="仿宋_GB2312"/>
          <w:sz w:val="30"/>
          <w:szCs w:val="30"/>
          <w:lang w:val="zh-CN" w:eastAsia="zh-CN"/>
        </w:rPr>
        <w:t>对所有报价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文件的评审依据和评审尺度保持一致</w:t>
      </w:r>
      <w:r>
        <w:rPr>
          <w:rFonts w:hint="eastAsia" w:ascii="仿宋_GB2312" w:hAnsi="仿宋_GB2312" w:eastAsia="仿宋_GB2312" w:cs="仿宋_GB2312"/>
          <w:sz w:val="30"/>
          <w:szCs w:val="30"/>
          <w:lang w:val="zh-CN" w:eastAsia="zh-CN"/>
        </w:rPr>
        <w:t>。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560" w:lineRule="exact"/>
        <w:ind w:firstLine="576" w:firstLineChars="200"/>
        <w:textAlignment w:val="auto"/>
        <w:rPr>
          <w:rFonts w:hint="eastAsia" w:ascii="仿宋_GB2312" w:hAnsi="仿宋_GB2312" w:eastAsia="仿宋_GB2312" w:cs="仿宋_GB2312"/>
          <w:b w:val="0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0"/>
          <w:szCs w:val="30"/>
          <w:lang w:eastAsia="zh-CN"/>
        </w:rPr>
        <w:t>（四）评审方法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after="0" w:line="560" w:lineRule="exact"/>
        <w:ind w:firstLine="576" w:firstLineChars="200"/>
        <w:jc w:val="both"/>
        <w:textAlignment w:val="auto"/>
        <w:rPr>
          <w:rFonts w:hint="eastAsia" w:ascii="仿宋_GB2312" w:hAnsi="仿宋_GB2312" w:eastAsia="仿宋_GB2312" w:cs="仿宋_GB2312"/>
          <w:sz w:val="30"/>
          <w:szCs w:val="30"/>
          <w:lang w:val="zh-CN" w:eastAsia="zh-CN"/>
        </w:rPr>
      </w:pPr>
      <w:bookmarkStart w:id="14" w:name="_Hlk127966919"/>
      <w:r>
        <w:rPr>
          <w:rFonts w:hint="eastAsia" w:ascii="仿宋_GB2312" w:hAnsi="仿宋_GB2312" w:eastAsia="仿宋_GB2312" w:cs="仿宋_GB2312"/>
          <w:sz w:val="30"/>
          <w:szCs w:val="30"/>
          <w:lang w:val="zh-CN" w:eastAsia="zh-CN"/>
        </w:rPr>
        <w:t>本项目采用经评审的</w:t>
      </w: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val="zh-CN" w:eastAsia="zh-CN"/>
        </w:rPr>
        <w:t>最低价法</w:t>
      </w:r>
      <w:r>
        <w:rPr>
          <w:rFonts w:hint="eastAsia" w:ascii="仿宋_GB2312" w:hAnsi="仿宋_GB2312" w:eastAsia="仿宋_GB2312" w:cs="仿宋_GB2312"/>
          <w:sz w:val="30"/>
          <w:szCs w:val="30"/>
          <w:lang w:val="zh-CN" w:eastAsia="zh-CN"/>
        </w:rPr>
        <w:t>评审。</w:t>
      </w:r>
      <w:bookmarkEnd w:id="14"/>
      <w:r>
        <w:rPr>
          <w:rFonts w:hint="eastAsia" w:ascii="仿宋_GB2312" w:hAnsi="仿宋_GB2312" w:eastAsia="仿宋_GB2312" w:cs="仿宋_GB2312"/>
          <w:sz w:val="30"/>
          <w:szCs w:val="30"/>
          <w:lang w:val="zh-CN" w:eastAsia="zh-CN"/>
        </w:rPr>
        <w:t>通过资格性和符合性审查(表1)，的报价视为有效报价，按照报价由低到高顺序排列。报价相同的，按照技术指标优劣顺序排列，最低报价的报价供应商作为预成交供应商。谈判小组认定为低价恶意竞争的视为无效报价。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560" w:lineRule="exact"/>
        <w:ind w:firstLine="576" w:firstLineChars="200"/>
        <w:textAlignment w:val="auto"/>
        <w:rPr>
          <w:rFonts w:hint="eastAsia" w:ascii="仿宋_GB2312" w:hAnsi="仿宋_GB2312" w:eastAsia="仿宋_GB2312" w:cs="仿宋_GB2312"/>
          <w:b w:val="0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0"/>
          <w:szCs w:val="30"/>
          <w:lang w:eastAsia="zh-CN"/>
        </w:rPr>
        <w:t>（五）评审标准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after="0" w:line="560" w:lineRule="exact"/>
        <w:ind w:firstLine="576" w:firstLineChars="200"/>
        <w:jc w:val="both"/>
        <w:textAlignment w:val="auto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1.资格性和符合性审查标准。资格性审查包括营业执照、财务状况报告、缴纳税收和社保资料、证明履约能力材料、不属于禁止参加报价供应商的证明材料、未按照招标文件要求密封的等内容；符合性审查包括报价文件有效性、完整性和对采购文件的响应程度等内容。详见表1。</w:t>
      </w:r>
    </w:p>
    <w:p>
      <w:pPr>
        <w:spacing w:after="0" w:line="520" w:lineRule="exact"/>
        <w:ind w:firstLine="536" w:firstLineChars="200"/>
        <w:jc w:val="both"/>
        <w:rPr>
          <w:sz w:val="28"/>
          <w:szCs w:val="28"/>
          <w:lang w:eastAsia="zh-CN"/>
        </w:rPr>
      </w:pPr>
      <w:r>
        <w:rPr>
          <w:rFonts w:hint="eastAsia"/>
          <w:sz w:val="28"/>
          <w:szCs w:val="28"/>
          <w:lang w:eastAsia="zh-CN"/>
        </w:rPr>
        <w:br w:type="page"/>
      </w:r>
    </w:p>
    <w:bookmarkEnd w:id="13"/>
    <w:p>
      <w:pPr>
        <w:spacing w:after="0" w:line="400" w:lineRule="exact"/>
        <w:jc w:val="both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表1</w:t>
      </w:r>
    </w:p>
    <w:p>
      <w:pPr>
        <w:pStyle w:val="4"/>
        <w:spacing w:line="360" w:lineRule="auto"/>
        <w:jc w:val="center"/>
        <w:rPr>
          <w:rFonts w:eastAsia="黑体"/>
          <w:sz w:val="28"/>
          <w:szCs w:val="28"/>
          <w:lang w:eastAsia="zh-CN"/>
        </w:rPr>
      </w:pPr>
      <w:r>
        <w:rPr>
          <w:rFonts w:eastAsia="黑体"/>
          <w:sz w:val="28"/>
          <w:szCs w:val="28"/>
          <w:lang w:eastAsia="zh-CN"/>
        </w:rPr>
        <w:t>资格性和</w:t>
      </w:r>
      <w:r>
        <w:rPr>
          <w:rFonts w:hint="eastAsia" w:eastAsia="黑体"/>
          <w:sz w:val="28"/>
          <w:szCs w:val="28"/>
          <w:lang w:eastAsia="zh-CN"/>
        </w:rPr>
        <w:t>符合</w:t>
      </w:r>
      <w:r>
        <w:rPr>
          <w:rFonts w:eastAsia="黑体"/>
          <w:sz w:val="28"/>
          <w:szCs w:val="28"/>
          <w:lang w:eastAsia="zh-CN"/>
        </w:rPr>
        <w:t>性审查表</w:t>
      </w:r>
    </w:p>
    <w:tbl>
      <w:tblPr>
        <w:tblStyle w:val="11"/>
        <w:tblW w:w="930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14"/>
        <w:gridCol w:w="825"/>
        <w:gridCol w:w="675"/>
        <w:gridCol w:w="408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  <w:jc w:val="center"/>
        </w:trPr>
        <w:tc>
          <w:tcPr>
            <w:tcW w:w="3714" w:type="dxa"/>
            <w:vMerge w:val="restart"/>
            <w:vAlign w:val="center"/>
          </w:tcPr>
          <w:p>
            <w:pPr>
              <w:widowControl w:val="0"/>
              <w:jc w:val="center"/>
              <w:rPr>
                <w:b/>
                <w:bCs/>
                <w:sz w:val="21"/>
                <w:szCs w:val="21"/>
                <w:lang w:eastAsia="zh-CN"/>
              </w:rPr>
            </w:pPr>
            <w:r>
              <w:rPr>
                <w:b/>
                <w:bCs/>
                <w:sz w:val="21"/>
                <w:szCs w:val="21"/>
                <w:lang w:eastAsia="zh-CN"/>
              </w:rPr>
              <w:t>审查项目</w:t>
            </w:r>
          </w:p>
        </w:tc>
        <w:tc>
          <w:tcPr>
            <w:tcW w:w="1500" w:type="dxa"/>
            <w:gridSpan w:val="2"/>
            <w:vAlign w:val="center"/>
          </w:tcPr>
          <w:p>
            <w:pPr>
              <w:widowControl w:val="0"/>
              <w:jc w:val="center"/>
              <w:rPr>
                <w:b/>
                <w:bCs/>
                <w:sz w:val="21"/>
                <w:szCs w:val="21"/>
                <w:lang w:eastAsia="zh-CN"/>
              </w:rPr>
            </w:pPr>
            <w:r>
              <w:rPr>
                <w:b/>
                <w:bCs/>
                <w:sz w:val="18"/>
                <w:szCs w:val="18"/>
                <w:lang w:eastAsia="zh-CN"/>
              </w:rPr>
              <w:t>是否合格</w:t>
            </w:r>
          </w:p>
        </w:tc>
        <w:tc>
          <w:tcPr>
            <w:tcW w:w="4086" w:type="dxa"/>
            <w:vMerge w:val="restart"/>
            <w:vAlign w:val="center"/>
          </w:tcPr>
          <w:p>
            <w:pPr>
              <w:widowControl w:val="0"/>
              <w:jc w:val="center"/>
              <w:rPr>
                <w:sz w:val="21"/>
                <w:szCs w:val="21"/>
                <w:lang w:eastAsia="zh-CN"/>
              </w:rPr>
            </w:pPr>
            <w:r>
              <w:rPr>
                <w:b/>
                <w:bCs/>
                <w:sz w:val="21"/>
                <w:szCs w:val="21"/>
                <w:lang w:eastAsia="zh-CN"/>
              </w:rPr>
              <w:t>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" w:hRule="atLeast"/>
          <w:jc w:val="center"/>
        </w:trPr>
        <w:tc>
          <w:tcPr>
            <w:tcW w:w="3714" w:type="dxa"/>
            <w:vMerge w:val="continue"/>
            <w:vAlign w:val="center"/>
          </w:tcPr>
          <w:p>
            <w:pPr>
              <w:widowControl w:val="0"/>
              <w:jc w:val="center"/>
              <w:rPr>
                <w:b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825" w:type="dxa"/>
            <w:vAlign w:val="center"/>
          </w:tcPr>
          <w:p>
            <w:pPr>
              <w:widowControl/>
              <w:spacing w:after="0"/>
              <w:jc w:val="both"/>
              <w:rPr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/>
                <w:b/>
                <w:bCs/>
                <w:sz w:val="21"/>
                <w:szCs w:val="21"/>
                <w:lang w:eastAsia="zh-CN"/>
              </w:rPr>
              <w:t>供应商1</w:t>
            </w:r>
          </w:p>
        </w:tc>
        <w:tc>
          <w:tcPr>
            <w:tcW w:w="675" w:type="dxa"/>
            <w:vAlign w:val="center"/>
          </w:tcPr>
          <w:p>
            <w:pPr>
              <w:widowControl/>
              <w:spacing w:after="0"/>
              <w:jc w:val="both"/>
              <w:rPr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/>
                <w:b/>
                <w:bCs/>
                <w:sz w:val="21"/>
                <w:szCs w:val="21"/>
                <w:lang w:eastAsia="zh-CN"/>
              </w:rPr>
              <w:t>.....</w:t>
            </w:r>
          </w:p>
        </w:tc>
        <w:tc>
          <w:tcPr>
            <w:tcW w:w="4086" w:type="dxa"/>
            <w:vMerge w:val="continue"/>
            <w:vAlign w:val="center"/>
          </w:tcPr>
          <w:p>
            <w:pPr>
              <w:widowControl w:val="0"/>
              <w:jc w:val="center"/>
              <w:rPr>
                <w:sz w:val="28"/>
                <w:szCs w:val="28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3714" w:type="dxa"/>
            <w:vAlign w:val="center"/>
          </w:tcPr>
          <w:p>
            <w:pPr>
              <w:widowControl/>
              <w:spacing w:after="0"/>
              <w:jc w:val="both"/>
              <w:rPr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/>
                <w:b/>
                <w:bCs/>
                <w:sz w:val="21"/>
                <w:szCs w:val="21"/>
                <w:lang w:eastAsia="zh-CN"/>
              </w:rPr>
              <w:t>一、资格性审查内容</w:t>
            </w:r>
          </w:p>
        </w:tc>
        <w:tc>
          <w:tcPr>
            <w:tcW w:w="825" w:type="dxa"/>
            <w:vAlign w:val="center"/>
          </w:tcPr>
          <w:p>
            <w:pPr>
              <w:widowControl/>
              <w:spacing w:after="0"/>
              <w:jc w:val="both"/>
              <w:rPr>
                <w:b/>
                <w:bCs/>
                <w:sz w:val="21"/>
                <w:szCs w:val="21"/>
                <w:lang w:eastAsia="zh-CN"/>
              </w:rPr>
            </w:pPr>
          </w:p>
        </w:tc>
        <w:tc>
          <w:tcPr>
            <w:tcW w:w="675" w:type="dxa"/>
            <w:vAlign w:val="center"/>
          </w:tcPr>
          <w:p>
            <w:pPr>
              <w:widowControl/>
              <w:spacing w:after="0"/>
              <w:jc w:val="both"/>
              <w:rPr>
                <w:b/>
                <w:bCs/>
                <w:sz w:val="21"/>
                <w:szCs w:val="21"/>
                <w:lang w:eastAsia="zh-CN"/>
              </w:rPr>
            </w:pPr>
          </w:p>
        </w:tc>
        <w:tc>
          <w:tcPr>
            <w:tcW w:w="4086" w:type="dxa"/>
            <w:vAlign w:val="center"/>
          </w:tcPr>
          <w:p>
            <w:pPr>
              <w:widowControl/>
              <w:spacing w:after="0"/>
              <w:jc w:val="both"/>
              <w:rPr>
                <w:b/>
                <w:bCs/>
                <w:sz w:val="21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3714" w:type="dxa"/>
            <w:vAlign w:val="center"/>
          </w:tcPr>
          <w:p>
            <w:pPr>
              <w:widowControl/>
              <w:spacing w:after="0"/>
              <w:jc w:val="both"/>
              <w:rPr>
                <w:sz w:val="21"/>
                <w:szCs w:val="21"/>
                <w:lang w:eastAsia="zh-CN"/>
              </w:rPr>
            </w:pPr>
            <w:r>
              <w:rPr>
                <w:rFonts w:hint="eastAsia"/>
                <w:sz w:val="21"/>
                <w:szCs w:val="21"/>
                <w:lang w:eastAsia="zh-CN"/>
              </w:rPr>
              <w:t>1.营业执照、法定代表人资格证明、法定代表人授权书</w:t>
            </w:r>
          </w:p>
        </w:tc>
        <w:tc>
          <w:tcPr>
            <w:tcW w:w="825" w:type="dxa"/>
            <w:vAlign w:val="center"/>
          </w:tcPr>
          <w:p>
            <w:pPr>
              <w:widowControl/>
              <w:spacing w:after="0"/>
              <w:jc w:val="both"/>
              <w:rPr>
                <w:sz w:val="21"/>
                <w:szCs w:val="21"/>
                <w:lang w:eastAsia="zh-CN"/>
              </w:rPr>
            </w:pPr>
          </w:p>
        </w:tc>
        <w:tc>
          <w:tcPr>
            <w:tcW w:w="675" w:type="dxa"/>
            <w:vAlign w:val="center"/>
          </w:tcPr>
          <w:p>
            <w:pPr>
              <w:widowControl/>
              <w:spacing w:after="0"/>
              <w:jc w:val="both"/>
              <w:rPr>
                <w:sz w:val="21"/>
                <w:szCs w:val="21"/>
                <w:lang w:eastAsia="zh-CN"/>
              </w:rPr>
            </w:pPr>
          </w:p>
        </w:tc>
        <w:tc>
          <w:tcPr>
            <w:tcW w:w="4086" w:type="dxa"/>
            <w:vAlign w:val="center"/>
          </w:tcPr>
          <w:p>
            <w:pPr>
              <w:widowControl/>
              <w:spacing w:after="0"/>
              <w:jc w:val="both"/>
              <w:rPr>
                <w:sz w:val="21"/>
                <w:szCs w:val="21"/>
                <w:lang w:eastAsia="zh-CN"/>
              </w:rPr>
            </w:pPr>
            <w:r>
              <w:rPr>
                <w:rFonts w:hint="eastAsia"/>
                <w:sz w:val="21"/>
                <w:szCs w:val="21"/>
                <w:lang w:eastAsia="zh-CN"/>
              </w:rPr>
              <w:t>相关文件信息无误，谈判当日处于有效期，签署盖章完整。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  <w:jc w:val="center"/>
        </w:trPr>
        <w:tc>
          <w:tcPr>
            <w:tcW w:w="3714" w:type="dxa"/>
            <w:vAlign w:val="center"/>
          </w:tcPr>
          <w:p>
            <w:pPr>
              <w:widowControl/>
              <w:spacing w:after="0"/>
              <w:jc w:val="both"/>
              <w:rPr>
                <w:sz w:val="28"/>
                <w:szCs w:val="28"/>
                <w:lang w:eastAsia="zh-CN"/>
              </w:rPr>
            </w:pPr>
            <w:r>
              <w:rPr>
                <w:rFonts w:hint="eastAsia"/>
                <w:sz w:val="21"/>
                <w:szCs w:val="21"/>
                <w:lang w:eastAsia="zh-CN"/>
              </w:rPr>
              <w:t>2</w:t>
            </w:r>
            <w:r>
              <w:rPr>
                <w:sz w:val="21"/>
                <w:szCs w:val="21"/>
                <w:lang w:eastAsia="zh-CN"/>
              </w:rPr>
              <w:t>.参加本次采购活动前3年内在经营活动中没有重大违法记录的书面声明</w:t>
            </w:r>
            <w:r>
              <w:rPr>
                <w:rFonts w:hint="eastAsia"/>
                <w:sz w:val="21"/>
                <w:szCs w:val="21"/>
                <w:lang w:eastAsia="zh-CN"/>
              </w:rPr>
              <w:t>。</w:t>
            </w:r>
          </w:p>
        </w:tc>
        <w:tc>
          <w:tcPr>
            <w:tcW w:w="825" w:type="dxa"/>
            <w:vAlign w:val="center"/>
          </w:tcPr>
          <w:p>
            <w:pPr>
              <w:widowControl w:val="0"/>
              <w:jc w:val="left"/>
              <w:rPr>
                <w:sz w:val="21"/>
                <w:szCs w:val="21"/>
                <w:lang w:eastAsia="zh-CN"/>
              </w:rPr>
            </w:pPr>
          </w:p>
        </w:tc>
        <w:tc>
          <w:tcPr>
            <w:tcW w:w="675" w:type="dxa"/>
            <w:vAlign w:val="center"/>
          </w:tcPr>
          <w:p>
            <w:pPr>
              <w:widowControl/>
              <w:spacing w:after="0"/>
              <w:jc w:val="both"/>
              <w:rPr>
                <w:sz w:val="21"/>
                <w:szCs w:val="21"/>
                <w:lang w:eastAsia="zh-CN"/>
              </w:rPr>
            </w:pPr>
          </w:p>
        </w:tc>
        <w:tc>
          <w:tcPr>
            <w:tcW w:w="4086" w:type="dxa"/>
            <w:vAlign w:val="center"/>
          </w:tcPr>
          <w:p>
            <w:pPr>
              <w:widowControl/>
              <w:spacing w:after="0"/>
              <w:jc w:val="both"/>
              <w:rPr>
                <w:sz w:val="21"/>
                <w:szCs w:val="21"/>
                <w:lang w:eastAsia="zh-CN"/>
              </w:rPr>
            </w:pPr>
            <w:r>
              <w:rPr>
                <w:rFonts w:hint="eastAsia"/>
                <w:sz w:val="21"/>
                <w:szCs w:val="21"/>
                <w:lang w:eastAsia="zh-CN"/>
              </w:rPr>
              <w:t>见供应商承诺声明。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3714" w:type="dxa"/>
            <w:vAlign w:val="center"/>
          </w:tcPr>
          <w:p>
            <w:pPr>
              <w:widowControl/>
              <w:spacing w:after="0"/>
              <w:jc w:val="both"/>
              <w:rPr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/>
                <w:b/>
                <w:bCs/>
                <w:sz w:val="21"/>
                <w:szCs w:val="21"/>
                <w:lang w:eastAsia="zh-CN"/>
              </w:rPr>
              <w:t>二、符合性审查内容</w:t>
            </w:r>
          </w:p>
        </w:tc>
        <w:tc>
          <w:tcPr>
            <w:tcW w:w="825" w:type="dxa"/>
            <w:vAlign w:val="center"/>
          </w:tcPr>
          <w:p>
            <w:pPr>
              <w:widowControl/>
              <w:spacing w:after="0"/>
              <w:jc w:val="both"/>
              <w:rPr>
                <w:b/>
                <w:bCs/>
                <w:sz w:val="21"/>
                <w:szCs w:val="21"/>
                <w:lang w:eastAsia="zh-CN"/>
              </w:rPr>
            </w:pPr>
          </w:p>
        </w:tc>
        <w:tc>
          <w:tcPr>
            <w:tcW w:w="675" w:type="dxa"/>
            <w:vAlign w:val="center"/>
          </w:tcPr>
          <w:p>
            <w:pPr>
              <w:widowControl/>
              <w:spacing w:after="0"/>
              <w:jc w:val="both"/>
              <w:rPr>
                <w:b/>
                <w:bCs/>
                <w:sz w:val="21"/>
                <w:szCs w:val="21"/>
                <w:lang w:eastAsia="zh-CN"/>
              </w:rPr>
            </w:pPr>
          </w:p>
        </w:tc>
        <w:tc>
          <w:tcPr>
            <w:tcW w:w="4086" w:type="dxa"/>
            <w:vAlign w:val="center"/>
          </w:tcPr>
          <w:p>
            <w:pPr>
              <w:widowControl/>
              <w:spacing w:after="0"/>
              <w:jc w:val="both"/>
              <w:rPr>
                <w:b/>
                <w:bCs/>
                <w:sz w:val="21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5" w:hRule="atLeast"/>
          <w:jc w:val="center"/>
        </w:trPr>
        <w:tc>
          <w:tcPr>
            <w:tcW w:w="3714" w:type="dxa"/>
            <w:vAlign w:val="center"/>
          </w:tcPr>
          <w:p>
            <w:pPr>
              <w:widowControl/>
              <w:spacing w:after="0"/>
              <w:jc w:val="both"/>
              <w:rPr>
                <w:sz w:val="21"/>
                <w:szCs w:val="21"/>
                <w:lang w:eastAsia="zh-CN"/>
              </w:rPr>
            </w:pPr>
            <w:r>
              <w:rPr>
                <w:rFonts w:hint="eastAsia"/>
                <w:sz w:val="21"/>
                <w:szCs w:val="21"/>
                <w:lang w:eastAsia="zh-CN"/>
              </w:rPr>
              <w:t>1报价文件签署、盖章齐全完整</w:t>
            </w:r>
          </w:p>
        </w:tc>
        <w:tc>
          <w:tcPr>
            <w:tcW w:w="825" w:type="dxa"/>
            <w:vAlign w:val="center"/>
          </w:tcPr>
          <w:p>
            <w:pPr>
              <w:widowControl/>
              <w:spacing w:after="0"/>
              <w:jc w:val="both"/>
              <w:rPr>
                <w:sz w:val="21"/>
                <w:szCs w:val="21"/>
                <w:lang w:eastAsia="zh-CN"/>
              </w:rPr>
            </w:pPr>
          </w:p>
        </w:tc>
        <w:tc>
          <w:tcPr>
            <w:tcW w:w="675" w:type="dxa"/>
            <w:vAlign w:val="center"/>
          </w:tcPr>
          <w:p>
            <w:pPr>
              <w:widowControl/>
              <w:spacing w:after="0"/>
              <w:jc w:val="both"/>
              <w:rPr>
                <w:sz w:val="21"/>
                <w:szCs w:val="21"/>
                <w:lang w:eastAsia="zh-CN"/>
              </w:rPr>
            </w:pPr>
          </w:p>
        </w:tc>
        <w:tc>
          <w:tcPr>
            <w:tcW w:w="4086" w:type="dxa"/>
            <w:vAlign w:val="center"/>
          </w:tcPr>
          <w:p>
            <w:pPr>
              <w:widowControl/>
              <w:spacing w:after="0"/>
              <w:jc w:val="both"/>
              <w:rPr>
                <w:sz w:val="21"/>
                <w:szCs w:val="21"/>
                <w:lang w:eastAsia="zh-CN"/>
              </w:rPr>
            </w:pPr>
            <w:r>
              <w:rPr>
                <w:rFonts w:hint="eastAsia"/>
                <w:sz w:val="21"/>
                <w:szCs w:val="21"/>
                <w:lang w:eastAsia="zh-CN"/>
              </w:rPr>
              <w:t>有下列情况，但其他方面符合要求应判定为不影响报价文件有效性：密封时未加盖、少加盖公章或者密封章，但密封完好、完整标明了投标（报价）供应商名称且得到投标（报价）供应商现场认可的；正副本数量齐全、密封完好，但未按照采购文件要求进行分装或者统装的；除采购文件明确要求法定代表人（非法人组织主要负责人）或授权代表签字以外，其他未签字的；除采购文件明确要求加盖供应商（法人、非法人组织）等公章以外，其他未盖章或者加盖相关专用章的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0" w:hRule="atLeast"/>
          <w:jc w:val="center"/>
        </w:trPr>
        <w:tc>
          <w:tcPr>
            <w:tcW w:w="3714" w:type="dxa"/>
            <w:vAlign w:val="center"/>
          </w:tcPr>
          <w:p>
            <w:pPr>
              <w:widowControl/>
              <w:spacing w:after="0"/>
              <w:jc w:val="both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2装修改造完全按照贵州农信SI手册标准执行</w:t>
            </w:r>
          </w:p>
        </w:tc>
        <w:tc>
          <w:tcPr>
            <w:tcW w:w="825" w:type="dxa"/>
            <w:vAlign w:val="center"/>
          </w:tcPr>
          <w:p>
            <w:pPr>
              <w:widowControl/>
              <w:spacing w:after="0"/>
              <w:jc w:val="both"/>
              <w:rPr>
                <w:sz w:val="21"/>
                <w:szCs w:val="21"/>
                <w:lang w:eastAsia="zh-CN"/>
              </w:rPr>
            </w:pPr>
          </w:p>
        </w:tc>
        <w:tc>
          <w:tcPr>
            <w:tcW w:w="675" w:type="dxa"/>
            <w:vAlign w:val="center"/>
          </w:tcPr>
          <w:p>
            <w:pPr>
              <w:widowControl/>
              <w:spacing w:after="0"/>
              <w:jc w:val="both"/>
              <w:rPr>
                <w:sz w:val="21"/>
                <w:szCs w:val="21"/>
                <w:lang w:eastAsia="zh-CN"/>
              </w:rPr>
            </w:pPr>
          </w:p>
        </w:tc>
        <w:tc>
          <w:tcPr>
            <w:tcW w:w="4086" w:type="dxa"/>
            <w:vAlign w:val="center"/>
          </w:tcPr>
          <w:p>
            <w:pPr>
              <w:widowControl/>
              <w:spacing w:after="0"/>
              <w:jc w:val="both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rFonts w:hint="eastAsia"/>
                <w:sz w:val="21"/>
                <w:szCs w:val="21"/>
                <w:lang w:eastAsia="zh-CN"/>
              </w:rPr>
              <w:t>见供应商承诺声明。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  <w:jc w:val="center"/>
        </w:trPr>
        <w:tc>
          <w:tcPr>
            <w:tcW w:w="9300" w:type="dxa"/>
            <w:gridSpan w:val="4"/>
            <w:vAlign w:val="center"/>
          </w:tcPr>
          <w:p>
            <w:pPr>
              <w:widowControl w:val="0"/>
              <w:jc w:val="left"/>
              <w:rPr>
                <w:sz w:val="21"/>
                <w:szCs w:val="21"/>
                <w:lang w:eastAsia="zh-CN"/>
              </w:rPr>
            </w:pPr>
            <w:r>
              <w:rPr>
                <w:rFonts w:hint="eastAsia"/>
                <w:sz w:val="21"/>
                <w:szCs w:val="21"/>
                <w:lang w:eastAsia="zh-CN"/>
              </w:rPr>
              <w:t>说明：1.合格打“√”，不合格打“×”。</w:t>
            </w:r>
          </w:p>
          <w:p>
            <w:pPr>
              <w:widowControl w:val="0"/>
              <w:ind w:firstLine="396" w:firstLineChars="200"/>
              <w:jc w:val="left"/>
              <w:rPr>
                <w:sz w:val="21"/>
                <w:szCs w:val="21"/>
                <w:lang w:eastAsia="zh-CN"/>
              </w:rPr>
            </w:pPr>
            <w:r>
              <w:rPr>
                <w:rFonts w:hint="eastAsia"/>
                <w:sz w:val="21"/>
                <w:szCs w:val="21"/>
                <w:lang w:eastAsia="zh-CN"/>
              </w:rPr>
              <w:t>2.有一项内容不合格，综合评定为不合格。</w:t>
            </w:r>
          </w:p>
        </w:tc>
      </w:tr>
    </w:tbl>
    <w:p>
      <w:pPr>
        <w:spacing w:after="0" w:line="520" w:lineRule="exact"/>
        <w:jc w:val="both"/>
        <w:rPr>
          <w:sz w:val="28"/>
          <w:szCs w:val="28"/>
          <w:lang w:eastAsia="zh-CN"/>
        </w:rPr>
      </w:pPr>
      <w:r>
        <w:rPr>
          <w:rFonts w:hint="eastAsia"/>
          <w:sz w:val="28"/>
          <w:szCs w:val="28"/>
          <w:lang w:eastAsia="zh-CN"/>
        </w:rPr>
        <w:t>谈判</w:t>
      </w:r>
      <w:r>
        <w:rPr>
          <w:sz w:val="28"/>
          <w:szCs w:val="28"/>
          <w:lang w:eastAsia="zh-CN"/>
        </w:rPr>
        <w:t>小组成员签名：</w:t>
      </w:r>
      <w:r>
        <w:rPr>
          <w:rFonts w:hint="eastAsia"/>
          <w:sz w:val="28"/>
          <w:szCs w:val="28"/>
          <w:lang w:eastAsia="zh-CN"/>
        </w:rPr>
        <w:t xml:space="preserve">                </w:t>
      </w:r>
      <w:r>
        <w:rPr>
          <w:rFonts w:hint="eastAsia"/>
          <w:sz w:val="28"/>
          <w:szCs w:val="28"/>
          <w:lang w:val="en-US" w:eastAsia="zh-CN"/>
        </w:rPr>
        <w:t xml:space="preserve">          </w:t>
      </w:r>
      <w:r>
        <w:rPr>
          <w:rFonts w:hint="eastAsia"/>
          <w:sz w:val="28"/>
          <w:szCs w:val="28"/>
          <w:lang w:eastAsia="zh-CN"/>
        </w:rPr>
        <w:t xml:space="preserve">  </w:t>
      </w:r>
      <w:r>
        <w:rPr>
          <w:sz w:val="28"/>
          <w:szCs w:val="28"/>
          <w:lang w:eastAsia="zh-CN"/>
        </w:rPr>
        <w:t>年</w:t>
      </w:r>
      <w:r>
        <w:rPr>
          <w:rFonts w:hint="eastAsia"/>
          <w:sz w:val="28"/>
          <w:szCs w:val="28"/>
          <w:lang w:eastAsia="zh-CN"/>
        </w:rPr>
        <w:t xml:space="preserve">    </w:t>
      </w:r>
      <w:r>
        <w:rPr>
          <w:sz w:val="28"/>
          <w:szCs w:val="28"/>
          <w:lang w:eastAsia="zh-CN"/>
        </w:rPr>
        <w:t>月</w:t>
      </w:r>
      <w:r>
        <w:rPr>
          <w:rFonts w:hint="eastAsia"/>
          <w:sz w:val="28"/>
          <w:szCs w:val="28"/>
          <w:lang w:eastAsia="zh-CN"/>
        </w:rPr>
        <w:t xml:space="preserve">    </w:t>
      </w:r>
      <w:r>
        <w:rPr>
          <w:sz w:val="28"/>
          <w:szCs w:val="28"/>
          <w:lang w:eastAsia="zh-CN"/>
        </w:rPr>
        <w:t>日</w:t>
      </w:r>
    </w:p>
    <w:p>
      <w:pPr>
        <w:rPr>
          <w:sz w:val="28"/>
          <w:szCs w:val="28"/>
          <w:lang w:eastAsia="zh-CN"/>
        </w:rPr>
      </w:pPr>
    </w:p>
    <w:p>
      <w:pPr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br w:type="page"/>
      </w:r>
    </w:p>
    <w:p>
      <w:pPr>
        <w:numPr>
          <w:ilvl w:val="0"/>
          <w:numId w:val="0"/>
        </w:numPr>
        <w:jc w:val="center"/>
        <w:rPr>
          <w:rFonts w:hint="eastAsia" w:ascii="方正小标宋简体" w:hAnsi="方正小标宋简体" w:eastAsia="方正小标宋简体" w:cs="方正小标宋简体"/>
          <w:sz w:val="30"/>
          <w:szCs w:val="30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30"/>
          <w:szCs w:val="30"/>
          <w:lang w:val="en-US" w:eastAsia="zh-CN"/>
        </w:rPr>
        <w:t>第四章    报价表（详见附件2）</w:t>
      </w:r>
    </w:p>
    <w:p>
      <w:pPr>
        <w:pStyle w:val="2"/>
        <w:numPr>
          <w:ilvl w:val="0"/>
          <w:numId w:val="0"/>
        </w:numPr>
        <w:rPr>
          <w:rFonts w:hint="eastAsia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0"/>
          <w:szCs w:val="30"/>
        </w:rPr>
      </w:pP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0"/>
          <w:szCs w:val="30"/>
        </w:rPr>
      </w:pP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0"/>
          <w:szCs w:val="30"/>
        </w:rPr>
      </w:pP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0"/>
          <w:szCs w:val="30"/>
        </w:rPr>
      </w:pP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0"/>
          <w:szCs w:val="30"/>
        </w:rPr>
      </w:pPr>
    </w:p>
    <w:p>
      <w:pPr>
        <w:jc w:val="center"/>
        <w:rPr>
          <w:rFonts w:hint="eastAsia" w:ascii="华文仿宋" w:hAnsi="华文仿宋" w:eastAsia="华文仿宋" w:cs="华文仿宋"/>
          <w:b/>
          <w:bCs/>
          <w:sz w:val="30"/>
          <w:szCs w:val="30"/>
        </w:rPr>
      </w:pPr>
    </w:p>
    <w:p>
      <w:pPr>
        <w:jc w:val="center"/>
        <w:rPr>
          <w:rFonts w:ascii="仿宋_GB2312" w:hAnsi="仿宋_GB2312" w:eastAsia="仿宋_GB2312" w:cs="仿宋_GB2312"/>
          <w:b/>
          <w:bCs/>
          <w:sz w:val="36"/>
          <w:szCs w:val="36"/>
        </w:rPr>
      </w:pPr>
    </w:p>
    <w:p>
      <w:pPr>
        <w:jc w:val="center"/>
        <w:rPr>
          <w:rFonts w:ascii="仿宋_GB2312" w:hAnsi="仿宋_GB2312" w:eastAsia="仿宋_GB2312" w:cs="仿宋_GB2312"/>
          <w:b/>
          <w:bCs/>
          <w:sz w:val="36"/>
          <w:szCs w:val="36"/>
        </w:rPr>
      </w:pPr>
    </w:p>
    <w:p>
      <w:pPr>
        <w:jc w:val="center"/>
        <w:rPr>
          <w:rFonts w:hint="eastAsia" w:ascii="仿宋_GB2312" w:hAnsi="仿宋_GB2312" w:eastAsia="仿宋_GB2312" w:cs="仿宋_GB2312"/>
          <w:b/>
          <w:bCs/>
          <w:sz w:val="36"/>
          <w:szCs w:val="36"/>
          <w:lang w:eastAsia="zh-CN"/>
        </w:rPr>
      </w:pPr>
    </w:p>
    <w:p>
      <w:pPr>
        <w:jc w:val="center"/>
        <w:rPr>
          <w:rFonts w:hint="eastAsia" w:ascii="仿宋_GB2312" w:hAnsi="仿宋_GB2312" w:eastAsia="仿宋_GB2312" w:cs="仿宋_GB2312"/>
          <w:b/>
          <w:bCs/>
          <w:sz w:val="36"/>
          <w:szCs w:val="36"/>
          <w:lang w:eastAsia="zh-CN"/>
        </w:rPr>
      </w:pPr>
    </w:p>
    <w:p>
      <w:pPr>
        <w:jc w:val="center"/>
        <w:rPr>
          <w:rFonts w:hint="eastAsia" w:ascii="仿宋_GB2312" w:hAnsi="仿宋_GB2312" w:eastAsia="仿宋_GB2312" w:cs="仿宋_GB2312"/>
          <w:b/>
          <w:bCs/>
          <w:sz w:val="36"/>
          <w:szCs w:val="36"/>
          <w:lang w:eastAsia="zh-CN"/>
        </w:rPr>
      </w:pPr>
    </w:p>
    <w:p>
      <w:pPr>
        <w:jc w:val="center"/>
        <w:rPr>
          <w:rFonts w:hint="eastAsia" w:ascii="仿宋_GB2312" w:hAnsi="仿宋_GB2312" w:eastAsia="仿宋_GB2312" w:cs="仿宋_GB2312"/>
          <w:b/>
          <w:bCs/>
          <w:sz w:val="36"/>
          <w:szCs w:val="36"/>
          <w:lang w:eastAsia="zh-CN"/>
        </w:rPr>
      </w:pPr>
    </w:p>
    <w:p>
      <w:pPr>
        <w:jc w:val="center"/>
        <w:rPr>
          <w:rFonts w:hint="eastAsia" w:ascii="仿宋_GB2312" w:hAnsi="仿宋_GB2312" w:eastAsia="仿宋_GB2312" w:cs="仿宋_GB2312"/>
          <w:b/>
          <w:bCs/>
          <w:sz w:val="36"/>
          <w:szCs w:val="36"/>
          <w:lang w:eastAsia="zh-CN"/>
        </w:rPr>
      </w:pPr>
    </w:p>
    <w:p>
      <w:pPr>
        <w:jc w:val="center"/>
        <w:rPr>
          <w:rFonts w:hint="eastAsia" w:ascii="仿宋_GB2312" w:hAnsi="仿宋_GB2312" w:eastAsia="仿宋_GB2312" w:cs="仿宋_GB2312"/>
          <w:b/>
          <w:bCs/>
          <w:sz w:val="36"/>
          <w:szCs w:val="36"/>
          <w:lang w:eastAsia="zh-CN"/>
        </w:rPr>
      </w:pPr>
    </w:p>
    <w:p>
      <w:pPr>
        <w:jc w:val="center"/>
        <w:rPr>
          <w:rFonts w:hint="eastAsia" w:ascii="仿宋_GB2312" w:hAnsi="仿宋_GB2312" w:eastAsia="仿宋_GB2312" w:cs="仿宋_GB2312"/>
          <w:b/>
          <w:bCs/>
          <w:sz w:val="36"/>
          <w:szCs w:val="36"/>
          <w:lang w:eastAsia="zh-CN"/>
        </w:rPr>
      </w:pPr>
    </w:p>
    <w:p>
      <w:pPr>
        <w:jc w:val="center"/>
        <w:rPr>
          <w:rFonts w:hint="eastAsia" w:ascii="仿宋_GB2312" w:hAnsi="仿宋_GB2312" w:eastAsia="仿宋_GB2312" w:cs="仿宋_GB2312"/>
          <w:b/>
          <w:bCs/>
          <w:sz w:val="36"/>
          <w:szCs w:val="36"/>
          <w:lang w:eastAsia="zh-CN"/>
        </w:rPr>
      </w:pPr>
    </w:p>
    <w:p>
      <w:pPr>
        <w:jc w:val="center"/>
        <w:rPr>
          <w:rFonts w:hint="eastAsia" w:ascii="仿宋_GB2312" w:hAnsi="仿宋_GB2312" w:eastAsia="仿宋_GB2312" w:cs="仿宋_GB2312"/>
          <w:b/>
          <w:bCs/>
          <w:sz w:val="36"/>
          <w:szCs w:val="36"/>
          <w:lang w:eastAsia="zh-CN"/>
        </w:rPr>
      </w:pPr>
    </w:p>
    <w:p>
      <w:pPr>
        <w:jc w:val="center"/>
        <w:rPr>
          <w:rFonts w:hint="eastAsia" w:ascii="仿宋_GB2312" w:hAnsi="仿宋_GB2312" w:eastAsia="仿宋_GB2312" w:cs="仿宋_GB2312"/>
          <w:b/>
          <w:bCs/>
          <w:sz w:val="36"/>
          <w:szCs w:val="36"/>
          <w:lang w:eastAsia="zh-CN"/>
        </w:rPr>
      </w:pPr>
    </w:p>
    <w:p>
      <w:pPr>
        <w:jc w:val="center"/>
        <w:rPr>
          <w:rFonts w:hint="eastAsia" w:ascii="仿宋_GB2312" w:hAnsi="仿宋_GB2312" w:eastAsia="仿宋_GB2312" w:cs="仿宋_GB2312"/>
          <w:b/>
          <w:bCs/>
          <w:sz w:val="36"/>
          <w:szCs w:val="36"/>
          <w:lang w:eastAsia="zh-CN"/>
        </w:rPr>
      </w:pPr>
    </w:p>
    <w:p/>
    <w:sectPr>
      <w:headerReference r:id="rId4" w:type="default"/>
      <w:footerReference r:id="rId5" w:type="default"/>
      <w:footerReference r:id="rId6" w:type="even"/>
      <w:pgSz w:w="11906" w:h="16838"/>
      <w:pgMar w:top="2098" w:right="1474" w:bottom="1985" w:left="1588" w:header="851" w:footer="1644" w:gutter="0"/>
      <w:pgNumType w:fmt="numberInDash" w:start="1"/>
      <w:cols w:space="720" w:num="1"/>
      <w:docGrid w:type="linesAndChars" w:linePitch="289" w:charSpace="-245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2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jc w:val="center"/>
      <w:rPr>
        <w:sz w:val="32"/>
        <w:szCs w:val="32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right="360" w:firstLine="360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- 1 -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- 1 -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framePr w:wrap="around" w:vAnchor="text" w:hAnchor="margin" w:xAlign="outside" w:y="1"/>
      <w:rPr>
        <w:rStyle w:val="13"/>
      </w:rPr>
    </w:pPr>
    <w:r>
      <w:fldChar w:fldCharType="begin"/>
    </w:r>
    <w:r>
      <w:rPr>
        <w:rStyle w:val="13"/>
      </w:rPr>
      <w:instrText xml:space="preserve">PAGE  </w:instrText>
    </w:r>
    <w:r>
      <w:fldChar w:fldCharType="end"/>
    </w:r>
  </w:p>
  <w:p>
    <w:pPr>
      <w:pStyle w:val="6"/>
      <w:ind w:right="360"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2EC054C"/>
    <w:rsid w:val="02EC054C"/>
    <w:rsid w:val="34FA4396"/>
    <w:rsid w:val="4CBC19CC"/>
    <w:rsid w:val="4F727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nhideWhenUsed="0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iPriority="99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4"/>
    <w:basedOn w:val="1"/>
    <w:next w:val="1"/>
    <w:qFormat/>
    <w:uiPriority w:val="0"/>
    <w:pPr>
      <w:keepNext/>
      <w:keepLines/>
      <w:spacing w:before="280" w:after="290" w:line="376" w:lineRule="auto"/>
      <w:outlineLvl w:val="3"/>
    </w:pPr>
    <w:rPr>
      <w:rFonts w:ascii="Arial" w:hAnsi="Arial" w:eastAsia="黑体"/>
      <w:b/>
      <w:bCs/>
      <w:sz w:val="28"/>
      <w:szCs w:val="28"/>
    </w:rPr>
  </w:style>
  <w:style w:type="character" w:default="1" w:styleId="12">
    <w:name w:val="Default Paragraph Font"/>
    <w:semiHidden/>
    <w:uiPriority w:val="0"/>
  </w:style>
  <w:style w:type="table" w:default="1" w:styleId="1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PwC Normal"/>
    <w:basedOn w:val="1"/>
    <w:qFormat/>
    <w:uiPriority w:val="99"/>
    <w:pPr>
      <w:spacing w:before="180" w:after="180" w:line="240" w:lineRule="atLeast"/>
    </w:pPr>
  </w:style>
  <w:style w:type="paragraph" w:styleId="4">
    <w:name w:val="Body Text"/>
    <w:basedOn w:val="1"/>
    <w:next w:val="5"/>
    <w:qFormat/>
    <w:uiPriority w:val="0"/>
    <w:pPr>
      <w:spacing w:after="120"/>
    </w:pPr>
    <w:rPr>
      <w:kern w:val="2"/>
      <w:sz w:val="21"/>
      <w:szCs w:val="24"/>
      <w:lang w:bidi="ar-SA"/>
    </w:rPr>
  </w:style>
  <w:style w:type="paragraph" w:styleId="5">
    <w:name w:val="Date"/>
    <w:basedOn w:val="1"/>
    <w:next w:val="1"/>
    <w:qFormat/>
    <w:uiPriority w:val="0"/>
    <w:rPr>
      <w:kern w:val="2"/>
      <w:sz w:val="24"/>
      <w:szCs w:val="20"/>
      <w:lang w:bidi="ar-SA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8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9">
    <w:name w:val="Body Text First Indent"/>
    <w:basedOn w:val="4"/>
    <w:unhideWhenUsed/>
    <w:qFormat/>
    <w:uiPriority w:val="99"/>
    <w:pPr>
      <w:snapToGrid w:val="0"/>
      <w:ind w:firstLine="420" w:firstLineChars="100"/>
    </w:pPr>
    <w:rPr>
      <w:rFonts w:eastAsia="微软雅黑"/>
    </w:rPr>
  </w:style>
  <w:style w:type="table" w:styleId="11">
    <w:name w:val="Table Grid"/>
    <w:basedOn w:val="10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3">
    <w:name w:val="page number"/>
    <w:basedOn w:val="12"/>
    <w:qFormat/>
    <w:uiPriority w:val="0"/>
  </w:style>
  <w:style w:type="paragraph" w:customStyle="1" w:styleId="14">
    <w:name w:val="Default"/>
    <w:qFormat/>
    <w:uiPriority w:val="99"/>
    <w:pPr>
      <w:widowControl w:val="0"/>
      <w:autoSpaceDE w:val="0"/>
      <w:autoSpaceDN w:val="0"/>
      <w:adjustRightInd w:val="0"/>
    </w:pPr>
    <w:rPr>
      <w:rFonts w:ascii="宋体" w:hAnsi="Calibri" w:eastAsia="宋体" w:cs="宋体"/>
      <w:color w:val="000000"/>
      <w:sz w:val="24"/>
      <w:szCs w:val="24"/>
      <w:lang w:val="en-US" w:eastAsia="zh-CN" w:bidi="ar-SA"/>
    </w:rPr>
  </w:style>
  <w:style w:type="character" w:customStyle="1" w:styleId="15">
    <w:name w:val="fontstyle01"/>
    <w:basedOn w:val="12"/>
    <w:qFormat/>
    <w:uiPriority w:val="0"/>
    <w:rPr>
      <w:rFonts w:ascii="宋体" w:hAnsi="宋体" w:eastAsia="宋体" w:cs="宋体"/>
      <w:color w:val="000000"/>
      <w:sz w:val="2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3.xml"/><Relationship Id="rId5" Type="http://schemas.openxmlformats.org/officeDocument/2006/relationships/footer" Target="footer2.xml"/><Relationship Id="rId4" Type="http://schemas.openxmlformats.org/officeDocument/2006/relationships/header" Target="header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Office_11.8.2.10393_F1E327BC-269C-435d-A152-05C5408002CA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2023-09-12T12:59:00Z</dcterms:created>
  <dc:creator>182815-丁琴</dc:creator>
  <cp:lastModifiedBy>182815-丁琴</cp:lastModifiedBy>
  <cp:lastPrinted>2023-09-13T00:27:47Z</cp:lastPrinted>
  <dcterms:modified xsi:type="dcterms:W3CDTF">2023-09-13T07:37:59Z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2052-11.8.2.10393</vt:lpwstr>
  </property>
</Properties>
</file>