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4FD" w:rsidRDefault="008E54FD" w:rsidP="008E54FD">
      <w:pPr>
        <w:keepNext/>
        <w:keepLines/>
        <w:adjustRightInd w:val="0"/>
        <w:snapToGrid w:val="0"/>
        <w:spacing w:line="560" w:lineRule="exact"/>
        <w:rPr>
          <w:rFonts w:ascii="黑体" w:eastAsia="黑体" w:hAnsi="黑体"/>
          <w:sz w:val="28"/>
          <w:szCs w:val="24"/>
        </w:rPr>
      </w:pPr>
      <w:r>
        <w:rPr>
          <w:rFonts w:ascii="黑体" w:eastAsia="黑体" w:hAnsi="黑体" w:hint="eastAsia"/>
          <w:sz w:val="28"/>
          <w:szCs w:val="24"/>
        </w:rPr>
        <w:t>附件</w:t>
      </w:r>
      <w:r>
        <w:rPr>
          <w:rFonts w:ascii="黑体" w:eastAsia="黑体" w:hAnsi="黑体"/>
          <w:sz w:val="28"/>
          <w:szCs w:val="24"/>
        </w:rPr>
        <w:t>3</w:t>
      </w:r>
    </w:p>
    <w:p w:rsidR="008E54FD" w:rsidRDefault="008E54FD" w:rsidP="008E54FD">
      <w:pPr>
        <w:pStyle w:val="PwCNormal"/>
        <w:widowControl w:val="0"/>
        <w:jc w:val="center"/>
        <w:rPr>
          <w:rFonts w:ascii="黑体" w:eastAsia="黑体" w:hAnsi="黑体"/>
          <w:sz w:val="36"/>
        </w:rPr>
      </w:pPr>
      <w:r>
        <w:rPr>
          <w:rFonts w:ascii="黑体" w:eastAsia="黑体" w:hAnsi="黑体" w:hint="eastAsia"/>
          <w:sz w:val="36"/>
        </w:rPr>
        <w:t>报价一览表</w:t>
      </w:r>
    </w:p>
    <w:p w:rsidR="008E54FD" w:rsidRDefault="008E54FD" w:rsidP="008E54FD">
      <w:pPr>
        <w:pStyle w:val="PwCNormal"/>
        <w:widowControl w:val="0"/>
        <w:jc w:val="center"/>
        <w:rPr>
          <w:rFonts w:ascii="黑体" w:eastAsia="黑体" w:hAnsi="黑体"/>
          <w:sz w:val="36"/>
        </w:rPr>
      </w:pPr>
      <w:r>
        <w:rPr>
          <w:rFonts w:ascii="黑体" w:eastAsia="黑体" w:hAnsi="黑体" w:hint="eastAsia"/>
          <w:sz w:val="36"/>
        </w:rPr>
        <w:t>（适用资产评估公司）</w:t>
      </w:r>
    </w:p>
    <w:p w:rsidR="008E54FD" w:rsidRDefault="008E54FD" w:rsidP="008E54FD">
      <w:pPr>
        <w:spacing w:line="520" w:lineRule="exact"/>
        <w:rPr>
          <w:rFonts w:eastAsia="Times New Roman"/>
          <w:sz w:val="28"/>
          <w:szCs w:val="24"/>
        </w:rPr>
      </w:pPr>
      <w:r>
        <w:rPr>
          <w:rFonts w:hint="eastAsia"/>
          <w:sz w:val="28"/>
          <w:szCs w:val="24"/>
        </w:rPr>
        <w:t>项目名称：花溪农商银行</w:t>
      </w:r>
      <w:r>
        <w:rPr>
          <w:sz w:val="28"/>
          <w:szCs w:val="24"/>
        </w:rPr>
        <w:t>2023</w:t>
      </w:r>
      <w:r>
        <w:rPr>
          <w:rFonts w:hint="eastAsia"/>
          <w:sz w:val="28"/>
          <w:szCs w:val="24"/>
        </w:rPr>
        <w:t>年不良资产批量转让委外评估</w:t>
      </w:r>
      <w:r>
        <w:rPr>
          <w:sz w:val="28"/>
          <w:szCs w:val="24"/>
        </w:rPr>
        <w:t xml:space="preserve">                    </w:t>
      </w:r>
      <w:r>
        <w:rPr>
          <w:rFonts w:hint="eastAsia"/>
          <w:sz w:val="28"/>
          <w:szCs w:val="24"/>
        </w:rPr>
        <w:t>金额单位：元</w:t>
      </w:r>
    </w:p>
    <w:tbl>
      <w:tblPr>
        <w:tblW w:w="54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684"/>
        <w:gridCol w:w="829"/>
        <w:gridCol w:w="1936"/>
        <w:gridCol w:w="1094"/>
        <w:gridCol w:w="2084"/>
        <w:gridCol w:w="1298"/>
      </w:tblGrid>
      <w:tr w:rsidR="008E54FD" w:rsidTr="00797381">
        <w:trPr>
          <w:cantSplit/>
          <w:trHeight w:val="514"/>
          <w:jc w:val="center"/>
        </w:trPr>
        <w:tc>
          <w:tcPr>
            <w:tcW w:w="242" w:type="pct"/>
            <w:vAlign w:val="center"/>
          </w:tcPr>
          <w:p w:rsidR="008E54FD" w:rsidRDefault="008E54FD" w:rsidP="00797381">
            <w:pPr>
              <w:spacing w:line="360" w:lineRule="exact"/>
              <w:jc w:val="center"/>
              <w:rPr>
                <w:rFonts w:ascii="宋体" w:eastAsia="Times New Roman"/>
                <w:sz w:val="24"/>
                <w:szCs w:val="24"/>
              </w:rPr>
            </w:pPr>
            <w:r>
              <w:rPr>
                <w:rFonts w:ascii="宋体" w:hAnsi="宋体" w:hint="eastAsia"/>
                <w:sz w:val="24"/>
                <w:szCs w:val="24"/>
              </w:rPr>
              <w:t>序号</w:t>
            </w:r>
          </w:p>
        </w:tc>
        <w:tc>
          <w:tcPr>
            <w:tcW w:w="898" w:type="pct"/>
            <w:vAlign w:val="center"/>
          </w:tcPr>
          <w:p w:rsidR="008E54FD" w:rsidRDefault="008E54FD" w:rsidP="00797381">
            <w:pPr>
              <w:spacing w:line="360" w:lineRule="exact"/>
              <w:jc w:val="center"/>
              <w:rPr>
                <w:rFonts w:ascii="宋体" w:eastAsia="Times New Roman"/>
                <w:sz w:val="24"/>
                <w:szCs w:val="24"/>
              </w:rPr>
            </w:pPr>
            <w:r>
              <w:rPr>
                <w:rFonts w:ascii="宋体" w:hAnsi="宋体" w:hint="eastAsia"/>
                <w:sz w:val="24"/>
                <w:szCs w:val="24"/>
              </w:rPr>
              <w:t>服务名称</w:t>
            </w:r>
          </w:p>
        </w:tc>
        <w:tc>
          <w:tcPr>
            <w:tcW w:w="442" w:type="pct"/>
            <w:vAlign w:val="center"/>
          </w:tcPr>
          <w:p w:rsidR="008E54FD" w:rsidRDefault="008E54FD" w:rsidP="00797381">
            <w:pPr>
              <w:spacing w:line="360" w:lineRule="exact"/>
              <w:jc w:val="center"/>
              <w:rPr>
                <w:rFonts w:ascii="宋体" w:eastAsia="Times New Roman"/>
                <w:sz w:val="24"/>
                <w:szCs w:val="24"/>
              </w:rPr>
            </w:pPr>
            <w:r>
              <w:rPr>
                <w:rFonts w:ascii="宋体" w:hAnsi="宋体" w:hint="eastAsia"/>
                <w:sz w:val="24"/>
                <w:szCs w:val="24"/>
              </w:rPr>
              <w:t>计量</w:t>
            </w:r>
          </w:p>
          <w:p w:rsidR="008E54FD" w:rsidRDefault="008E54FD" w:rsidP="00797381">
            <w:pPr>
              <w:spacing w:line="360" w:lineRule="exact"/>
              <w:jc w:val="center"/>
              <w:rPr>
                <w:rFonts w:ascii="宋体" w:eastAsia="Times New Roman"/>
                <w:sz w:val="24"/>
                <w:szCs w:val="24"/>
              </w:rPr>
            </w:pPr>
            <w:r>
              <w:rPr>
                <w:rFonts w:ascii="宋体" w:hAnsi="宋体" w:hint="eastAsia"/>
                <w:sz w:val="24"/>
                <w:szCs w:val="24"/>
              </w:rPr>
              <w:t>单位</w:t>
            </w:r>
          </w:p>
        </w:tc>
        <w:tc>
          <w:tcPr>
            <w:tcW w:w="1032" w:type="pct"/>
            <w:vAlign w:val="center"/>
          </w:tcPr>
          <w:p w:rsidR="008E54FD" w:rsidRDefault="008E54FD" w:rsidP="00797381">
            <w:pPr>
              <w:spacing w:line="360" w:lineRule="exact"/>
              <w:jc w:val="center"/>
              <w:rPr>
                <w:rFonts w:ascii="宋体" w:eastAsia="Times New Roman"/>
                <w:sz w:val="24"/>
                <w:szCs w:val="24"/>
              </w:rPr>
            </w:pPr>
            <w:r>
              <w:rPr>
                <w:rFonts w:ascii="宋体" w:hAnsi="宋体" w:hint="eastAsia"/>
                <w:sz w:val="24"/>
                <w:szCs w:val="24"/>
              </w:rPr>
              <w:t>单价</w:t>
            </w:r>
          </w:p>
          <w:p w:rsidR="008E54FD" w:rsidRDefault="008E54FD" w:rsidP="00797381">
            <w:pPr>
              <w:spacing w:line="360" w:lineRule="exact"/>
              <w:jc w:val="center"/>
              <w:rPr>
                <w:rFonts w:ascii="宋体" w:eastAsia="Times New Roman"/>
                <w:sz w:val="24"/>
                <w:szCs w:val="24"/>
              </w:rPr>
            </w:pPr>
            <w:r>
              <w:rPr>
                <w:rFonts w:ascii="宋体" w:hAnsi="宋体" w:hint="eastAsia"/>
                <w:sz w:val="24"/>
                <w:szCs w:val="24"/>
              </w:rPr>
              <w:t>（含税）</w:t>
            </w:r>
          </w:p>
        </w:tc>
        <w:tc>
          <w:tcPr>
            <w:tcW w:w="583" w:type="pct"/>
            <w:vAlign w:val="center"/>
          </w:tcPr>
          <w:p w:rsidR="008E54FD" w:rsidRDefault="008E54FD" w:rsidP="00797381">
            <w:pPr>
              <w:spacing w:line="360" w:lineRule="exact"/>
              <w:jc w:val="center"/>
              <w:rPr>
                <w:rFonts w:ascii="宋体" w:eastAsia="Times New Roman"/>
                <w:sz w:val="24"/>
                <w:szCs w:val="24"/>
              </w:rPr>
            </w:pPr>
            <w:r>
              <w:rPr>
                <w:rFonts w:ascii="宋体" w:hAnsi="宋体" w:hint="eastAsia"/>
                <w:sz w:val="24"/>
                <w:szCs w:val="24"/>
              </w:rPr>
              <w:t>金额</w:t>
            </w:r>
          </w:p>
          <w:p w:rsidR="008E54FD" w:rsidRDefault="008E54FD" w:rsidP="00797381">
            <w:pPr>
              <w:spacing w:line="360" w:lineRule="exact"/>
              <w:jc w:val="center"/>
              <w:rPr>
                <w:rFonts w:ascii="宋体" w:eastAsia="Times New Roman"/>
                <w:spacing w:val="-4"/>
                <w:sz w:val="24"/>
                <w:szCs w:val="24"/>
              </w:rPr>
            </w:pPr>
            <w:r>
              <w:rPr>
                <w:rFonts w:ascii="宋体" w:hAnsi="宋体" w:hint="eastAsia"/>
                <w:sz w:val="24"/>
                <w:szCs w:val="24"/>
              </w:rPr>
              <w:t>（含税）</w:t>
            </w:r>
          </w:p>
        </w:tc>
        <w:tc>
          <w:tcPr>
            <w:tcW w:w="1111" w:type="pct"/>
            <w:vAlign w:val="center"/>
          </w:tcPr>
          <w:p w:rsidR="008E54FD" w:rsidRDefault="008E54FD" w:rsidP="00797381">
            <w:pPr>
              <w:spacing w:line="360" w:lineRule="exact"/>
              <w:jc w:val="center"/>
              <w:rPr>
                <w:rFonts w:ascii="宋体" w:eastAsia="Times New Roman"/>
                <w:sz w:val="24"/>
                <w:szCs w:val="24"/>
              </w:rPr>
            </w:pPr>
            <w:r>
              <w:rPr>
                <w:rFonts w:ascii="宋体" w:hAnsi="宋体" w:hint="eastAsia"/>
                <w:spacing w:val="-4"/>
                <w:sz w:val="24"/>
                <w:szCs w:val="24"/>
              </w:rPr>
              <w:t>服务时间</w:t>
            </w:r>
          </w:p>
        </w:tc>
        <w:tc>
          <w:tcPr>
            <w:tcW w:w="692" w:type="pct"/>
            <w:vAlign w:val="center"/>
          </w:tcPr>
          <w:p w:rsidR="008E54FD" w:rsidRDefault="008E54FD" w:rsidP="00797381">
            <w:pPr>
              <w:spacing w:line="360" w:lineRule="exact"/>
              <w:jc w:val="center"/>
              <w:rPr>
                <w:rFonts w:ascii="宋体" w:eastAsia="Times New Roman"/>
                <w:sz w:val="24"/>
                <w:szCs w:val="24"/>
              </w:rPr>
            </w:pPr>
            <w:r>
              <w:rPr>
                <w:rFonts w:ascii="宋体" w:hAnsi="宋体" w:hint="eastAsia"/>
                <w:spacing w:val="-4"/>
                <w:sz w:val="24"/>
                <w:szCs w:val="24"/>
              </w:rPr>
              <w:t>服务地点</w:t>
            </w:r>
          </w:p>
        </w:tc>
      </w:tr>
      <w:tr w:rsidR="008E54FD" w:rsidTr="00797381">
        <w:trPr>
          <w:cantSplit/>
          <w:trHeight w:val="569"/>
          <w:jc w:val="center"/>
        </w:trPr>
        <w:tc>
          <w:tcPr>
            <w:tcW w:w="242" w:type="pct"/>
            <w:vAlign w:val="center"/>
          </w:tcPr>
          <w:p w:rsidR="008E54FD" w:rsidRDefault="008E54FD" w:rsidP="00797381">
            <w:pPr>
              <w:spacing w:line="360" w:lineRule="exact"/>
              <w:jc w:val="center"/>
              <w:rPr>
                <w:rFonts w:ascii="宋体" w:eastAsia="Times New Roman"/>
                <w:sz w:val="24"/>
                <w:szCs w:val="24"/>
              </w:rPr>
            </w:pPr>
            <w:r>
              <w:rPr>
                <w:rFonts w:ascii="宋体" w:hAnsi="宋体"/>
                <w:sz w:val="24"/>
                <w:szCs w:val="24"/>
              </w:rPr>
              <w:t>1</w:t>
            </w:r>
          </w:p>
        </w:tc>
        <w:tc>
          <w:tcPr>
            <w:tcW w:w="898" w:type="pct"/>
            <w:vAlign w:val="center"/>
          </w:tcPr>
          <w:p w:rsidR="008E54FD" w:rsidRDefault="008E54FD" w:rsidP="00797381">
            <w:pPr>
              <w:spacing w:line="360" w:lineRule="exact"/>
              <w:jc w:val="center"/>
              <w:rPr>
                <w:rFonts w:ascii="宋体" w:eastAsia="Times New Roman"/>
                <w:sz w:val="24"/>
                <w:szCs w:val="24"/>
              </w:rPr>
            </w:pPr>
            <w:r>
              <w:rPr>
                <w:rFonts w:ascii="宋体" w:hAnsi="宋体" w:hint="eastAsia"/>
                <w:sz w:val="24"/>
                <w:szCs w:val="24"/>
              </w:rPr>
              <w:t>不良贷款客户</w:t>
            </w:r>
          </w:p>
          <w:p w:rsidR="008E54FD" w:rsidRDefault="008E54FD" w:rsidP="00797381">
            <w:pPr>
              <w:spacing w:line="360" w:lineRule="exact"/>
              <w:jc w:val="center"/>
              <w:rPr>
                <w:rFonts w:ascii="宋体" w:eastAsia="Times New Roman"/>
                <w:sz w:val="24"/>
                <w:szCs w:val="24"/>
              </w:rPr>
            </w:pPr>
            <w:r>
              <w:rPr>
                <w:rFonts w:ascii="宋体" w:hAnsi="宋体" w:hint="eastAsia"/>
                <w:sz w:val="24"/>
                <w:szCs w:val="24"/>
              </w:rPr>
              <w:t>尽调评估</w:t>
            </w:r>
          </w:p>
        </w:tc>
        <w:tc>
          <w:tcPr>
            <w:tcW w:w="442" w:type="pct"/>
            <w:vAlign w:val="center"/>
          </w:tcPr>
          <w:p w:rsidR="008E54FD" w:rsidRDefault="008E54FD" w:rsidP="00797381">
            <w:pPr>
              <w:spacing w:line="360" w:lineRule="exact"/>
              <w:jc w:val="center"/>
              <w:rPr>
                <w:rFonts w:ascii="宋体" w:eastAsia="Times New Roman"/>
                <w:sz w:val="24"/>
                <w:szCs w:val="24"/>
              </w:rPr>
            </w:pPr>
            <w:r>
              <w:rPr>
                <w:rFonts w:ascii="宋体" w:hAnsi="宋体" w:hint="eastAsia"/>
                <w:sz w:val="24"/>
                <w:szCs w:val="24"/>
              </w:rPr>
              <w:t>单户</w:t>
            </w:r>
          </w:p>
        </w:tc>
        <w:tc>
          <w:tcPr>
            <w:tcW w:w="1032" w:type="pct"/>
            <w:vAlign w:val="center"/>
          </w:tcPr>
          <w:p w:rsidR="008E54FD" w:rsidRDefault="008E54FD" w:rsidP="00797381">
            <w:pPr>
              <w:spacing w:line="360" w:lineRule="exact"/>
              <w:jc w:val="center"/>
              <w:rPr>
                <w:rFonts w:ascii="宋体" w:eastAsia="Times New Roman"/>
                <w:sz w:val="24"/>
                <w:szCs w:val="24"/>
              </w:rPr>
            </w:pPr>
          </w:p>
        </w:tc>
        <w:tc>
          <w:tcPr>
            <w:tcW w:w="583" w:type="pct"/>
            <w:vAlign w:val="center"/>
          </w:tcPr>
          <w:p w:rsidR="008E54FD" w:rsidRDefault="008E54FD" w:rsidP="00797381">
            <w:pPr>
              <w:spacing w:line="360" w:lineRule="exact"/>
              <w:jc w:val="center"/>
              <w:rPr>
                <w:rFonts w:ascii="宋体" w:eastAsia="Times New Roman"/>
                <w:sz w:val="24"/>
                <w:szCs w:val="24"/>
              </w:rPr>
            </w:pPr>
          </w:p>
        </w:tc>
        <w:tc>
          <w:tcPr>
            <w:tcW w:w="1111" w:type="pct"/>
            <w:vAlign w:val="center"/>
          </w:tcPr>
          <w:p w:rsidR="008E54FD" w:rsidRDefault="008E54FD" w:rsidP="00797381">
            <w:pPr>
              <w:spacing w:line="360" w:lineRule="exact"/>
              <w:jc w:val="center"/>
              <w:rPr>
                <w:rFonts w:ascii="宋体" w:eastAsia="Times New Roman"/>
                <w:sz w:val="24"/>
                <w:szCs w:val="24"/>
              </w:rPr>
            </w:pPr>
            <w:r>
              <w:rPr>
                <w:rFonts w:ascii="宋体" w:hAnsi="宋体" w:hint="eastAsia"/>
                <w:sz w:val="24"/>
                <w:szCs w:val="24"/>
              </w:rPr>
              <w:t>签订委托协议之日至完成该批次不良资产评估之日止</w:t>
            </w:r>
          </w:p>
        </w:tc>
        <w:tc>
          <w:tcPr>
            <w:tcW w:w="692" w:type="pct"/>
            <w:vAlign w:val="center"/>
          </w:tcPr>
          <w:p w:rsidR="008E54FD" w:rsidRDefault="008E54FD" w:rsidP="00797381">
            <w:pPr>
              <w:spacing w:line="360" w:lineRule="exact"/>
              <w:jc w:val="center"/>
              <w:rPr>
                <w:rFonts w:ascii="宋体" w:eastAsia="Times New Roman"/>
                <w:sz w:val="24"/>
                <w:szCs w:val="24"/>
              </w:rPr>
            </w:pPr>
            <w:r>
              <w:rPr>
                <w:rFonts w:ascii="宋体" w:hAnsi="宋体" w:hint="eastAsia"/>
                <w:sz w:val="24"/>
                <w:szCs w:val="24"/>
              </w:rPr>
              <w:t>花溪农商银行服务辖区</w:t>
            </w:r>
          </w:p>
        </w:tc>
      </w:tr>
      <w:tr w:rsidR="008E54FD" w:rsidTr="00797381">
        <w:trPr>
          <w:cantSplit/>
          <w:trHeight w:val="550"/>
          <w:jc w:val="center"/>
        </w:trPr>
        <w:tc>
          <w:tcPr>
            <w:tcW w:w="5000" w:type="pct"/>
            <w:gridSpan w:val="7"/>
            <w:vAlign w:val="center"/>
          </w:tcPr>
          <w:p w:rsidR="008E54FD" w:rsidRDefault="008E54FD" w:rsidP="00797381">
            <w:pPr>
              <w:spacing w:line="360" w:lineRule="exact"/>
              <w:jc w:val="center"/>
              <w:rPr>
                <w:rFonts w:ascii="宋体" w:eastAsia="Times New Roman"/>
                <w:spacing w:val="-4"/>
                <w:sz w:val="24"/>
                <w:szCs w:val="24"/>
              </w:rPr>
            </w:pPr>
            <w:r>
              <w:rPr>
                <w:rFonts w:ascii="宋体" w:hAnsi="宋体" w:hint="eastAsia"/>
                <w:spacing w:val="-4"/>
                <w:sz w:val="24"/>
                <w:szCs w:val="24"/>
              </w:rPr>
              <w:t>单户报价（人民币大写）：</w:t>
            </w:r>
            <w:r>
              <w:rPr>
                <w:rFonts w:ascii="宋体" w:hAnsi="宋体"/>
                <w:spacing w:val="-4"/>
                <w:sz w:val="24"/>
                <w:szCs w:val="24"/>
              </w:rPr>
              <w:t xml:space="preserve">                 </w:t>
            </w:r>
            <w:r>
              <w:rPr>
                <w:rFonts w:ascii="宋体" w:hAnsi="宋体" w:hint="eastAsia"/>
                <w:spacing w:val="-4"/>
                <w:sz w:val="24"/>
                <w:szCs w:val="24"/>
              </w:rPr>
              <w:t>（小写）</w:t>
            </w:r>
            <w:r>
              <w:rPr>
                <w:spacing w:val="-4"/>
                <w:sz w:val="24"/>
                <w:szCs w:val="24"/>
              </w:rPr>
              <w:t>¥</w:t>
            </w:r>
          </w:p>
        </w:tc>
      </w:tr>
      <w:tr w:rsidR="008E54FD" w:rsidTr="00797381">
        <w:trPr>
          <w:cantSplit/>
          <w:trHeight w:val="550"/>
          <w:jc w:val="center"/>
        </w:trPr>
        <w:tc>
          <w:tcPr>
            <w:tcW w:w="5000" w:type="pct"/>
            <w:gridSpan w:val="7"/>
            <w:vAlign w:val="center"/>
          </w:tcPr>
          <w:p w:rsidR="008E54FD" w:rsidRDefault="008E54FD" w:rsidP="00797381">
            <w:pPr>
              <w:pStyle w:val="PwCNormal"/>
              <w:rPr>
                <w:rFonts w:ascii="黑体" w:eastAsia="黑体" w:hAnsi="黑体"/>
                <w:color w:val="FF0000"/>
                <w:sz w:val="28"/>
              </w:rPr>
            </w:pPr>
            <w:r>
              <w:rPr>
                <w:rFonts w:ascii="黑体" w:eastAsia="黑体" w:hAnsi="黑体" w:hint="eastAsia"/>
                <w:sz w:val="28"/>
              </w:rPr>
              <w:t>特别声明：</w:t>
            </w:r>
            <w:r>
              <w:rPr>
                <w:rFonts w:ascii="黑体" w:eastAsia="黑体" w:hAnsi="黑体"/>
                <w:sz w:val="28"/>
              </w:rPr>
              <w:t>1.</w:t>
            </w:r>
            <w:r>
              <w:rPr>
                <w:rFonts w:ascii="黑体" w:eastAsia="黑体" w:hAnsi="黑体" w:hint="eastAsia"/>
                <w:sz w:val="28"/>
              </w:rPr>
              <w:t>不良贷款客户数量以花溪农商银行最终确定的资产包实际客户数为准；</w:t>
            </w:r>
            <w:r>
              <w:rPr>
                <w:rFonts w:ascii="黑体" w:eastAsia="黑体" w:hAnsi="黑体"/>
                <w:sz w:val="28"/>
              </w:rPr>
              <w:t>2.</w:t>
            </w:r>
            <w:r>
              <w:rPr>
                <w:rFonts w:ascii="黑体" w:eastAsia="黑体" w:hAnsi="黑体" w:hint="eastAsia"/>
                <w:sz w:val="28"/>
              </w:rPr>
              <w:t>以上单户包含一户多笔情形。</w:t>
            </w:r>
          </w:p>
        </w:tc>
      </w:tr>
    </w:tbl>
    <w:p w:rsidR="008E54FD" w:rsidRDefault="008E54FD" w:rsidP="008E54FD">
      <w:pPr>
        <w:rPr>
          <w:rFonts w:eastAsia="Times New Roman"/>
          <w:sz w:val="28"/>
          <w:szCs w:val="24"/>
        </w:rPr>
      </w:pPr>
    </w:p>
    <w:p w:rsidR="008E54FD" w:rsidRDefault="008E54FD" w:rsidP="008E54FD">
      <w:pPr>
        <w:rPr>
          <w:rFonts w:eastAsia="Times New Roman"/>
          <w:sz w:val="28"/>
          <w:szCs w:val="24"/>
        </w:rPr>
      </w:pPr>
    </w:p>
    <w:p w:rsidR="008E54FD" w:rsidRDefault="008E54FD" w:rsidP="008E54FD">
      <w:pPr>
        <w:rPr>
          <w:rFonts w:eastAsia="Times New Roman"/>
          <w:sz w:val="28"/>
          <w:szCs w:val="24"/>
        </w:rPr>
      </w:pPr>
      <w:r>
        <w:rPr>
          <w:sz w:val="28"/>
          <w:szCs w:val="24"/>
        </w:rPr>
        <w:t xml:space="preserve"> </w:t>
      </w:r>
      <w:r>
        <w:rPr>
          <w:rFonts w:hint="eastAsia"/>
          <w:sz w:val="28"/>
          <w:szCs w:val="24"/>
        </w:rPr>
        <w:t>报价供应商全称：（盖章）</w:t>
      </w:r>
      <w:r>
        <w:rPr>
          <w:sz w:val="28"/>
          <w:szCs w:val="24"/>
        </w:rPr>
        <w:t xml:space="preserve">                                   </w:t>
      </w:r>
    </w:p>
    <w:p w:rsidR="008E54FD" w:rsidRDefault="008E54FD" w:rsidP="008E54FD">
      <w:pPr>
        <w:rPr>
          <w:rFonts w:eastAsia="Times New Roman"/>
          <w:sz w:val="28"/>
          <w:szCs w:val="24"/>
        </w:rPr>
      </w:pPr>
      <w:r>
        <w:rPr>
          <w:rFonts w:hint="eastAsia"/>
          <w:sz w:val="28"/>
          <w:szCs w:val="24"/>
        </w:rPr>
        <w:t>法定代表人或授权代表：（签字）</w:t>
      </w:r>
    </w:p>
    <w:p w:rsidR="008E54FD" w:rsidRDefault="008E54FD" w:rsidP="008E54FD">
      <w:pPr>
        <w:spacing w:line="520" w:lineRule="exact"/>
        <w:ind w:firstLine="641"/>
        <w:jc w:val="center"/>
        <w:rPr>
          <w:rFonts w:eastAsia="Times New Roman"/>
          <w:sz w:val="28"/>
          <w:szCs w:val="24"/>
        </w:rPr>
      </w:pPr>
      <w:r>
        <w:rPr>
          <w:sz w:val="28"/>
          <w:szCs w:val="24"/>
        </w:rPr>
        <w:t xml:space="preserve">                                            </w:t>
      </w:r>
      <w:r>
        <w:rPr>
          <w:rFonts w:hint="eastAsia"/>
          <w:sz w:val="28"/>
          <w:szCs w:val="24"/>
        </w:rPr>
        <w:t>年</w:t>
      </w:r>
      <w:r>
        <w:rPr>
          <w:sz w:val="28"/>
          <w:szCs w:val="24"/>
        </w:rPr>
        <w:t xml:space="preserve">   </w:t>
      </w:r>
      <w:r>
        <w:rPr>
          <w:rFonts w:hint="eastAsia"/>
          <w:sz w:val="28"/>
          <w:szCs w:val="24"/>
        </w:rPr>
        <w:t>月</w:t>
      </w:r>
      <w:r>
        <w:rPr>
          <w:sz w:val="28"/>
          <w:szCs w:val="24"/>
        </w:rPr>
        <w:t xml:space="preserve">   </w:t>
      </w:r>
      <w:r>
        <w:rPr>
          <w:rFonts w:hint="eastAsia"/>
          <w:sz w:val="28"/>
          <w:szCs w:val="24"/>
        </w:rPr>
        <w:t>日</w:t>
      </w:r>
    </w:p>
    <w:p w:rsidR="008E54FD" w:rsidRDefault="008E54FD" w:rsidP="008E54FD">
      <w:pPr>
        <w:jc w:val="left"/>
        <w:rPr>
          <w:rFonts w:eastAsia="Times New Roman"/>
          <w:szCs w:val="24"/>
        </w:rPr>
      </w:pPr>
    </w:p>
    <w:p w:rsidR="008E54FD" w:rsidRDefault="008E54FD" w:rsidP="008E54FD">
      <w:pPr>
        <w:pStyle w:val="PwCNormal"/>
        <w:rPr>
          <w:rFonts w:eastAsia="Times New Roman"/>
        </w:rPr>
      </w:pPr>
    </w:p>
    <w:p w:rsidR="008E54FD" w:rsidRDefault="008E54FD" w:rsidP="008E54FD">
      <w:pPr>
        <w:pStyle w:val="PwCNormal"/>
        <w:rPr>
          <w:rFonts w:eastAsia="Times New Roman"/>
        </w:rPr>
      </w:pPr>
    </w:p>
    <w:p w:rsidR="008E54FD" w:rsidRDefault="008E54FD" w:rsidP="008E54FD">
      <w:pPr>
        <w:pStyle w:val="PwCNormal"/>
        <w:rPr>
          <w:rFonts w:eastAsia="Times New Roman"/>
        </w:rPr>
      </w:pPr>
    </w:p>
    <w:p w:rsidR="008E54FD" w:rsidRDefault="008E54FD" w:rsidP="008E54FD">
      <w:pPr>
        <w:pStyle w:val="PwCNormal"/>
        <w:rPr>
          <w:rFonts w:eastAsia="Times New Roman"/>
        </w:rPr>
      </w:pPr>
    </w:p>
    <w:p w:rsidR="008E54FD" w:rsidRDefault="008E54FD" w:rsidP="008E54FD">
      <w:pPr>
        <w:pStyle w:val="PwCNormal"/>
        <w:rPr>
          <w:rFonts w:eastAsia="Times New Roman"/>
        </w:rPr>
      </w:pPr>
    </w:p>
    <w:p w:rsidR="008E54FD" w:rsidRDefault="008E54FD" w:rsidP="008E54FD">
      <w:pPr>
        <w:keepNext/>
        <w:keepLines/>
        <w:adjustRightInd w:val="0"/>
        <w:snapToGrid w:val="0"/>
        <w:spacing w:line="560" w:lineRule="exact"/>
        <w:rPr>
          <w:rFonts w:ascii="黑体" w:eastAsia="黑体" w:hAnsi="黑体"/>
          <w:sz w:val="28"/>
          <w:szCs w:val="24"/>
        </w:rPr>
      </w:pPr>
      <w:r>
        <w:rPr>
          <w:rFonts w:ascii="黑体" w:eastAsia="黑体" w:hAnsi="黑体" w:hint="eastAsia"/>
          <w:sz w:val="28"/>
          <w:szCs w:val="24"/>
        </w:rPr>
        <w:t>附件</w:t>
      </w:r>
      <w:r>
        <w:rPr>
          <w:rFonts w:ascii="黑体" w:eastAsia="黑体" w:hAnsi="黑体"/>
          <w:sz w:val="28"/>
          <w:szCs w:val="24"/>
        </w:rPr>
        <w:t>3-2</w:t>
      </w:r>
    </w:p>
    <w:p w:rsidR="008E54FD" w:rsidRDefault="008E54FD" w:rsidP="008E54FD">
      <w:pPr>
        <w:pStyle w:val="PwCNormal"/>
        <w:widowControl w:val="0"/>
        <w:jc w:val="center"/>
        <w:rPr>
          <w:rFonts w:ascii="黑体" w:eastAsia="黑体" w:hAnsi="黑体"/>
          <w:sz w:val="36"/>
        </w:rPr>
      </w:pPr>
      <w:r>
        <w:rPr>
          <w:rFonts w:ascii="黑体" w:eastAsia="黑体" w:hAnsi="黑体" w:hint="eastAsia"/>
          <w:sz w:val="36"/>
        </w:rPr>
        <w:t>报价一览表</w:t>
      </w:r>
    </w:p>
    <w:p w:rsidR="008E54FD" w:rsidRPr="00FD3EAB" w:rsidRDefault="008E54FD" w:rsidP="008E54FD">
      <w:pPr>
        <w:pStyle w:val="PwCNormal"/>
        <w:widowControl w:val="0"/>
        <w:jc w:val="center"/>
        <w:rPr>
          <w:rFonts w:ascii="黑体" w:eastAsia="黑体" w:hAnsi="黑体"/>
          <w:sz w:val="36"/>
        </w:rPr>
      </w:pPr>
      <w:bookmarkStart w:id="0" w:name="_GoBack"/>
      <w:r w:rsidRPr="00FD3EAB">
        <w:rPr>
          <w:rFonts w:ascii="黑体" w:eastAsia="黑体" w:hAnsi="黑体" w:hint="eastAsia"/>
          <w:sz w:val="36"/>
        </w:rPr>
        <w:lastRenderedPageBreak/>
        <w:t>（适用律师事务所）</w:t>
      </w:r>
    </w:p>
    <w:p w:rsidR="008E54FD" w:rsidRPr="00FD3EAB" w:rsidRDefault="008E54FD" w:rsidP="008E54FD">
      <w:pPr>
        <w:spacing w:line="520" w:lineRule="exact"/>
        <w:rPr>
          <w:rFonts w:eastAsia="Times New Roman"/>
          <w:sz w:val="28"/>
          <w:szCs w:val="24"/>
        </w:rPr>
      </w:pPr>
      <w:r w:rsidRPr="00FD3EAB">
        <w:rPr>
          <w:rFonts w:hint="eastAsia"/>
          <w:sz w:val="28"/>
          <w:szCs w:val="24"/>
        </w:rPr>
        <w:t>项目名称：花溪农商银行</w:t>
      </w:r>
      <w:r w:rsidRPr="00FD3EAB">
        <w:rPr>
          <w:sz w:val="28"/>
          <w:szCs w:val="24"/>
        </w:rPr>
        <w:t>2023</w:t>
      </w:r>
      <w:r w:rsidRPr="00FD3EAB">
        <w:rPr>
          <w:rFonts w:hint="eastAsia"/>
          <w:sz w:val="28"/>
          <w:szCs w:val="24"/>
        </w:rPr>
        <w:t>年不良资产批量转让委外评估</w:t>
      </w:r>
      <w:r w:rsidRPr="00FD3EAB">
        <w:rPr>
          <w:sz w:val="28"/>
          <w:szCs w:val="24"/>
        </w:rPr>
        <w:t xml:space="preserve">                    </w:t>
      </w:r>
      <w:r w:rsidRPr="00FD3EAB">
        <w:rPr>
          <w:rFonts w:hint="eastAsia"/>
          <w:sz w:val="28"/>
          <w:szCs w:val="24"/>
        </w:rPr>
        <w:t>金额单位：元</w:t>
      </w:r>
    </w:p>
    <w:tbl>
      <w:tblPr>
        <w:tblW w:w="54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684"/>
        <w:gridCol w:w="829"/>
        <w:gridCol w:w="1936"/>
        <w:gridCol w:w="1094"/>
        <w:gridCol w:w="2084"/>
        <w:gridCol w:w="1298"/>
      </w:tblGrid>
      <w:tr w:rsidR="00FD3EAB" w:rsidRPr="00FD3EAB" w:rsidTr="00797381">
        <w:trPr>
          <w:cantSplit/>
          <w:trHeight w:val="514"/>
          <w:jc w:val="center"/>
        </w:trPr>
        <w:tc>
          <w:tcPr>
            <w:tcW w:w="242" w:type="pct"/>
            <w:vAlign w:val="center"/>
          </w:tcPr>
          <w:p w:rsidR="008E54FD" w:rsidRPr="00FD3EAB" w:rsidRDefault="008E54FD" w:rsidP="00797381">
            <w:pPr>
              <w:spacing w:line="360" w:lineRule="exact"/>
              <w:jc w:val="center"/>
              <w:rPr>
                <w:rFonts w:ascii="宋体" w:eastAsia="Times New Roman"/>
                <w:sz w:val="24"/>
                <w:szCs w:val="24"/>
              </w:rPr>
            </w:pPr>
            <w:r w:rsidRPr="00FD3EAB">
              <w:rPr>
                <w:rFonts w:ascii="宋体" w:hAnsi="宋体" w:hint="eastAsia"/>
                <w:sz w:val="24"/>
                <w:szCs w:val="24"/>
              </w:rPr>
              <w:t>序号</w:t>
            </w:r>
          </w:p>
        </w:tc>
        <w:tc>
          <w:tcPr>
            <w:tcW w:w="898" w:type="pct"/>
            <w:vAlign w:val="center"/>
          </w:tcPr>
          <w:p w:rsidR="008E54FD" w:rsidRPr="00FD3EAB" w:rsidRDefault="008E54FD" w:rsidP="00797381">
            <w:pPr>
              <w:spacing w:line="360" w:lineRule="exact"/>
              <w:jc w:val="center"/>
              <w:rPr>
                <w:rFonts w:ascii="宋体" w:eastAsia="Times New Roman"/>
                <w:sz w:val="24"/>
                <w:szCs w:val="24"/>
              </w:rPr>
            </w:pPr>
            <w:r w:rsidRPr="00FD3EAB">
              <w:rPr>
                <w:rFonts w:ascii="宋体" w:hAnsi="宋体" w:hint="eastAsia"/>
                <w:sz w:val="24"/>
                <w:szCs w:val="24"/>
              </w:rPr>
              <w:t>服务名称</w:t>
            </w:r>
          </w:p>
        </w:tc>
        <w:tc>
          <w:tcPr>
            <w:tcW w:w="442" w:type="pct"/>
            <w:vAlign w:val="center"/>
          </w:tcPr>
          <w:p w:rsidR="008E54FD" w:rsidRPr="00FD3EAB" w:rsidRDefault="008E54FD" w:rsidP="00797381">
            <w:pPr>
              <w:spacing w:line="360" w:lineRule="exact"/>
              <w:jc w:val="center"/>
              <w:rPr>
                <w:rFonts w:ascii="宋体" w:eastAsia="Times New Roman"/>
                <w:sz w:val="24"/>
                <w:szCs w:val="24"/>
              </w:rPr>
            </w:pPr>
            <w:r w:rsidRPr="00FD3EAB">
              <w:rPr>
                <w:rFonts w:ascii="宋体" w:hAnsi="宋体" w:hint="eastAsia"/>
                <w:sz w:val="24"/>
                <w:szCs w:val="24"/>
              </w:rPr>
              <w:t>计量</w:t>
            </w:r>
          </w:p>
          <w:p w:rsidR="008E54FD" w:rsidRPr="00FD3EAB" w:rsidRDefault="008E54FD" w:rsidP="00797381">
            <w:pPr>
              <w:spacing w:line="360" w:lineRule="exact"/>
              <w:jc w:val="center"/>
              <w:rPr>
                <w:rFonts w:ascii="宋体" w:eastAsia="Times New Roman"/>
                <w:sz w:val="24"/>
                <w:szCs w:val="24"/>
              </w:rPr>
            </w:pPr>
            <w:r w:rsidRPr="00FD3EAB">
              <w:rPr>
                <w:rFonts w:ascii="宋体" w:hAnsi="宋体" w:hint="eastAsia"/>
                <w:sz w:val="24"/>
                <w:szCs w:val="24"/>
              </w:rPr>
              <w:t>单位</w:t>
            </w:r>
          </w:p>
        </w:tc>
        <w:tc>
          <w:tcPr>
            <w:tcW w:w="1032" w:type="pct"/>
            <w:vAlign w:val="center"/>
          </w:tcPr>
          <w:p w:rsidR="008E54FD" w:rsidRPr="00FD3EAB" w:rsidRDefault="008E54FD" w:rsidP="00797381">
            <w:pPr>
              <w:spacing w:line="360" w:lineRule="exact"/>
              <w:jc w:val="center"/>
              <w:rPr>
                <w:rFonts w:ascii="宋体" w:eastAsia="Times New Roman"/>
                <w:sz w:val="24"/>
                <w:szCs w:val="24"/>
              </w:rPr>
            </w:pPr>
            <w:r w:rsidRPr="00FD3EAB">
              <w:rPr>
                <w:rFonts w:ascii="宋体" w:hAnsi="宋体" w:hint="eastAsia"/>
                <w:sz w:val="24"/>
                <w:szCs w:val="24"/>
              </w:rPr>
              <w:t>单价</w:t>
            </w:r>
          </w:p>
          <w:p w:rsidR="008E54FD" w:rsidRPr="00FD3EAB" w:rsidRDefault="008E54FD" w:rsidP="00797381">
            <w:pPr>
              <w:spacing w:line="360" w:lineRule="exact"/>
              <w:jc w:val="center"/>
              <w:rPr>
                <w:rFonts w:ascii="宋体" w:eastAsia="Times New Roman"/>
                <w:sz w:val="24"/>
                <w:szCs w:val="24"/>
              </w:rPr>
            </w:pPr>
            <w:r w:rsidRPr="00FD3EAB">
              <w:rPr>
                <w:rFonts w:ascii="宋体" w:hAnsi="宋体" w:hint="eastAsia"/>
                <w:sz w:val="24"/>
                <w:szCs w:val="24"/>
              </w:rPr>
              <w:t>（含税）</w:t>
            </w:r>
          </w:p>
        </w:tc>
        <w:tc>
          <w:tcPr>
            <w:tcW w:w="583" w:type="pct"/>
            <w:vAlign w:val="center"/>
          </w:tcPr>
          <w:p w:rsidR="008E54FD" w:rsidRPr="00FD3EAB" w:rsidRDefault="008E54FD" w:rsidP="00797381">
            <w:pPr>
              <w:spacing w:line="360" w:lineRule="exact"/>
              <w:jc w:val="center"/>
              <w:rPr>
                <w:rFonts w:ascii="宋体" w:eastAsia="Times New Roman"/>
                <w:sz w:val="24"/>
                <w:szCs w:val="24"/>
              </w:rPr>
            </w:pPr>
            <w:r w:rsidRPr="00FD3EAB">
              <w:rPr>
                <w:rFonts w:ascii="宋体" w:hAnsi="宋体" w:hint="eastAsia"/>
                <w:sz w:val="24"/>
                <w:szCs w:val="24"/>
              </w:rPr>
              <w:t>金额</w:t>
            </w:r>
          </w:p>
          <w:p w:rsidR="008E54FD" w:rsidRPr="00FD3EAB" w:rsidRDefault="008E54FD" w:rsidP="00797381">
            <w:pPr>
              <w:spacing w:line="360" w:lineRule="exact"/>
              <w:jc w:val="center"/>
              <w:rPr>
                <w:rFonts w:ascii="宋体" w:eastAsia="Times New Roman"/>
                <w:spacing w:val="-4"/>
                <w:sz w:val="24"/>
                <w:szCs w:val="24"/>
              </w:rPr>
            </w:pPr>
            <w:r w:rsidRPr="00FD3EAB">
              <w:rPr>
                <w:rFonts w:ascii="宋体" w:hAnsi="宋体" w:hint="eastAsia"/>
                <w:sz w:val="24"/>
                <w:szCs w:val="24"/>
              </w:rPr>
              <w:t>（含税）</w:t>
            </w:r>
          </w:p>
        </w:tc>
        <w:tc>
          <w:tcPr>
            <w:tcW w:w="1111" w:type="pct"/>
            <w:vAlign w:val="center"/>
          </w:tcPr>
          <w:p w:rsidR="008E54FD" w:rsidRPr="00FD3EAB" w:rsidRDefault="008E54FD" w:rsidP="00797381">
            <w:pPr>
              <w:spacing w:line="360" w:lineRule="exact"/>
              <w:jc w:val="center"/>
              <w:rPr>
                <w:rFonts w:ascii="宋体" w:eastAsia="Times New Roman"/>
                <w:sz w:val="24"/>
                <w:szCs w:val="24"/>
              </w:rPr>
            </w:pPr>
            <w:r w:rsidRPr="00FD3EAB">
              <w:rPr>
                <w:rFonts w:ascii="宋体" w:hAnsi="宋体" w:hint="eastAsia"/>
                <w:spacing w:val="-4"/>
                <w:sz w:val="24"/>
                <w:szCs w:val="24"/>
              </w:rPr>
              <w:t>服务时间</w:t>
            </w:r>
          </w:p>
        </w:tc>
        <w:tc>
          <w:tcPr>
            <w:tcW w:w="692" w:type="pct"/>
            <w:vAlign w:val="center"/>
          </w:tcPr>
          <w:p w:rsidR="008E54FD" w:rsidRPr="00FD3EAB" w:rsidRDefault="008E54FD" w:rsidP="00797381">
            <w:pPr>
              <w:spacing w:line="360" w:lineRule="exact"/>
              <w:jc w:val="center"/>
              <w:rPr>
                <w:rFonts w:ascii="宋体" w:eastAsia="Times New Roman"/>
                <w:sz w:val="24"/>
                <w:szCs w:val="24"/>
              </w:rPr>
            </w:pPr>
            <w:r w:rsidRPr="00FD3EAB">
              <w:rPr>
                <w:rFonts w:ascii="宋体" w:hAnsi="宋体" w:hint="eastAsia"/>
                <w:spacing w:val="-4"/>
                <w:sz w:val="24"/>
                <w:szCs w:val="24"/>
              </w:rPr>
              <w:t>服务地点</w:t>
            </w:r>
          </w:p>
        </w:tc>
      </w:tr>
      <w:tr w:rsidR="00FD3EAB" w:rsidRPr="00FD3EAB" w:rsidTr="00797381">
        <w:trPr>
          <w:cantSplit/>
          <w:trHeight w:val="569"/>
          <w:jc w:val="center"/>
        </w:trPr>
        <w:tc>
          <w:tcPr>
            <w:tcW w:w="242" w:type="pct"/>
            <w:vAlign w:val="center"/>
          </w:tcPr>
          <w:p w:rsidR="008E54FD" w:rsidRPr="00FD3EAB" w:rsidRDefault="008E54FD" w:rsidP="00797381">
            <w:pPr>
              <w:spacing w:line="360" w:lineRule="exact"/>
              <w:jc w:val="center"/>
              <w:rPr>
                <w:rFonts w:ascii="宋体" w:eastAsia="Times New Roman"/>
                <w:sz w:val="24"/>
                <w:szCs w:val="24"/>
              </w:rPr>
            </w:pPr>
            <w:r w:rsidRPr="00FD3EAB">
              <w:rPr>
                <w:rFonts w:ascii="宋体" w:hAnsi="宋体"/>
                <w:sz w:val="24"/>
                <w:szCs w:val="24"/>
              </w:rPr>
              <w:t>1</w:t>
            </w:r>
          </w:p>
        </w:tc>
        <w:tc>
          <w:tcPr>
            <w:tcW w:w="898" w:type="pct"/>
            <w:vAlign w:val="center"/>
          </w:tcPr>
          <w:p w:rsidR="008E54FD" w:rsidRPr="00FD3EAB" w:rsidRDefault="008E54FD" w:rsidP="00797381">
            <w:pPr>
              <w:spacing w:line="360" w:lineRule="exact"/>
              <w:jc w:val="center"/>
              <w:rPr>
                <w:rFonts w:ascii="宋体" w:eastAsia="Times New Roman"/>
                <w:sz w:val="24"/>
                <w:szCs w:val="24"/>
              </w:rPr>
            </w:pPr>
            <w:r w:rsidRPr="00FD3EAB">
              <w:rPr>
                <w:rFonts w:ascii="宋体" w:hAnsi="宋体" w:hint="eastAsia"/>
                <w:sz w:val="24"/>
                <w:szCs w:val="24"/>
              </w:rPr>
              <w:t>不良贷款客户</w:t>
            </w:r>
          </w:p>
          <w:p w:rsidR="008E54FD" w:rsidRPr="00FD3EAB" w:rsidRDefault="008E54FD" w:rsidP="00797381">
            <w:pPr>
              <w:spacing w:line="360" w:lineRule="exact"/>
              <w:jc w:val="center"/>
              <w:rPr>
                <w:rFonts w:ascii="宋体" w:eastAsia="Times New Roman"/>
                <w:sz w:val="24"/>
                <w:szCs w:val="24"/>
              </w:rPr>
            </w:pPr>
            <w:r w:rsidRPr="00FD3EAB">
              <w:rPr>
                <w:rFonts w:ascii="宋体" w:hAnsi="宋体" w:hint="eastAsia"/>
                <w:sz w:val="24"/>
                <w:szCs w:val="24"/>
              </w:rPr>
              <w:t>尽调评估</w:t>
            </w:r>
          </w:p>
        </w:tc>
        <w:tc>
          <w:tcPr>
            <w:tcW w:w="442" w:type="pct"/>
            <w:vAlign w:val="center"/>
          </w:tcPr>
          <w:p w:rsidR="008E54FD" w:rsidRPr="00FD3EAB" w:rsidRDefault="008E54FD" w:rsidP="00797381">
            <w:pPr>
              <w:spacing w:line="360" w:lineRule="exact"/>
              <w:jc w:val="center"/>
              <w:rPr>
                <w:rFonts w:ascii="宋体" w:eastAsia="Times New Roman"/>
                <w:sz w:val="24"/>
                <w:szCs w:val="24"/>
              </w:rPr>
            </w:pPr>
            <w:r w:rsidRPr="00FD3EAB">
              <w:rPr>
                <w:rFonts w:ascii="宋体" w:hAnsi="宋体" w:hint="eastAsia"/>
                <w:sz w:val="24"/>
                <w:szCs w:val="24"/>
              </w:rPr>
              <w:t>单户</w:t>
            </w:r>
          </w:p>
        </w:tc>
        <w:tc>
          <w:tcPr>
            <w:tcW w:w="1032" w:type="pct"/>
            <w:vAlign w:val="center"/>
          </w:tcPr>
          <w:p w:rsidR="008E54FD" w:rsidRPr="00FD3EAB" w:rsidRDefault="008E54FD" w:rsidP="00797381">
            <w:pPr>
              <w:spacing w:line="360" w:lineRule="exact"/>
              <w:jc w:val="center"/>
              <w:rPr>
                <w:rFonts w:ascii="宋体" w:eastAsia="Times New Roman"/>
                <w:sz w:val="24"/>
                <w:szCs w:val="24"/>
              </w:rPr>
            </w:pPr>
          </w:p>
        </w:tc>
        <w:tc>
          <w:tcPr>
            <w:tcW w:w="583" w:type="pct"/>
            <w:vAlign w:val="center"/>
          </w:tcPr>
          <w:p w:rsidR="008E54FD" w:rsidRPr="00FD3EAB" w:rsidRDefault="008E54FD" w:rsidP="00797381">
            <w:pPr>
              <w:spacing w:line="360" w:lineRule="exact"/>
              <w:jc w:val="center"/>
              <w:rPr>
                <w:rFonts w:ascii="宋体" w:eastAsia="Times New Roman"/>
                <w:sz w:val="24"/>
                <w:szCs w:val="24"/>
              </w:rPr>
            </w:pPr>
          </w:p>
        </w:tc>
        <w:tc>
          <w:tcPr>
            <w:tcW w:w="1111" w:type="pct"/>
            <w:vAlign w:val="center"/>
          </w:tcPr>
          <w:p w:rsidR="008E54FD" w:rsidRPr="00FD3EAB" w:rsidRDefault="008E54FD" w:rsidP="00797381">
            <w:pPr>
              <w:spacing w:line="360" w:lineRule="exact"/>
              <w:jc w:val="center"/>
              <w:rPr>
                <w:rFonts w:ascii="宋体" w:eastAsia="Times New Roman"/>
                <w:sz w:val="24"/>
                <w:szCs w:val="24"/>
              </w:rPr>
            </w:pPr>
            <w:r w:rsidRPr="00FD3EAB">
              <w:rPr>
                <w:rFonts w:ascii="宋体" w:hAnsi="宋体" w:hint="eastAsia"/>
                <w:sz w:val="24"/>
                <w:szCs w:val="24"/>
              </w:rPr>
              <w:t>签订委托协议之日至完成该批次不良资产评估之日止</w:t>
            </w:r>
          </w:p>
        </w:tc>
        <w:tc>
          <w:tcPr>
            <w:tcW w:w="692" w:type="pct"/>
            <w:vAlign w:val="center"/>
          </w:tcPr>
          <w:p w:rsidR="008E54FD" w:rsidRPr="00FD3EAB" w:rsidRDefault="008E54FD" w:rsidP="00797381">
            <w:pPr>
              <w:spacing w:line="360" w:lineRule="exact"/>
              <w:jc w:val="center"/>
              <w:rPr>
                <w:rFonts w:ascii="宋体" w:eastAsia="Times New Roman"/>
                <w:sz w:val="24"/>
                <w:szCs w:val="24"/>
              </w:rPr>
            </w:pPr>
            <w:r w:rsidRPr="00FD3EAB">
              <w:rPr>
                <w:rFonts w:ascii="宋体" w:hAnsi="宋体" w:hint="eastAsia"/>
                <w:sz w:val="24"/>
                <w:szCs w:val="24"/>
              </w:rPr>
              <w:t>花溪农商银行服务辖区</w:t>
            </w:r>
          </w:p>
        </w:tc>
      </w:tr>
      <w:tr w:rsidR="00FD3EAB" w:rsidRPr="00FD3EAB" w:rsidTr="00797381">
        <w:trPr>
          <w:cantSplit/>
          <w:trHeight w:val="550"/>
          <w:jc w:val="center"/>
        </w:trPr>
        <w:tc>
          <w:tcPr>
            <w:tcW w:w="5000" w:type="pct"/>
            <w:gridSpan w:val="7"/>
            <w:vAlign w:val="center"/>
          </w:tcPr>
          <w:p w:rsidR="008E54FD" w:rsidRPr="00FD3EAB" w:rsidRDefault="008E54FD" w:rsidP="00797381">
            <w:pPr>
              <w:spacing w:line="360" w:lineRule="exact"/>
              <w:jc w:val="center"/>
              <w:rPr>
                <w:rFonts w:ascii="宋体" w:eastAsia="Times New Roman"/>
                <w:spacing w:val="-4"/>
                <w:sz w:val="24"/>
                <w:szCs w:val="24"/>
              </w:rPr>
            </w:pPr>
            <w:r w:rsidRPr="00FD3EAB">
              <w:rPr>
                <w:rFonts w:ascii="宋体" w:hAnsi="宋体" w:hint="eastAsia"/>
                <w:spacing w:val="-4"/>
                <w:sz w:val="24"/>
                <w:szCs w:val="24"/>
              </w:rPr>
              <w:t>单户报价（人民币大写）：</w:t>
            </w:r>
            <w:r w:rsidRPr="00FD3EAB">
              <w:rPr>
                <w:rFonts w:ascii="宋体" w:hAnsi="宋体"/>
                <w:spacing w:val="-4"/>
                <w:sz w:val="24"/>
                <w:szCs w:val="24"/>
              </w:rPr>
              <w:t xml:space="preserve">                 </w:t>
            </w:r>
            <w:r w:rsidRPr="00FD3EAB">
              <w:rPr>
                <w:rFonts w:ascii="宋体" w:hAnsi="宋体" w:hint="eastAsia"/>
                <w:spacing w:val="-4"/>
                <w:sz w:val="24"/>
                <w:szCs w:val="24"/>
              </w:rPr>
              <w:t>（小写）</w:t>
            </w:r>
            <w:r w:rsidRPr="00FD3EAB">
              <w:rPr>
                <w:spacing w:val="-4"/>
                <w:sz w:val="24"/>
                <w:szCs w:val="24"/>
              </w:rPr>
              <w:t>¥</w:t>
            </w:r>
          </w:p>
        </w:tc>
      </w:tr>
      <w:tr w:rsidR="00FD3EAB" w:rsidRPr="00FD3EAB" w:rsidTr="00797381">
        <w:trPr>
          <w:cantSplit/>
          <w:trHeight w:val="550"/>
          <w:jc w:val="center"/>
        </w:trPr>
        <w:tc>
          <w:tcPr>
            <w:tcW w:w="5000" w:type="pct"/>
            <w:gridSpan w:val="7"/>
            <w:vAlign w:val="center"/>
          </w:tcPr>
          <w:p w:rsidR="008E54FD" w:rsidRPr="00FD3EAB" w:rsidRDefault="008E54FD" w:rsidP="00797381">
            <w:pPr>
              <w:pStyle w:val="PwCNormal"/>
              <w:rPr>
                <w:rFonts w:ascii="黑体" w:eastAsia="黑体" w:hAnsi="黑体"/>
                <w:sz w:val="28"/>
              </w:rPr>
            </w:pPr>
            <w:r w:rsidRPr="00FD3EAB">
              <w:rPr>
                <w:rFonts w:ascii="黑体" w:eastAsia="黑体" w:hAnsi="黑体" w:hint="eastAsia"/>
                <w:sz w:val="28"/>
              </w:rPr>
              <w:t>特别声明：</w:t>
            </w:r>
            <w:r w:rsidRPr="00FD3EAB">
              <w:rPr>
                <w:rFonts w:ascii="黑体" w:eastAsia="黑体" w:hAnsi="黑体"/>
                <w:sz w:val="28"/>
              </w:rPr>
              <w:t>1.</w:t>
            </w:r>
            <w:r w:rsidRPr="00FD3EAB">
              <w:rPr>
                <w:rFonts w:ascii="黑体" w:eastAsia="黑体" w:hAnsi="黑体" w:hint="eastAsia"/>
                <w:sz w:val="28"/>
              </w:rPr>
              <w:t>不良贷款客户数量以花溪农商银行最终确定的资产包实际客户数为准；</w:t>
            </w:r>
            <w:r w:rsidRPr="00FD3EAB">
              <w:rPr>
                <w:rFonts w:ascii="黑体" w:eastAsia="黑体" w:hAnsi="黑体"/>
                <w:sz w:val="28"/>
              </w:rPr>
              <w:t>2.</w:t>
            </w:r>
            <w:r w:rsidRPr="00FD3EAB">
              <w:rPr>
                <w:rFonts w:ascii="黑体" w:eastAsia="黑体" w:hAnsi="黑体" w:hint="eastAsia"/>
                <w:sz w:val="28"/>
              </w:rPr>
              <w:t>以上单户包含一户多笔情形。</w:t>
            </w:r>
          </w:p>
        </w:tc>
      </w:tr>
    </w:tbl>
    <w:p w:rsidR="008E54FD" w:rsidRPr="00FD3EAB" w:rsidRDefault="008E54FD" w:rsidP="008E54FD">
      <w:pPr>
        <w:rPr>
          <w:rFonts w:eastAsia="Times New Roman"/>
          <w:sz w:val="28"/>
          <w:szCs w:val="24"/>
        </w:rPr>
      </w:pPr>
    </w:p>
    <w:p w:rsidR="008E54FD" w:rsidRPr="00FD3EAB" w:rsidRDefault="008E54FD" w:rsidP="008E54FD">
      <w:pPr>
        <w:rPr>
          <w:rFonts w:eastAsia="Times New Roman"/>
          <w:sz w:val="28"/>
          <w:szCs w:val="24"/>
        </w:rPr>
      </w:pPr>
    </w:p>
    <w:p w:rsidR="008E54FD" w:rsidRPr="00FD3EAB" w:rsidRDefault="008E54FD" w:rsidP="008E54FD">
      <w:pPr>
        <w:rPr>
          <w:sz w:val="28"/>
          <w:szCs w:val="24"/>
        </w:rPr>
      </w:pPr>
      <w:r w:rsidRPr="00FD3EAB">
        <w:rPr>
          <w:sz w:val="28"/>
          <w:szCs w:val="24"/>
        </w:rPr>
        <w:t xml:space="preserve"> </w:t>
      </w:r>
      <w:r w:rsidRPr="00FD3EAB">
        <w:rPr>
          <w:rFonts w:hint="eastAsia"/>
          <w:sz w:val="28"/>
          <w:szCs w:val="24"/>
        </w:rPr>
        <w:t>报价供应商全称：（盖章）</w:t>
      </w:r>
      <w:r w:rsidRPr="00FD3EAB">
        <w:rPr>
          <w:sz w:val="28"/>
          <w:szCs w:val="24"/>
        </w:rPr>
        <w:t xml:space="preserve">                                   </w:t>
      </w:r>
    </w:p>
    <w:p w:rsidR="008E54FD" w:rsidRPr="00FD3EAB" w:rsidRDefault="008E54FD" w:rsidP="008E54FD">
      <w:pPr>
        <w:rPr>
          <w:rFonts w:eastAsia="Times New Roman"/>
          <w:sz w:val="28"/>
          <w:szCs w:val="24"/>
        </w:rPr>
      </w:pPr>
      <w:r w:rsidRPr="00FD3EAB">
        <w:rPr>
          <w:rFonts w:hint="eastAsia"/>
          <w:sz w:val="28"/>
          <w:szCs w:val="24"/>
        </w:rPr>
        <w:t>法定代表人或授权代表：（签字）</w:t>
      </w:r>
    </w:p>
    <w:p w:rsidR="008E54FD" w:rsidRDefault="008E54FD" w:rsidP="008E54FD">
      <w:pPr>
        <w:spacing w:line="520" w:lineRule="exact"/>
        <w:ind w:firstLine="641"/>
        <w:jc w:val="center"/>
        <w:rPr>
          <w:rFonts w:eastAsia="Times New Roman"/>
          <w:sz w:val="28"/>
          <w:szCs w:val="24"/>
        </w:rPr>
      </w:pPr>
      <w:r w:rsidRPr="00FD3EAB">
        <w:rPr>
          <w:sz w:val="28"/>
          <w:szCs w:val="24"/>
        </w:rPr>
        <w:t xml:space="preserve">                                            </w:t>
      </w:r>
      <w:bookmarkEnd w:id="0"/>
      <w:r>
        <w:rPr>
          <w:rFonts w:hint="eastAsia"/>
          <w:sz w:val="28"/>
          <w:szCs w:val="24"/>
        </w:rPr>
        <w:t>年</w:t>
      </w:r>
      <w:r>
        <w:rPr>
          <w:sz w:val="28"/>
          <w:szCs w:val="24"/>
        </w:rPr>
        <w:t xml:space="preserve">   </w:t>
      </w:r>
      <w:r>
        <w:rPr>
          <w:rFonts w:hint="eastAsia"/>
          <w:sz w:val="28"/>
          <w:szCs w:val="24"/>
        </w:rPr>
        <w:t>月</w:t>
      </w:r>
      <w:r>
        <w:rPr>
          <w:sz w:val="28"/>
          <w:szCs w:val="24"/>
        </w:rPr>
        <w:t xml:space="preserve">   </w:t>
      </w:r>
      <w:r>
        <w:rPr>
          <w:rFonts w:hint="eastAsia"/>
          <w:sz w:val="28"/>
          <w:szCs w:val="24"/>
        </w:rPr>
        <w:t>日</w:t>
      </w:r>
    </w:p>
    <w:p w:rsidR="008E54FD" w:rsidRDefault="008E54FD" w:rsidP="008E54FD">
      <w:pPr>
        <w:jc w:val="left"/>
        <w:rPr>
          <w:rFonts w:eastAsia="Times New Roman"/>
          <w:szCs w:val="24"/>
        </w:rPr>
      </w:pPr>
    </w:p>
    <w:p w:rsidR="008E54FD" w:rsidRDefault="008E54FD" w:rsidP="008E54FD">
      <w:pPr>
        <w:pStyle w:val="PwCNormal"/>
        <w:rPr>
          <w:rFonts w:eastAsia="Times New Roman"/>
        </w:rPr>
      </w:pPr>
    </w:p>
    <w:p w:rsidR="0069655F" w:rsidRPr="00E06E42" w:rsidRDefault="0069655F" w:rsidP="00E06E42"/>
    <w:sectPr w:rsidR="0069655F" w:rsidRPr="00E06E4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747" w:rsidRDefault="00005747" w:rsidP="00E06E42">
      <w:r>
        <w:separator/>
      </w:r>
    </w:p>
  </w:endnote>
  <w:endnote w:type="continuationSeparator" w:id="0">
    <w:p w:rsidR="00005747" w:rsidRDefault="00005747" w:rsidP="00E0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747" w:rsidRDefault="00005747" w:rsidP="00E06E42">
      <w:r>
        <w:separator/>
      </w:r>
    </w:p>
  </w:footnote>
  <w:footnote w:type="continuationSeparator" w:id="0">
    <w:p w:rsidR="00005747" w:rsidRDefault="00005747" w:rsidP="00E06E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3B5"/>
    <w:rsid w:val="00005747"/>
    <w:rsid w:val="001041D9"/>
    <w:rsid w:val="001261F3"/>
    <w:rsid w:val="001F7DB1"/>
    <w:rsid w:val="00437255"/>
    <w:rsid w:val="004412BC"/>
    <w:rsid w:val="005B54B2"/>
    <w:rsid w:val="006023B5"/>
    <w:rsid w:val="00661089"/>
    <w:rsid w:val="0069655F"/>
    <w:rsid w:val="006E2D38"/>
    <w:rsid w:val="006F4087"/>
    <w:rsid w:val="008D4170"/>
    <w:rsid w:val="008E54FD"/>
    <w:rsid w:val="009D1FCE"/>
    <w:rsid w:val="00A25DBD"/>
    <w:rsid w:val="00A54B86"/>
    <w:rsid w:val="00A55A17"/>
    <w:rsid w:val="00CA530F"/>
    <w:rsid w:val="00D4308D"/>
    <w:rsid w:val="00DD12D0"/>
    <w:rsid w:val="00E06E42"/>
    <w:rsid w:val="00FD3E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F8DB2BE-ECF6-41C7-9689-64AC57A7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54FD"/>
    <w:pPr>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6E42"/>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E06E42"/>
    <w:rPr>
      <w:sz w:val="18"/>
      <w:szCs w:val="18"/>
    </w:rPr>
  </w:style>
  <w:style w:type="paragraph" w:styleId="a4">
    <w:name w:val="footer"/>
    <w:basedOn w:val="a"/>
    <w:link w:val="Char0"/>
    <w:uiPriority w:val="99"/>
    <w:unhideWhenUsed/>
    <w:rsid w:val="00E06E42"/>
    <w:pPr>
      <w:widowControl w:val="0"/>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E06E42"/>
    <w:rPr>
      <w:sz w:val="18"/>
      <w:szCs w:val="18"/>
    </w:rPr>
  </w:style>
  <w:style w:type="paragraph" w:customStyle="1" w:styleId="PwCNormal">
    <w:name w:val="PwC Normal"/>
    <w:basedOn w:val="a"/>
    <w:uiPriority w:val="99"/>
    <w:unhideWhenUsed/>
    <w:qFormat/>
    <w:rsid w:val="008E54FD"/>
    <w:pPr>
      <w:spacing w:before="180" w:after="180" w:line="240" w:lineRule="atLeast"/>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2023-09-07T00:39:00Z</dcterms:created>
  <dcterms:modified xsi:type="dcterms:W3CDTF">2023-09-07T00:40:00Z</dcterms:modified>
</cp:coreProperties>
</file>