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预期信用损失法咨询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60758346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2022年5月，中国银保监会印发《商业银行预期信用损失法实施管理办法》（以下简称办法），对预期信用损失法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、实施及监督管理角度提出了明确要求及切实可行的措施。目前，全省农信现行的预期信用损失法在内部管理机制、模型参数、前瞻性调整、管理层叠加等方面与《办法》规定的“标准动作”和“底线控制”等存在较大差距，为满足监管要求和提高我社信用风险管理能力，需要引进外部专家为我社提供咨询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（一）差异分析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参照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《办法》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相关规定，梳理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贵州农信管理现状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与监管制度的差异，并以此确定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预期信用损失法整体合规优化方案。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具体内容包括：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管理现状差异分析。基于当前贵州农信预期信用损失法的管理现状，分析与《办法》要求的差异，包括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职责分工、系统开发、基础数据管理、信息收集等方面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现状差异分析。基于当前贵州农信预期信用损失法的实施现状，分析与《办法》要求的差异，包括风险分组、阶段划分、模型参数、前瞻性调整、管理层叠加、模型验证、实施评估、信用风险损失计提准备、信息披露等方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基于《办法》及同业实施现状，设计长期规划以备长足发展。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（二）完善管理体系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贵州农信及下辖行社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建立健全预期信用损失法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系，包括预期信用损失法实施管理制度、管理架构及管理流程。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具体内容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如下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针对全省农信两级法人管理模式，设计整体管理体系；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按《办法》要求，协助制定省联社层面（全省统一执行）的管理制度，并设计行社通用管理制度模板供行社参考；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设计省联社审批文档标准模板，并设计行社通用审批文档标准模板供行社参考；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协助内部审计部门设计内审流程和实施方案；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协助监事会设计预期信用损失法实施监督流程。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  <w:t>优化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模型参数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借鉴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同业实践，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结合贵州农信风险现状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设计不同场景模型方案，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并进行数据测算，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对预期信用损失模型进行全面优化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优化后的模型需要充分考虑不同行社的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，并确保实施落地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优化风险分组标准。协助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设计符合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办法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》要求的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敞口划分方案，评估与信用主体及其信用风险敞口相关的所有可获得的信息，根据产品类型、客户类型、客户所属行业及市场分布等信用风险特征，对信用风险敞口进行风险分组。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优化阶段划分标准。协助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设计符合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办法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要求的阶段划分方案，建立独立的、定量与定性相结合的阶段划分标准，确保阶段划分具有前瞻性，并制定符合监管要求的阶段划分迁徙标准。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优化前瞻性模型。协助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充分评估前瞻性信息对预期信用损失的影响，根据业务性质确定驱动信用风险变化的前瞻性信息指标，进一步优化前瞻性模型，提高前瞻性模型与风险分组的匹配度。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4.优化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单项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减值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评估模型方案，以供行社采用单项评估方式对单笔债项评估预期信用损失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搭建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管理层叠加模型。根据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办法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对管理层叠加模型的相关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要求，识别短期影响风险因素，引入定量定性模型方案，设计合理审慎的管理层叠加模型参数，并协助规范管理层叠加模型的管理制度及审批流程。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建立重检修正机制。根据管理办法要求，针对风险分组和阶段划分等内容协助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建立重检修正机制，明确重检修正标准，确保重检修正的合理性。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7.基于优化后的预期信用损失模型方案，构建减值模型归因框架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及模型敏感性测试，详细比较优化前后方案的不同点和影响分析，包括但不限于风险分组、阶段划分、模型参数等变更内容，分析相关参数变更及资产质量的变化等因素对拨备水平的影响情况，并论证其合理性。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  <w:t>建立模型验证体系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建立模型验证机制，提供验证方法论、验证政策制度等。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建立模型验证相关报表，设立验证指标、验证报表、验证方法、验证标准等，协助实现系统功能开发。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  <w:t>建立监控及报告体系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基于资产风险变化特征设置预期信用损失归因分析维度，识别异常变化，实现监控体系自动预警，提供监控指标及相应方法论。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行内报告体系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（包括董事会、监事会、高级管理层、内部审计部门），设计内部报告各项模板，同时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提供全面评估报告模板。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设计报送监管部门模板，并协助指导行社完成报送。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/>
          <w:i w:val="0"/>
          <w:i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i w:val="0"/>
          <w:iCs w:val="0"/>
          <w:snapToGrid w:val="0"/>
          <w:kern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" w:cs="Times New Roman"/>
          <w:b w:val="0"/>
          <w:bCs/>
          <w:i w:val="0"/>
          <w:iCs w:val="0"/>
          <w:snapToGrid w:val="0"/>
          <w:kern w:val="0"/>
          <w:sz w:val="32"/>
          <w:szCs w:val="32"/>
        </w:rPr>
        <w:t>系统及数据</w:t>
      </w:r>
      <w:r>
        <w:rPr>
          <w:rFonts w:hint="eastAsia" w:ascii="Times New Roman" w:hAnsi="Times New Roman" w:eastAsia="楷体" w:cs="Times New Roman"/>
          <w:b w:val="0"/>
          <w:bCs/>
          <w:i w:val="0"/>
          <w:iCs w:val="0"/>
          <w:snapToGrid w:val="0"/>
          <w:kern w:val="0"/>
          <w:sz w:val="32"/>
          <w:szCs w:val="32"/>
          <w:lang w:eastAsia="zh-CN"/>
        </w:rPr>
        <w:t>系统优</w:t>
      </w:r>
      <w:r>
        <w:rPr>
          <w:rFonts w:hint="default" w:ascii="Times New Roman" w:hAnsi="Times New Roman" w:eastAsia="楷体" w:cs="Times New Roman"/>
          <w:b w:val="0"/>
          <w:bCs/>
          <w:i w:val="0"/>
          <w:iCs w:val="0"/>
          <w:snapToGrid w:val="0"/>
          <w:kern w:val="0"/>
          <w:sz w:val="32"/>
          <w:szCs w:val="32"/>
        </w:rPr>
        <w:t>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根据咨询成果协助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进行系统改造，制定相应的系统解决方案，包括系统数据、减值计量、监控验证等方面的系统优化方案，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并确保能实施落地，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提高预期信用损失法的系统自动化水平。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2.提出数据治理及管理建议，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为预期信用损失法模型参数提供数据支撑，确保对外披露的信用风险损失准备计提结果可以复现。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 w:bidi="ar-SA"/>
        </w:rPr>
        <w:t>3.协助完成因核算变化导致报表取数规则变化的梳理工作。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  <w:t>投产前验证</w:t>
      </w:r>
      <w:r>
        <w:rPr>
          <w:rFonts w:hint="eastAsia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</w:rPr>
        <w:t>投产后验</w:t>
      </w:r>
      <w:r>
        <w:rPr>
          <w:rFonts w:hint="default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highlight w:val="none"/>
        </w:rPr>
        <w:t>证</w:t>
      </w:r>
      <w:r>
        <w:rPr>
          <w:rFonts w:hint="eastAsia" w:ascii="Times New Roman" w:hAnsi="Times New Roman" w:eastAsia="楷体" w:cs="Times New Roman"/>
          <w:b w:val="0"/>
          <w:bCs/>
          <w:snapToGrid w:val="0"/>
          <w:kern w:val="0"/>
          <w:sz w:val="32"/>
          <w:szCs w:val="32"/>
          <w:highlight w:val="none"/>
          <w:lang w:eastAsia="zh-CN"/>
        </w:rPr>
        <w:t>和第三方验证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预期信用损失模型投产前验证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模型设计的合理性验证。通过定量和定性验证方法，对模型设计的合理性进行验证，包括对预期信用损失模型建模使用的数据、建模样本数据、相关业务数据进行验证，对取数及数据加工处理和清洗的规则进行检查，以确保数据的完整性、全面性、准确性、一致性达到监管要求及建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参数设置的恰当性验证。对模型风险敞口划分、关键定义、阶段划分、多情景设置、前瞻性指标及预测结果、管理层叠加，以及模型中涉及的PD、LGD、EAD、CCF、存续期等模型重要参数设置规则进行验证，包括模型参数的有效性、预测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模型结果的可靠性验证。利用开发样本数据对计量模型结果进行检验，评估模型计量结果准确性，开展模型参数及结果的波动、前瞻性指标敏感性分析。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体系验证。主要包括与预期信用损失模型相配套的治理架构、报告体系、流程执行、数据管理等情况。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系统验证。对预期信用损失系统进行功能核验，主要包括相关数据的加工、减值计算逻辑的准确性和合理性等内容。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预期信用损失模型投产后验证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模型表现验证。利用历史数据对模型评估结果进行检验，评估模型结果的可靠性和准确性。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3.第三方验证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对贵州农信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预期信用损失法实施模型进行独立全面验证，验证内容包括实施范围、风险分组、阶段划分、预期信用损失法评估模型、前瞻性调整等。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验证报告。提供完整的预期信用损失模型验证报告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（包括投产前、投产后及第三方验证）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，涵盖模型验证方法论，模型开发方法论验证，模型结果验证等验证内容，并基于验证内容、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现状、监管要求等提出验证发现及改进意见。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</w:rPr>
        <w:t>知识转移培训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根据项目的不同阶段和工作进度，设计分阶段、分层次、全方位的知识转移方案，包括但不限于介绍领先的行业实践，本项目的优化过程、模型建立、模型管理、监控验证、全面评估等内容进行系统培训，实现项目成果的知识转移及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3-5名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人才培养。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  <w:lang w:val="en-US" w:eastAsia="zh-CN"/>
        </w:rPr>
        <w:t>（九）信息披露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设计信息披露模板及需披露的相关信息，如模型方法、参数信息等。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kern w:val="44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44"/>
          <w:sz w:val="32"/>
          <w:szCs w:val="32"/>
          <w:lang w:eastAsia="zh-CN" w:bidi="ar-SA"/>
        </w:rPr>
        <w:t>三、项目管理要求及成果交付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（一）项目管理要求</w:t>
      </w:r>
      <w:bookmarkStart w:id="1" w:name="_Toc45541488"/>
      <w:bookmarkStart w:id="2" w:name="_Toc247358690"/>
      <w:bookmarkStart w:id="3" w:name="_Toc423613179"/>
      <w:bookmarkStart w:id="4" w:name="_Toc24649279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中标方项目组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织架构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中标方提供的项目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须与其投标文件所提供的人员完全一致；否则必须经招标人书面同意后，方可更换人员。中标方必须提供稳定的人员,不得随意更换，遇特殊情况需更换人员的，必须提前15个工作日向招标方递交书面申请，经招标人面试及审批通过方可更换，否则按缺勤处理。招标人有权要求中标方更换不符合项目实施要求人员，且不能影响项目进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投标方应标时，须按以下格式提交项目组成员名单及简历。简历须包括相关工作年限、学历、相关资质证书、以往参与项目情况、在本项目承担的角色等。</w:t>
      </w:r>
    </w:p>
    <w:tbl>
      <w:tblPr>
        <w:tblStyle w:val="12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134"/>
        <w:gridCol w:w="833"/>
        <w:gridCol w:w="170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姓名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身份证号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年龄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工作年限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毕业院校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专业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学历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在本项目承担的角色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80" w:firstLineChars="200"/>
              <w:jc w:val="both"/>
              <w:rPr>
                <w:rFonts w:ascii="仿宋_GB2312" w:hAnsi="仿宋_GB2312" w:cs="仿宋_GB2312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相关资质证书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80" w:firstLineChars="200"/>
              <w:jc w:val="both"/>
              <w:rPr>
                <w:rFonts w:ascii="仿宋_GB2312" w:hAnsi="仿宋_GB2312" w:cs="仿宋_GB2312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eastAsia="zh-CN" w:bidi="ar-SA"/>
              </w:rPr>
              <w:t>以往参与项目情况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80" w:firstLineChars="200"/>
              <w:jc w:val="both"/>
              <w:rPr>
                <w:rFonts w:ascii="仿宋_GB2312" w:hAnsi="仿宋_GB2312" w:cs="仿宋_GB2312"/>
                <w:bCs/>
                <w:color w:val="000000"/>
                <w:kern w:val="2"/>
                <w:sz w:val="24"/>
                <w:szCs w:val="32"/>
                <w:lang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咨询团队包括项目经理、业务专家和其他成员等，要求：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项目经理1名。须具有5年及以上咨询服务经验，担任过至少1个国有商业银行总行、全国性股份制商业银行总行、省级农村信用社（农商行）或其他资产规模5000亿（含）以上商业银行的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预期信用损失法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项目咨询服务的项目经理（项目总监）经验，且中标后保证专职于此项目，能够全程参与、管控项目进度。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业务专家。业务专家须具有3年及以上咨询服务经验，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至少1个国有商业银行总行、全国性股份制商业银行总行、省级农村信用社（农商行）或其他资产规模2000亿（含）以上商业银行的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预期信用损失法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项目咨询服务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，且中标后保证专职于此项目，能够全程参与、管控项目进度。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其他成员。应至少参与过1个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预期信用社损失法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咨询服务项目。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以上人员资质为本项目基本要求，投标方可提供更高资质的各级别人员，并在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文件中详细描述。</w:t>
      </w:r>
    </w:p>
    <w:p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bookmarkStart w:id="5" w:name="_Toc45541489"/>
      <w:bookmarkStart w:id="6" w:name="_Toc246492793"/>
      <w:bookmarkStart w:id="7" w:name="_Toc247358695"/>
      <w:bookmarkStart w:id="8" w:name="_Toc246469703"/>
      <w:bookmarkStart w:id="9" w:name="_Toc245888263"/>
      <w:bookmarkStart w:id="10" w:name="_Toc423613182"/>
      <w:r>
        <w:rPr>
          <w:rFonts w:hint="default" w:ascii="Times New Roman" w:hAnsi="Times New Roman" w:eastAsia="仿宋_GB2312" w:cs="Times New Roman"/>
          <w:sz w:val="32"/>
          <w:szCs w:val="32"/>
        </w:rPr>
        <w:t>质量管理</w:t>
      </w:r>
      <w:bookmarkEnd w:id="5"/>
      <w:bookmarkEnd w:id="6"/>
      <w:bookmarkEnd w:id="7"/>
      <w:bookmarkEnd w:id="8"/>
      <w:bookmarkEnd w:id="9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中标方须建立独立于项目设计与实施的质量保证机制，建立一套全面的项目质量管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理体系。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中标方需要有质量保证人员来对项目的设计与实施进行审查，从而保证工作过程和项目的质量。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中标方须进行质量监测和关键点的质量评估。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中标方须编制项目的质量保障计划。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为保证项目的正常运行，投标方应提供项目执行跟踪和监控的具体措施，措施应包括项目状态周报制度、每周项目例会制度、阶段总结制度等。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中标方须建立项目变更流程，记录项目变更。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3.工作规范要求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遵守国家法律和政府的有关条例、规定和办法，以及贵州农信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相关管理规定开展工作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中标方需充分利用贵州农信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现有风险管理成果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，在此基础上进行充分的需求分析与讨论，再撰写业务需求说明书和软件需求说明书。并在后续项目实施落地过程中，通过指派陪跑方式，确保需求成功落地投产。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在项目重要节点，根据招标方要求提供完整准确、详实生动的汇报材料，配合招标方进行汇报和宣讲工作。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中标方需帮助招标方培养需求分析团队，招标方项目组成员将全程参与咨询全部过程，中标方需积极配合。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按照项目时间要求完成相应交付品，且确保文档的形式和内容满足要求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保证充分的知识转移工作，确保项目组及招标方相关人员已掌握相应原理和方法论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并指导招标方开展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（8）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各项工作内容交付物应包括工作过程中产生的文档、工作成果、分析报告（如有）以及与项目有关的其他重要文件。文档应同时以电子和纸质形式交付，文档内容应完整详实、数据准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确、论证充分，且结论明确。经双方确认的关键性文档应由出具人签字，并加盖公章及相关印章。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（二）项目交付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中标方必须在合同规</w:t>
      </w:r>
      <w:r>
        <w:rPr>
          <w:rFonts w:hint="eastAsia" w:ascii="仿宋_GB2312" w:hAnsi="仿宋_GB2312" w:eastAsia="仿宋_GB2312" w:cs="仿宋_GB2312"/>
          <w:sz w:val="32"/>
          <w:szCs w:val="32"/>
        </w:rPr>
        <w:t>定时间内，完成本项目的咨询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将招标范围内所界定的工作完成。在通过验收后，中标方需将所有项目成果交付给招标方。交付的所有文档均应提交电子版及印刷版，另有说明的除外，交付物内容必须与实际工作情况相一致，其质量必须符合招标方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12"/>
        <w:tblW w:w="83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1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项目阶段</w:t>
            </w:r>
          </w:p>
        </w:tc>
        <w:tc>
          <w:tcPr>
            <w:tcW w:w="64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项目启动阶段</w:t>
            </w: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项目总体计划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启动会汇报材料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项目实施阶段</w:t>
            </w: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预期信用损失法现状诊断与差距分析报告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预期信用损失法实施管理制度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1.修订现行减值相关制度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2.预期信用损失法实施管理办法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模型优化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1.预期信用损失法模型优化方案（即对现有预期信用损失减值模型全面优化方案）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2.预期信用损失模型方法论及其操作手册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3.预期信用损失优化影响分析报告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模型验证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1.预期信用损失法模型内部验证制度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2.预期信用损失法模型内部验证报告（含投产前验证、投产后验证、第三方验证）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信息披露相关模板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系统改造需求说明书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项目报告阶段</w:t>
            </w: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预期信用损失法实施情况报告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知识转移阶段</w:t>
            </w: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预期信用损失法实施概要及监管差距分析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风险分组方法论和同业实践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阶段划分方法论和同业实践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预期信用损失中宏观经济前瞻性调整的同业实践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前瞻性模型建模方法论和同业实践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管理层叠加模型的同业实践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预期信用损失模型验证方法论和同业实践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预期信用损失模型监控和评估方案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模型风险管理同业实践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本项目优化成果及影响分析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根据项目进度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开展多次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预期信用损失法相关培训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restart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Merge w:val="continue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问题/事件报告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四、维保服务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本次招标所采购咨询服务的后续支持工作，提供1年免费咨询维护服务，协助招标人复核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预期信用损失法执行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结果，检查、调整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风险分组、阶段划分、预期信用损失法评估模型、前瞻性调整等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，提出方案优化、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重检修正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、减值模型重估等解决方案。协助招标人做好执行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预期信用损失法对监管部门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的咨询解释工作。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协助本系统与各外围系统集成问题的诊断和处理。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投标人对项目的售后服务承诺应在投标文件中予以详细说明，含免费服务和付费服务以及培训承诺、其他服务项目的详细说明等。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（四）中标方在保障咨询期间提供的咨询服务应规范、及时、有效、准确，确保不发生咨询结果偏离实际的情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chineseCountingThousand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2"/>
      <w:numFmt w:val="decimal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1857" w:hanging="8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3EDD"/>
    <w:rsid w:val="03823941"/>
    <w:rsid w:val="038417EA"/>
    <w:rsid w:val="061570E3"/>
    <w:rsid w:val="077C0448"/>
    <w:rsid w:val="08FF2FF4"/>
    <w:rsid w:val="0A7A1740"/>
    <w:rsid w:val="0AF01D44"/>
    <w:rsid w:val="0CCE1F8E"/>
    <w:rsid w:val="0E0438DD"/>
    <w:rsid w:val="0F606597"/>
    <w:rsid w:val="11EA35E4"/>
    <w:rsid w:val="16F756CC"/>
    <w:rsid w:val="19D26025"/>
    <w:rsid w:val="19DE0ED2"/>
    <w:rsid w:val="1F3C2814"/>
    <w:rsid w:val="249C1A62"/>
    <w:rsid w:val="27AC4161"/>
    <w:rsid w:val="28492945"/>
    <w:rsid w:val="2B21430E"/>
    <w:rsid w:val="307166FA"/>
    <w:rsid w:val="30846A08"/>
    <w:rsid w:val="352D7510"/>
    <w:rsid w:val="37385F99"/>
    <w:rsid w:val="39D23C01"/>
    <w:rsid w:val="447777A4"/>
    <w:rsid w:val="4B2E724D"/>
    <w:rsid w:val="5483451B"/>
    <w:rsid w:val="559A0C52"/>
    <w:rsid w:val="55D60784"/>
    <w:rsid w:val="57150336"/>
    <w:rsid w:val="5B0A7134"/>
    <w:rsid w:val="6269133A"/>
    <w:rsid w:val="66952620"/>
    <w:rsid w:val="69235F24"/>
    <w:rsid w:val="692741D0"/>
    <w:rsid w:val="6E3C6B29"/>
    <w:rsid w:val="71BE7C46"/>
    <w:rsid w:val="73EC6C25"/>
    <w:rsid w:val="76E41B4E"/>
    <w:rsid w:val="78B41CB5"/>
    <w:rsid w:val="78E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9"/>
    <w:pPr>
      <w:keepNext/>
      <w:keepLines/>
      <w:numPr>
        <w:ilvl w:val="1"/>
        <w:numId w:val="1"/>
      </w:numPr>
      <w:adjustRightInd w:val="0"/>
      <w:snapToGrid w:val="0"/>
      <w:spacing w:before="120" w:after="120"/>
      <w:jc w:val="both"/>
      <w:outlineLvl w:val="1"/>
    </w:pPr>
    <w:rPr>
      <w:rFonts w:ascii="黑体" w:hAnsi="黑体" w:eastAsia="黑体" w:cs="黑体"/>
      <w:bCs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rPr>
      <w:sz w:val="16"/>
      <w:szCs w:val="16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widowControl/>
      <w:snapToGrid w:val="0"/>
      <w:spacing w:line="240" w:lineRule="auto"/>
      <w:jc w:val="left"/>
    </w:pPr>
    <w:rPr>
      <w:rFonts w:ascii="Arial" w:hAnsi="Arial" w:cs="宋体"/>
      <w:kern w:val="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11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paragraph" w:customStyle="1" w:styleId="14">
    <w:name w:val="PwC Normal"/>
    <w:basedOn w:val="1"/>
    <w:qFormat/>
    <w:uiPriority w:val="99"/>
    <w:pPr>
      <w:spacing w:before="180" w:after="180" w:line="240" w:lineRule="atLeast"/>
    </w:p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2023-08-07T14:03:00Z</dcterms:created>
  <dc:creator>Administrator</dc:creator>
  <cp:lastModifiedBy>100171-石经</cp:lastModifiedBy>
  <dcterms:modified xsi:type="dcterms:W3CDTF">2023-08-11T06:07:07Z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