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56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贵州龙里农村商业银行股份有限公司</w:t>
      </w:r>
    </w:p>
    <w:p>
      <w:pPr>
        <w:pageBreakBefore w:val="0"/>
        <w:kinsoku/>
        <w:overflowPunct/>
        <w:topLinePunct w:val="0"/>
        <w:bidi w:val="0"/>
        <w:adjustRightInd/>
        <w:spacing w:line="56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年度环境信息披露报告</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黑体" w:hAnsi="黑体" w:eastAsia="黑体" w:cs="黑体"/>
          <w:sz w:val="28"/>
          <w:szCs w:val="28"/>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黑体" w:hAnsi="黑体" w:eastAsia="黑体" w:cs="黑体"/>
          <w:sz w:val="28"/>
          <w:szCs w:val="28"/>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报告时间：</w:t>
      </w:r>
      <w:r>
        <w:rPr>
          <w:rFonts w:hint="eastAsia" w:ascii="仿宋_GB2312" w:hAnsi="仿宋_GB2312" w:eastAsia="仿宋_GB2312" w:cs="仿宋_GB2312"/>
          <w:sz w:val="28"/>
          <w:szCs w:val="28"/>
        </w:rPr>
        <w:t>2022年1月1日至2022年12月31日</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报告周期：</w:t>
      </w:r>
      <w:r>
        <w:rPr>
          <w:rFonts w:hint="eastAsia" w:ascii="仿宋_GB2312" w:hAnsi="仿宋_GB2312" w:eastAsia="仿宋_GB2312" w:cs="仿宋_GB2312"/>
          <w:sz w:val="28"/>
          <w:szCs w:val="28"/>
        </w:rPr>
        <w:t>年度报告</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编制单位：</w:t>
      </w:r>
      <w:r>
        <w:rPr>
          <w:rFonts w:hint="eastAsia" w:ascii="仿宋_GB2312" w:hAnsi="仿宋_GB2312" w:eastAsia="仿宋_GB2312" w:cs="仿宋_GB2312"/>
          <w:sz w:val="28"/>
          <w:szCs w:val="28"/>
        </w:rPr>
        <w:t>贵州龙里农村商业银行股份有限公司</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数据说明：</w:t>
      </w:r>
      <w:r>
        <w:rPr>
          <w:rFonts w:hint="eastAsia" w:ascii="仿宋_GB2312" w:hAnsi="仿宋_GB2312" w:eastAsia="仿宋_GB2312" w:cs="仿宋_GB2312"/>
          <w:sz w:val="28"/>
          <w:szCs w:val="28"/>
        </w:rPr>
        <w:t>本报告数据截至2022年12月31日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数据主要来自内部文件和相关统计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如无特别说明，报告中涉及货币金额均以人民币列示。</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编制依据：</w:t>
      </w:r>
      <w:r>
        <w:rPr>
          <w:rFonts w:hint="eastAsia" w:ascii="仿宋_GB2312" w:hAnsi="仿宋_GB2312" w:eastAsia="仿宋_GB2312" w:cs="仿宋_GB2312"/>
          <w:sz w:val="28"/>
          <w:szCs w:val="28"/>
        </w:rPr>
        <w:t>本报告根据中华人民共和国金融行业标准（JR/T0227—2021）《金融机构环境信息披露指南》等有关要求进行编制。</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指代说明：</w:t>
      </w:r>
      <w:r>
        <w:rPr>
          <w:rFonts w:hint="eastAsia" w:ascii="仿宋_GB2312" w:hAnsi="仿宋_GB2312" w:eastAsia="仿宋_GB2312" w:cs="仿宋_GB2312"/>
          <w:sz w:val="28"/>
          <w:szCs w:val="28"/>
        </w:rPr>
        <w:t>为便于表达，贵州龙里农村商业银行股份有限公司</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简称“</w:t>
      </w:r>
      <w:r>
        <w:rPr>
          <w:rFonts w:hint="eastAsia" w:ascii="仿宋_GB2312" w:hAnsi="仿宋_GB2312" w:eastAsia="仿宋_GB2312" w:cs="仿宋_GB2312"/>
          <w:sz w:val="28"/>
          <w:szCs w:val="28"/>
          <w:lang w:val="en-US" w:eastAsia="zh-CN"/>
        </w:rPr>
        <w:t>龙里农商银行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cs="仿宋_GB2312"/>
          <w:sz w:val="28"/>
          <w:szCs w:val="28"/>
          <w:lang w:val="en-US" w:eastAsia="zh-CN"/>
        </w:rPr>
        <w:t>我行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发布形式：</w:t>
      </w:r>
      <w:r>
        <w:rPr>
          <w:rFonts w:hint="eastAsia" w:ascii="仿宋_GB2312" w:hAnsi="仿宋_GB2312" w:eastAsia="仿宋_GB2312" w:cs="仿宋_GB2312"/>
          <w:sz w:val="28"/>
          <w:szCs w:val="28"/>
        </w:rPr>
        <w:t>本报告采用网络电子版形式，发布于“www.gznxbank.com”、微信公众号等网络平台。</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rPr>
        <w:t>联系方式：</w:t>
      </w:r>
      <w:r>
        <w:rPr>
          <w:rFonts w:hint="eastAsia" w:ascii="仿宋_GB2312" w:hAnsi="仿宋_GB2312" w:eastAsia="仿宋_GB2312" w:cs="仿宋_GB2312"/>
          <w:sz w:val="28"/>
          <w:szCs w:val="28"/>
        </w:rPr>
        <w:t>贵州龙里农村商业银行股份有限公司</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地址：贵州省</w:t>
      </w:r>
      <w:r>
        <w:rPr>
          <w:rFonts w:hint="eastAsia" w:ascii="仿宋_GB2312" w:hAnsi="仿宋_GB2312" w:eastAsia="仿宋_GB2312" w:cs="仿宋_GB2312"/>
          <w:sz w:val="28"/>
          <w:szCs w:val="28"/>
          <w:lang w:val="en-US" w:eastAsia="zh-CN"/>
        </w:rPr>
        <w:t>黔南布依族苗族自治州龙里县冠山街道环北路</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邮编：55</w:t>
      </w:r>
      <w:r>
        <w:rPr>
          <w:rFonts w:hint="eastAsia" w:ascii="仿宋_GB2312" w:hAnsi="仿宋_GB2312" w:eastAsia="仿宋_GB2312" w:cs="仿宋_GB2312"/>
          <w:sz w:val="28"/>
          <w:szCs w:val="28"/>
          <w:lang w:val="en-US" w:eastAsia="zh-CN"/>
        </w:rPr>
        <w:t>1200</w:t>
      </w:r>
      <w:r>
        <w:rPr>
          <w:rFonts w:hint="default" w:ascii="仿宋_GB2312" w:hAnsi="仿宋_GB2312" w:eastAsia="仿宋_GB2312" w:cs="仿宋_GB2312"/>
          <w:sz w:val="28"/>
          <w:szCs w:val="28"/>
        </w:rPr>
        <w:t>，</w:t>
      </w:r>
      <w:r>
        <w:rPr>
          <w:rFonts w:hint="eastAsia" w:ascii="仿宋_GB2312" w:hAnsi="仿宋_GB2312" w:eastAsia="仿宋_GB2312" w:cs="仿宋_GB2312"/>
          <w:sz w:val="28"/>
          <w:szCs w:val="28"/>
        </w:rPr>
        <w:t>电话：</w:t>
      </w:r>
      <w:r>
        <w:rPr>
          <w:rFonts w:hint="eastAsia" w:ascii="仿宋_GB2312" w:hAnsi="仿宋_GB2312" w:eastAsia="仿宋_GB2312" w:cs="仿宋_GB2312"/>
          <w:color w:val="000000"/>
          <w:sz w:val="32"/>
          <w:szCs w:val="32"/>
        </w:rPr>
        <w:t>0854-</w:t>
      </w:r>
      <w:r>
        <w:rPr>
          <w:rFonts w:hint="eastAsia" w:ascii="仿宋_GB2312" w:hAnsi="仿宋_GB2312" w:eastAsia="仿宋_GB2312" w:cs="仿宋_GB2312"/>
          <w:color w:val="000000"/>
          <w:sz w:val="32"/>
          <w:szCs w:val="32"/>
          <w:lang w:val="en-US" w:eastAsia="zh-CN"/>
        </w:rPr>
        <w:t>5634065</w:t>
      </w: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p>
      <w:pPr>
        <w:pStyle w:val="2"/>
        <w:pageBreakBefore w:val="0"/>
        <w:kinsoku/>
        <w:overflowPunct/>
        <w:topLinePunct w:val="0"/>
        <w:bidi w:val="0"/>
        <w:adjustRightInd/>
        <w:spacing w:line="560" w:lineRule="exact"/>
        <w:ind w:left="0" w:leftChars="0" w:firstLine="0" w:firstLineChars="0"/>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pageBreakBefore w:val="0"/>
        <w:kinsoku/>
        <w:overflowPunct/>
        <w:topLinePunct w:val="0"/>
        <w:bidi w:val="0"/>
        <w:adjustRightInd/>
        <w:spacing w:line="560" w:lineRule="exact"/>
        <w:ind w:left="0" w:leftChars="0" w:firstLine="880" w:firstLineChars="200"/>
        <w:rPr>
          <w:rFonts w:hint="eastAsia" w:ascii="方正小标宋简体" w:hAnsi="方正小标宋简体" w:eastAsia="方正小标宋简体" w:cs="方正小标宋简体"/>
          <w:sz w:val="44"/>
          <w:szCs w:val="44"/>
        </w:rPr>
      </w:pPr>
    </w:p>
    <w:sdt>
      <w:sdtPr>
        <w:rPr>
          <w:rFonts w:hint="eastAsia" w:ascii="黑体" w:hAnsi="黑体" w:eastAsia="黑体" w:cs="黑体"/>
          <w:kern w:val="2"/>
          <w:sz w:val="32"/>
          <w:szCs w:val="32"/>
          <w:lang w:val="en-US" w:eastAsia="zh-CN" w:bidi="ar-SA"/>
        </w:rPr>
        <w:id w:val="147453074"/>
        <w15:color w:val="DBDBDB"/>
        <w:docPartObj>
          <w:docPartGallery w:val="Table of Contents"/>
          <w:docPartUnique/>
        </w:docPartObj>
      </w:sdtPr>
      <w:sdtEndPr>
        <w:rPr>
          <w:rFonts w:hint="eastAsia" w:ascii="黑体" w:hAnsi="黑体" w:eastAsia="黑体" w:cs="黑体"/>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目录</w:t>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_Toc18156 </w:instrText>
          </w:r>
          <w:r>
            <w:rPr>
              <w:b/>
              <w:sz w:val="24"/>
              <w:szCs w:val="24"/>
            </w:rPr>
            <w:fldChar w:fldCharType="separate"/>
          </w:r>
          <w:r>
            <w:rPr>
              <w:rFonts w:hint="eastAsia"/>
              <w:b/>
              <w:sz w:val="24"/>
              <w:szCs w:val="24"/>
              <w:lang w:val="en-US" w:eastAsia="zh-CN"/>
            </w:rPr>
            <w:t>一、年度概况</w:t>
          </w:r>
          <w:r>
            <w:rPr>
              <w:b/>
              <w:sz w:val="24"/>
              <w:szCs w:val="24"/>
            </w:rPr>
            <w:tab/>
          </w:r>
          <w:r>
            <w:rPr>
              <w:b/>
              <w:sz w:val="24"/>
              <w:szCs w:val="24"/>
            </w:rPr>
            <w:fldChar w:fldCharType="begin"/>
          </w:r>
          <w:r>
            <w:rPr>
              <w:b/>
              <w:sz w:val="24"/>
              <w:szCs w:val="24"/>
            </w:rPr>
            <w:instrText xml:space="preserve"> PAGEREF _Toc18156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_Toc12538 </w:instrText>
          </w:r>
          <w:r>
            <w:rPr>
              <w:sz w:val="24"/>
              <w:szCs w:val="24"/>
            </w:rPr>
            <w:fldChar w:fldCharType="separate"/>
          </w:r>
          <w:r>
            <w:rPr>
              <w:rFonts w:hint="eastAsia"/>
              <w:sz w:val="24"/>
              <w:szCs w:val="24"/>
            </w:rPr>
            <w:t>（一）</w:t>
          </w:r>
          <w:r>
            <w:rPr>
              <w:rFonts w:hint="eastAsia"/>
              <w:sz w:val="24"/>
              <w:szCs w:val="24"/>
              <w:lang w:val="en-US" w:eastAsia="zh-CN"/>
            </w:rPr>
            <w:t>基本情况</w:t>
          </w:r>
          <w:r>
            <w:rPr>
              <w:sz w:val="24"/>
              <w:szCs w:val="24"/>
            </w:rPr>
            <w:tab/>
          </w:r>
          <w:r>
            <w:rPr>
              <w:sz w:val="24"/>
              <w:szCs w:val="24"/>
            </w:rPr>
            <w:fldChar w:fldCharType="begin"/>
          </w:r>
          <w:r>
            <w:rPr>
              <w:sz w:val="24"/>
              <w:szCs w:val="24"/>
            </w:rPr>
            <w:instrText xml:space="preserve"> PAGEREF _Toc12538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_Toc31298 </w:instrText>
          </w:r>
          <w:r>
            <w:rPr>
              <w:sz w:val="24"/>
              <w:szCs w:val="24"/>
            </w:rPr>
            <w:fldChar w:fldCharType="separate"/>
          </w:r>
          <w:r>
            <w:rPr>
              <w:rFonts w:hint="eastAsia"/>
              <w:sz w:val="24"/>
              <w:szCs w:val="24"/>
              <w:lang w:val="en-US" w:eastAsia="zh-CN"/>
            </w:rPr>
            <w:t>（二）绿色金融亮点</w:t>
          </w:r>
          <w:r>
            <w:rPr>
              <w:sz w:val="24"/>
              <w:szCs w:val="24"/>
            </w:rPr>
            <w:tab/>
          </w:r>
          <w:r>
            <w:rPr>
              <w:sz w:val="24"/>
              <w:szCs w:val="24"/>
            </w:rPr>
            <w:fldChar w:fldCharType="begin"/>
          </w:r>
          <w:r>
            <w:rPr>
              <w:sz w:val="24"/>
              <w:szCs w:val="24"/>
            </w:rPr>
            <w:instrText xml:space="preserve"> PAGEREF _Toc31298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_Toc29888 </w:instrText>
          </w:r>
          <w:r>
            <w:rPr>
              <w:sz w:val="24"/>
              <w:szCs w:val="24"/>
            </w:rPr>
            <w:fldChar w:fldCharType="separate"/>
          </w:r>
          <w:r>
            <w:rPr>
              <w:rFonts w:hint="eastAsia"/>
              <w:sz w:val="24"/>
              <w:szCs w:val="24"/>
            </w:rPr>
            <w:t>（</w:t>
          </w:r>
          <w:r>
            <w:rPr>
              <w:rFonts w:hint="eastAsia"/>
              <w:sz w:val="24"/>
              <w:szCs w:val="24"/>
              <w:lang w:val="en-US" w:eastAsia="zh-CN"/>
            </w:rPr>
            <w:t>三</w:t>
          </w:r>
          <w:r>
            <w:rPr>
              <w:rFonts w:hint="eastAsia"/>
              <w:sz w:val="24"/>
              <w:szCs w:val="24"/>
            </w:rPr>
            <w:t>）规划与目标</w:t>
          </w:r>
          <w:r>
            <w:rPr>
              <w:sz w:val="24"/>
              <w:szCs w:val="24"/>
            </w:rPr>
            <w:tab/>
          </w:r>
          <w:r>
            <w:rPr>
              <w:sz w:val="24"/>
              <w:szCs w:val="24"/>
            </w:rPr>
            <w:fldChar w:fldCharType="begin"/>
          </w:r>
          <w:r>
            <w:rPr>
              <w:sz w:val="24"/>
              <w:szCs w:val="24"/>
            </w:rPr>
            <w:instrText xml:space="preserve"> PAGEREF _Toc29888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_Toc31796 </w:instrText>
          </w:r>
          <w:r>
            <w:rPr>
              <w:sz w:val="24"/>
              <w:szCs w:val="24"/>
            </w:rPr>
            <w:fldChar w:fldCharType="separate"/>
          </w:r>
          <w:r>
            <w:rPr>
              <w:rFonts w:hint="eastAsia"/>
              <w:sz w:val="24"/>
              <w:szCs w:val="24"/>
            </w:rPr>
            <w:t>（</w:t>
          </w:r>
          <w:r>
            <w:rPr>
              <w:rFonts w:hint="eastAsia"/>
              <w:sz w:val="24"/>
              <w:szCs w:val="24"/>
              <w:lang w:val="en-US" w:eastAsia="zh-CN"/>
            </w:rPr>
            <w:t>四</w:t>
          </w:r>
          <w:r>
            <w:rPr>
              <w:rFonts w:hint="eastAsia"/>
              <w:sz w:val="24"/>
              <w:szCs w:val="24"/>
            </w:rPr>
            <w:t>）关键成果与绩效</w:t>
          </w:r>
          <w:r>
            <w:rPr>
              <w:sz w:val="24"/>
              <w:szCs w:val="24"/>
            </w:rPr>
            <w:tab/>
          </w:r>
          <w:r>
            <w:rPr>
              <w:sz w:val="24"/>
              <w:szCs w:val="24"/>
            </w:rPr>
            <w:fldChar w:fldCharType="begin"/>
          </w:r>
          <w:r>
            <w:rPr>
              <w:sz w:val="24"/>
              <w:szCs w:val="24"/>
            </w:rPr>
            <w:instrText xml:space="preserve"> PAGEREF _Toc31796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_Toc20326 </w:instrText>
          </w:r>
          <w:r>
            <w:rPr>
              <w:b/>
              <w:sz w:val="24"/>
              <w:szCs w:val="24"/>
            </w:rPr>
            <w:fldChar w:fldCharType="separate"/>
          </w:r>
          <w:r>
            <w:rPr>
              <w:rFonts w:hint="eastAsia"/>
              <w:b/>
              <w:sz w:val="24"/>
              <w:szCs w:val="24"/>
            </w:rPr>
            <w:t>二、环境相关治理结构</w:t>
          </w:r>
          <w:r>
            <w:rPr>
              <w:b/>
              <w:sz w:val="24"/>
              <w:szCs w:val="24"/>
            </w:rPr>
            <w:tab/>
          </w:r>
          <w:r>
            <w:rPr>
              <w:b/>
              <w:sz w:val="24"/>
              <w:szCs w:val="24"/>
            </w:rPr>
            <w:fldChar w:fldCharType="begin"/>
          </w:r>
          <w:r>
            <w:rPr>
              <w:b/>
              <w:sz w:val="24"/>
              <w:szCs w:val="24"/>
            </w:rPr>
            <w:instrText xml:space="preserve"> PAGEREF _Toc20326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_Toc15051 </w:instrText>
          </w:r>
          <w:r>
            <w:rPr>
              <w:sz w:val="24"/>
              <w:szCs w:val="24"/>
            </w:rPr>
            <w:fldChar w:fldCharType="separate"/>
          </w:r>
          <w:r>
            <w:rPr>
              <w:rFonts w:hint="eastAsia"/>
              <w:sz w:val="24"/>
              <w:szCs w:val="24"/>
            </w:rPr>
            <w:t>（一）董事会</w:t>
          </w:r>
          <w:r>
            <w:rPr>
              <w:rFonts w:hint="eastAsia"/>
              <w:sz w:val="24"/>
              <w:szCs w:val="24"/>
              <w:lang w:val="en-US" w:eastAsia="zh-CN"/>
            </w:rPr>
            <w:t>及经营</w:t>
          </w:r>
          <w:r>
            <w:rPr>
              <w:rFonts w:hint="eastAsia"/>
              <w:sz w:val="24"/>
              <w:szCs w:val="24"/>
            </w:rPr>
            <w:t>层</w:t>
          </w:r>
          <w:r>
            <w:rPr>
              <w:sz w:val="24"/>
              <w:szCs w:val="24"/>
            </w:rPr>
            <w:tab/>
          </w:r>
          <w:r>
            <w:rPr>
              <w:sz w:val="24"/>
              <w:szCs w:val="24"/>
            </w:rPr>
            <w:fldChar w:fldCharType="begin"/>
          </w:r>
          <w:r>
            <w:rPr>
              <w:sz w:val="24"/>
              <w:szCs w:val="24"/>
            </w:rPr>
            <w:instrText xml:space="preserve"> PAGEREF _Toc15051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_Toc28139 </w:instrText>
          </w:r>
          <w:r>
            <w:rPr>
              <w:sz w:val="24"/>
              <w:szCs w:val="24"/>
            </w:rPr>
            <w:fldChar w:fldCharType="separate"/>
          </w:r>
          <w:r>
            <w:rPr>
              <w:rFonts w:hint="eastAsia"/>
              <w:sz w:val="24"/>
              <w:szCs w:val="24"/>
            </w:rPr>
            <w:t>（二）</w:t>
          </w:r>
          <w:r>
            <w:rPr>
              <w:rFonts w:hint="eastAsia"/>
              <w:sz w:val="24"/>
              <w:szCs w:val="24"/>
              <w:lang w:val="en-US" w:eastAsia="zh-CN"/>
            </w:rPr>
            <w:t>归口管理部门</w:t>
          </w:r>
          <w:r>
            <w:rPr>
              <w:sz w:val="24"/>
              <w:szCs w:val="24"/>
            </w:rPr>
            <w:tab/>
          </w:r>
          <w:r>
            <w:rPr>
              <w:sz w:val="24"/>
              <w:szCs w:val="24"/>
            </w:rPr>
            <w:fldChar w:fldCharType="begin"/>
          </w:r>
          <w:r>
            <w:rPr>
              <w:sz w:val="24"/>
              <w:szCs w:val="24"/>
            </w:rPr>
            <w:instrText xml:space="preserve"> PAGEREF _Toc28139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_Toc30161 </w:instrText>
          </w:r>
          <w:r>
            <w:rPr>
              <w:sz w:val="24"/>
              <w:szCs w:val="24"/>
            </w:rPr>
            <w:fldChar w:fldCharType="separate"/>
          </w: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lang w:val="en-US" w:eastAsia="zh-CN"/>
            </w:rPr>
            <w:t>营业网点</w:t>
          </w:r>
          <w:r>
            <w:rPr>
              <w:sz w:val="24"/>
              <w:szCs w:val="24"/>
            </w:rPr>
            <w:tab/>
          </w:r>
          <w:r>
            <w:rPr>
              <w:sz w:val="24"/>
              <w:szCs w:val="24"/>
            </w:rPr>
            <w:fldChar w:fldCharType="begin"/>
          </w:r>
          <w:r>
            <w:rPr>
              <w:sz w:val="24"/>
              <w:szCs w:val="24"/>
            </w:rPr>
            <w:instrText xml:space="preserve"> PAGEREF _Toc30161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_Toc14018 </w:instrText>
          </w:r>
          <w:r>
            <w:rPr>
              <w:b/>
              <w:sz w:val="24"/>
              <w:szCs w:val="24"/>
            </w:rPr>
            <w:fldChar w:fldCharType="separate"/>
          </w:r>
          <w:r>
            <w:rPr>
              <w:rFonts w:hint="eastAsia"/>
              <w:b/>
              <w:sz w:val="24"/>
              <w:szCs w:val="24"/>
            </w:rPr>
            <w:t>三、环境相关政策制度</w:t>
          </w:r>
          <w:r>
            <w:rPr>
              <w:b/>
              <w:sz w:val="24"/>
              <w:szCs w:val="24"/>
            </w:rPr>
            <w:tab/>
          </w:r>
          <w:r>
            <w:rPr>
              <w:b/>
              <w:sz w:val="24"/>
              <w:szCs w:val="24"/>
            </w:rPr>
            <w:fldChar w:fldCharType="begin"/>
          </w:r>
          <w:r>
            <w:rPr>
              <w:b/>
              <w:sz w:val="24"/>
              <w:szCs w:val="24"/>
            </w:rPr>
            <w:instrText xml:space="preserve"> PAGEREF _Toc14018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_Toc29879 </w:instrText>
          </w:r>
          <w:r>
            <w:rPr>
              <w:sz w:val="24"/>
              <w:szCs w:val="24"/>
            </w:rPr>
            <w:fldChar w:fldCharType="separate"/>
          </w:r>
          <w:r>
            <w:rPr>
              <w:rFonts w:hint="eastAsia"/>
              <w:sz w:val="24"/>
              <w:szCs w:val="24"/>
            </w:rPr>
            <w:t>（一）</w:t>
          </w:r>
          <w:r>
            <w:rPr>
              <w:rFonts w:hint="eastAsia"/>
              <w:sz w:val="24"/>
              <w:szCs w:val="24"/>
              <w:lang w:val="en-US" w:eastAsia="zh-CN"/>
            </w:rPr>
            <w:t>省联社</w:t>
          </w:r>
          <w:r>
            <w:rPr>
              <w:rFonts w:hint="eastAsia"/>
              <w:sz w:val="24"/>
              <w:szCs w:val="24"/>
            </w:rPr>
            <w:t>政策制度</w:t>
          </w:r>
          <w:r>
            <w:rPr>
              <w:sz w:val="24"/>
              <w:szCs w:val="24"/>
            </w:rPr>
            <w:tab/>
          </w:r>
          <w:r>
            <w:rPr>
              <w:sz w:val="24"/>
              <w:szCs w:val="24"/>
            </w:rPr>
            <w:fldChar w:fldCharType="begin"/>
          </w:r>
          <w:r>
            <w:rPr>
              <w:sz w:val="24"/>
              <w:szCs w:val="24"/>
            </w:rPr>
            <w:instrText xml:space="preserve"> PAGEREF _Toc29879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_Toc13474 </w:instrText>
          </w:r>
          <w:r>
            <w:rPr>
              <w:sz w:val="24"/>
              <w:szCs w:val="24"/>
            </w:rPr>
            <w:fldChar w:fldCharType="separate"/>
          </w:r>
          <w:r>
            <w:rPr>
              <w:rFonts w:hint="eastAsia"/>
              <w:sz w:val="24"/>
              <w:szCs w:val="24"/>
            </w:rPr>
            <w:t>（二）内部政策制度</w:t>
          </w:r>
          <w:r>
            <w:rPr>
              <w:sz w:val="24"/>
              <w:szCs w:val="24"/>
            </w:rPr>
            <w:tab/>
          </w:r>
          <w:r>
            <w:rPr>
              <w:sz w:val="24"/>
              <w:szCs w:val="24"/>
            </w:rPr>
            <w:fldChar w:fldCharType="begin"/>
          </w:r>
          <w:r>
            <w:rPr>
              <w:sz w:val="24"/>
              <w:szCs w:val="24"/>
            </w:rPr>
            <w:instrText xml:space="preserve"> PAGEREF _Toc13474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_Toc10589 </w:instrText>
          </w:r>
          <w:r>
            <w:rPr>
              <w:b/>
              <w:sz w:val="24"/>
              <w:szCs w:val="24"/>
            </w:rPr>
            <w:fldChar w:fldCharType="separate"/>
          </w:r>
          <w:r>
            <w:rPr>
              <w:rFonts w:hint="eastAsia"/>
              <w:b/>
              <w:sz w:val="24"/>
              <w:szCs w:val="24"/>
              <w:lang w:val="en-US" w:eastAsia="zh-CN"/>
            </w:rPr>
            <w:t>四、产品与服务创新</w:t>
          </w:r>
          <w:r>
            <w:rPr>
              <w:b/>
              <w:sz w:val="24"/>
              <w:szCs w:val="24"/>
            </w:rPr>
            <w:tab/>
          </w:r>
          <w:r>
            <w:rPr>
              <w:b/>
              <w:sz w:val="24"/>
              <w:szCs w:val="24"/>
            </w:rPr>
            <w:fldChar w:fldCharType="begin"/>
          </w:r>
          <w:r>
            <w:rPr>
              <w:b/>
              <w:sz w:val="24"/>
              <w:szCs w:val="24"/>
            </w:rPr>
            <w:instrText xml:space="preserve"> PAGEREF _Toc10589 \h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_Toc4343 </w:instrText>
          </w:r>
          <w:r>
            <w:rPr>
              <w:b/>
              <w:sz w:val="24"/>
              <w:szCs w:val="24"/>
            </w:rPr>
            <w:fldChar w:fldCharType="separate"/>
          </w:r>
          <w:r>
            <w:rPr>
              <w:rFonts w:hint="eastAsia"/>
              <w:b/>
              <w:sz w:val="24"/>
              <w:szCs w:val="24"/>
              <w:lang w:val="en-US" w:eastAsia="zh-CN"/>
            </w:rPr>
            <w:t>五、环境风险管理流程</w:t>
          </w:r>
          <w:r>
            <w:rPr>
              <w:b/>
              <w:sz w:val="24"/>
              <w:szCs w:val="24"/>
            </w:rPr>
            <w:tab/>
          </w:r>
          <w:r>
            <w:rPr>
              <w:b/>
              <w:sz w:val="24"/>
              <w:szCs w:val="24"/>
            </w:rPr>
            <w:fldChar w:fldCharType="begin"/>
          </w:r>
          <w:r>
            <w:rPr>
              <w:b/>
              <w:sz w:val="24"/>
              <w:szCs w:val="24"/>
            </w:rPr>
            <w:instrText xml:space="preserve"> PAGEREF _Toc4343 \h </w:instrText>
          </w:r>
          <w:r>
            <w:rPr>
              <w:b/>
              <w:sz w:val="24"/>
              <w:szCs w:val="24"/>
            </w:rPr>
            <w:fldChar w:fldCharType="separate"/>
          </w:r>
          <w:r>
            <w:rPr>
              <w:b/>
              <w:sz w:val="24"/>
              <w:szCs w:val="24"/>
            </w:rPr>
            <w:t>7</w:t>
          </w:r>
          <w:r>
            <w:rPr>
              <w:b/>
              <w:sz w:val="24"/>
              <w:szCs w:val="24"/>
            </w:rPr>
            <w:fldChar w:fldCharType="end"/>
          </w:r>
          <w:r>
            <w:rPr>
              <w:b/>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_Toc9146 </w:instrText>
          </w:r>
          <w:r>
            <w:rPr>
              <w:b/>
              <w:sz w:val="24"/>
              <w:szCs w:val="24"/>
            </w:rPr>
            <w:fldChar w:fldCharType="separate"/>
          </w:r>
          <w:r>
            <w:rPr>
              <w:rFonts w:hint="eastAsia"/>
              <w:b/>
              <w:sz w:val="24"/>
              <w:szCs w:val="24"/>
              <w:lang w:val="en-US" w:eastAsia="zh-CN"/>
            </w:rPr>
            <w:t>六</w:t>
          </w:r>
          <w:r>
            <w:rPr>
              <w:rFonts w:hint="eastAsia"/>
              <w:b/>
              <w:sz w:val="24"/>
              <w:szCs w:val="24"/>
            </w:rPr>
            <w:t>、机构经营活动环境影响</w:t>
          </w:r>
          <w:r>
            <w:rPr>
              <w:b/>
              <w:sz w:val="24"/>
              <w:szCs w:val="24"/>
            </w:rPr>
            <w:tab/>
          </w:r>
          <w:r>
            <w:rPr>
              <w:b/>
              <w:sz w:val="24"/>
              <w:szCs w:val="24"/>
            </w:rPr>
            <w:fldChar w:fldCharType="begin"/>
          </w:r>
          <w:r>
            <w:rPr>
              <w:b/>
              <w:sz w:val="24"/>
              <w:szCs w:val="24"/>
            </w:rPr>
            <w:instrText xml:space="preserve"> PAGEREF _Toc9146 \h </w:instrText>
          </w:r>
          <w:r>
            <w:rPr>
              <w:b/>
              <w:sz w:val="24"/>
              <w:szCs w:val="24"/>
            </w:rPr>
            <w:fldChar w:fldCharType="separate"/>
          </w:r>
          <w:r>
            <w:rPr>
              <w:b/>
              <w:sz w:val="24"/>
              <w:szCs w:val="24"/>
            </w:rPr>
            <w:t>8</w:t>
          </w:r>
          <w:r>
            <w:rPr>
              <w:b/>
              <w:sz w:val="24"/>
              <w:szCs w:val="24"/>
            </w:rPr>
            <w:fldChar w:fldCharType="end"/>
          </w:r>
          <w:r>
            <w:rPr>
              <w:b/>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_Toc32234 </w:instrText>
          </w:r>
          <w:r>
            <w:rPr>
              <w:sz w:val="24"/>
              <w:szCs w:val="24"/>
            </w:rPr>
            <w:fldChar w:fldCharType="separate"/>
          </w:r>
          <w:r>
            <w:rPr>
              <w:rFonts w:hint="eastAsia"/>
              <w:sz w:val="24"/>
              <w:szCs w:val="24"/>
            </w:rPr>
            <w:t>（一）投融资活动产生的环境影响</w:t>
          </w:r>
          <w:r>
            <w:rPr>
              <w:sz w:val="24"/>
              <w:szCs w:val="24"/>
            </w:rPr>
            <w:tab/>
          </w:r>
          <w:r>
            <w:rPr>
              <w:sz w:val="24"/>
              <w:szCs w:val="24"/>
            </w:rPr>
            <w:fldChar w:fldCharType="begin"/>
          </w:r>
          <w:r>
            <w:rPr>
              <w:sz w:val="24"/>
              <w:szCs w:val="24"/>
            </w:rPr>
            <w:instrText xml:space="preserve"> PAGEREF _Toc32234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38"/>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fldChar w:fldCharType="begin"/>
          </w:r>
          <w:r>
            <w:rPr>
              <w:sz w:val="24"/>
              <w:szCs w:val="24"/>
            </w:rPr>
            <w:instrText xml:space="preserve"> HYPERLINK \l _Toc9389 </w:instrText>
          </w:r>
          <w:r>
            <w:rPr>
              <w:sz w:val="24"/>
              <w:szCs w:val="24"/>
            </w:rPr>
            <w:fldChar w:fldCharType="separate"/>
          </w:r>
          <w:r>
            <w:rPr>
              <w:rFonts w:hint="eastAsia"/>
              <w:sz w:val="24"/>
              <w:szCs w:val="24"/>
            </w:rPr>
            <w:t>（</w:t>
          </w:r>
          <w:r>
            <w:rPr>
              <w:rFonts w:hint="eastAsia"/>
              <w:sz w:val="24"/>
              <w:szCs w:val="24"/>
              <w:lang w:val="en-US" w:eastAsia="zh-CN"/>
            </w:rPr>
            <w:t>二</w:t>
          </w:r>
          <w:r>
            <w:rPr>
              <w:rFonts w:hint="eastAsia"/>
              <w:sz w:val="24"/>
              <w:szCs w:val="24"/>
            </w:rPr>
            <w:t>）经营活动产生的环境影响</w:t>
          </w:r>
          <w:r>
            <w:rPr>
              <w:sz w:val="24"/>
              <w:szCs w:val="24"/>
            </w:rPr>
            <w:tab/>
          </w:r>
          <w:r>
            <w:rPr>
              <w:sz w:val="24"/>
              <w:szCs w:val="24"/>
            </w:rPr>
            <w:fldChar w:fldCharType="begin"/>
          </w:r>
          <w:r>
            <w:rPr>
              <w:sz w:val="24"/>
              <w:szCs w:val="24"/>
            </w:rPr>
            <w:instrText xml:space="preserve"> PAGEREF _Toc9389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_Toc20004 </w:instrText>
          </w:r>
          <w:r>
            <w:rPr>
              <w:b/>
              <w:sz w:val="24"/>
              <w:szCs w:val="24"/>
            </w:rPr>
            <w:fldChar w:fldCharType="separate"/>
          </w:r>
          <w:r>
            <w:rPr>
              <w:rFonts w:hint="eastAsia"/>
              <w:b/>
              <w:sz w:val="24"/>
              <w:szCs w:val="24"/>
              <w:lang w:val="en-US" w:eastAsia="zh-CN"/>
            </w:rPr>
            <w:t>七、</w:t>
          </w:r>
          <w:r>
            <w:rPr>
              <w:rFonts w:hint="eastAsia"/>
              <w:b/>
              <w:sz w:val="24"/>
              <w:szCs w:val="24"/>
            </w:rPr>
            <w:t>数据梳理、校验及保护</w:t>
          </w:r>
          <w:r>
            <w:rPr>
              <w:b/>
              <w:sz w:val="24"/>
              <w:szCs w:val="24"/>
            </w:rPr>
            <w:tab/>
          </w:r>
          <w:r>
            <w:rPr>
              <w:b/>
              <w:sz w:val="24"/>
              <w:szCs w:val="24"/>
            </w:rPr>
            <w:fldChar w:fldCharType="begin"/>
          </w:r>
          <w:r>
            <w:rPr>
              <w:b/>
              <w:sz w:val="24"/>
              <w:szCs w:val="24"/>
            </w:rPr>
            <w:instrText xml:space="preserve"> PAGEREF _Toc20004 \h </w:instrText>
          </w:r>
          <w:r>
            <w:rPr>
              <w:b/>
              <w:sz w:val="24"/>
              <w:szCs w:val="24"/>
            </w:rPr>
            <w:fldChar w:fldCharType="separate"/>
          </w:r>
          <w:r>
            <w:rPr>
              <w:b/>
              <w:sz w:val="24"/>
              <w:szCs w:val="24"/>
            </w:rPr>
            <w:t>17</w:t>
          </w:r>
          <w:r>
            <w:rPr>
              <w:b/>
              <w:sz w:val="24"/>
              <w:szCs w:val="24"/>
            </w:rPr>
            <w:fldChar w:fldCharType="end"/>
          </w:r>
          <w:r>
            <w:rPr>
              <w:b/>
              <w:sz w:val="24"/>
              <w:szCs w:val="24"/>
            </w:rPr>
            <w:fldChar w:fldCharType="end"/>
          </w:r>
        </w:p>
        <w:p>
          <w:pPr>
            <w:pStyle w:val="3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2" w:firstLineChars="200"/>
            <w:textAlignment w:val="auto"/>
            <w:rPr>
              <w:b/>
              <w:sz w:val="24"/>
              <w:szCs w:val="24"/>
            </w:rPr>
          </w:pPr>
          <w:r>
            <w:rPr>
              <w:b/>
              <w:sz w:val="24"/>
              <w:szCs w:val="24"/>
            </w:rPr>
            <w:fldChar w:fldCharType="begin"/>
          </w:r>
          <w:r>
            <w:rPr>
              <w:b/>
              <w:sz w:val="24"/>
              <w:szCs w:val="24"/>
            </w:rPr>
            <w:instrText xml:space="preserve"> HYPERLINK \l _Toc3529 </w:instrText>
          </w:r>
          <w:r>
            <w:rPr>
              <w:b/>
              <w:sz w:val="24"/>
              <w:szCs w:val="24"/>
            </w:rPr>
            <w:fldChar w:fldCharType="separate"/>
          </w:r>
          <w:r>
            <w:rPr>
              <w:rFonts w:hint="eastAsia"/>
              <w:b/>
              <w:sz w:val="24"/>
              <w:szCs w:val="24"/>
              <w:lang w:val="en-US" w:eastAsia="zh-CN"/>
            </w:rPr>
            <w:t>八、</w:t>
          </w:r>
          <w:r>
            <w:rPr>
              <w:rFonts w:hint="eastAsia"/>
              <w:b/>
              <w:sz w:val="24"/>
              <w:szCs w:val="24"/>
            </w:rPr>
            <w:t>绿色金融创新及成果</w:t>
          </w:r>
          <w:r>
            <w:rPr>
              <w:b/>
              <w:sz w:val="24"/>
              <w:szCs w:val="24"/>
            </w:rPr>
            <w:tab/>
          </w:r>
          <w:r>
            <w:rPr>
              <w:b/>
              <w:sz w:val="24"/>
              <w:szCs w:val="24"/>
            </w:rPr>
            <w:fldChar w:fldCharType="begin"/>
          </w:r>
          <w:r>
            <w:rPr>
              <w:b/>
              <w:sz w:val="24"/>
              <w:szCs w:val="24"/>
            </w:rPr>
            <w:instrText xml:space="preserve"> PAGEREF _Toc3529 \h </w:instrText>
          </w:r>
          <w:r>
            <w:rPr>
              <w:b/>
              <w:sz w:val="24"/>
              <w:szCs w:val="24"/>
            </w:rPr>
            <w:fldChar w:fldCharType="separate"/>
          </w:r>
          <w:r>
            <w:rPr>
              <w:b/>
              <w:sz w:val="24"/>
              <w:szCs w:val="24"/>
            </w:rPr>
            <w:t>18</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pPr>
          <w:r>
            <w:rPr>
              <w:b/>
              <w:sz w:val="24"/>
              <w:szCs w:val="24"/>
            </w:rPr>
            <w:fldChar w:fldCharType="end"/>
          </w:r>
        </w:p>
      </w:sdtContent>
    </w:sdt>
    <w:p>
      <w:pPr>
        <w:pStyle w:val="3"/>
        <w:bidi w:val="0"/>
        <w:ind w:left="0" w:leftChars="0" w:firstLine="0" w:firstLineChars="0"/>
        <w:rPr>
          <w:rFonts w:hint="eastAsia"/>
          <w:lang w:val="en-US" w:eastAsia="zh-CN"/>
        </w:rPr>
      </w:pPr>
      <w:bookmarkStart w:id="0" w:name="_Toc18156"/>
    </w:p>
    <w:p>
      <w:pPr>
        <w:pStyle w:val="2"/>
        <w:rPr>
          <w:rFonts w:hint="eastAsia"/>
          <w:lang w:val="en-US" w:eastAsia="zh-CN"/>
        </w:rPr>
      </w:pPr>
    </w:p>
    <w:p>
      <w:pPr>
        <w:pStyle w:val="2"/>
        <w:rPr>
          <w:rFonts w:hint="eastAsia"/>
          <w:lang w:val="en-US" w:eastAsia="zh-CN"/>
        </w:rPr>
      </w:pPr>
    </w:p>
    <w:p>
      <w:pPr>
        <w:pStyle w:val="3"/>
        <w:bidi w:val="0"/>
        <w:ind w:left="0" w:leftChars="0" w:firstLine="0" w:firstLineChars="0"/>
        <w:rPr>
          <w:rFonts w:hint="eastAsia"/>
          <w:lang w:val="en-US" w:eastAsia="zh-CN"/>
        </w:rPr>
      </w:pPr>
    </w:p>
    <w:p>
      <w:pPr>
        <w:rPr>
          <w:rFonts w:hint="eastAsia"/>
          <w:lang w:val="en-US" w:eastAsia="zh-CN"/>
        </w:rPr>
      </w:pPr>
    </w:p>
    <w:p>
      <w:pPr>
        <w:pStyle w:val="3"/>
        <w:bidi w:val="0"/>
        <w:rPr>
          <w:rFonts w:hint="eastAsia"/>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default"/>
          <w:lang w:val="en-US" w:eastAsia="zh-CN"/>
        </w:rPr>
      </w:pPr>
      <w:r>
        <w:rPr>
          <w:rFonts w:hint="eastAsia"/>
          <w:lang w:val="en-US" w:eastAsia="zh-CN"/>
        </w:rPr>
        <w:t>一、年度概况</w:t>
      </w:r>
      <w:bookmarkEnd w:id="0"/>
    </w:p>
    <w:p>
      <w:pPr>
        <w:pStyle w:val="4"/>
        <w:bidi w:val="0"/>
        <w:rPr>
          <w:rFonts w:hint="default" w:eastAsia="楷体_GB2312"/>
          <w:lang w:val="en-US" w:eastAsia="zh-CN"/>
        </w:rPr>
      </w:pPr>
      <w:bookmarkStart w:id="1" w:name="_Toc12538"/>
      <w:r>
        <w:rPr>
          <w:rFonts w:hint="eastAsia"/>
        </w:rPr>
        <w:t>（一）</w:t>
      </w:r>
      <w:r>
        <w:rPr>
          <w:rFonts w:hint="eastAsia"/>
          <w:lang w:val="en-US" w:eastAsia="zh-CN"/>
        </w:rPr>
        <w:t>基本情况</w:t>
      </w:r>
      <w:bookmarkEnd w:id="1"/>
    </w:p>
    <w:p>
      <w:pPr>
        <w:bidi w:val="0"/>
        <w:rPr>
          <w:rFonts w:ascii="Times New Roman" w:hAnsi="Times New Roman" w:eastAsia="仿宋_GB2312"/>
          <w:szCs w:val="32"/>
        </w:rPr>
      </w:pPr>
      <w:r>
        <w:rPr>
          <w:rFonts w:hint="eastAsia"/>
        </w:rPr>
        <w:t>立足新时代，站在新起点。龙里农商银行</w:t>
      </w:r>
      <w:r>
        <w:rPr>
          <w:rFonts w:hint="eastAsia"/>
          <w:lang w:val="en-US" w:eastAsia="zh-CN"/>
        </w:rPr>
        <w:t>紧紧</w:t>
      </w:r>
      <w:r>
        <w:rPr>
          <w:rFonts w:hint="eastAsia"/>
        </w:rPr>
        <w:t>围绕“建设有温度、有速度、有深度的百姓银行”的发展愿景，坚持“深耕本土，支农支小”的市场定位，践行“发展普惠金融，服务千家万户”的初心使命</w:t>
      </w:r>
      <w:r>
        <w:rPr>
          <w:rFonts w:hint="eastAsia"/>
          <w:lang w:eastAsia="zh-CN"/>
        </w:rPr>
        <w:t>。</w:t>
      </w:r>
      <w:r>
        <w:t>已发展成为</w:t>
      </w:r>
      <w:r>
        <w:rPr>
          <w:rFonts w:hint="eastAsia"/>
          <w:lang w:val="en-US" w:eastAsia="zh-CN"/>
        </w:rPr>
        <w:t>县域</w:t>
      </w:r>
      <w:r>
        <w:t>内业务规模最大、网点覆盖最广、从业人员最多的地方银行机构，是</w:t>
      </w:r>
      <w:r>
        <w:rPr>
          <w:rFonts w:hint="eastAsia"/>
          <w:lang w:val="en-US" w:eastAsia="zh-CN"/>
        </w:rPr>
        <w:t>全县</w:t>
      </w:r>
      <w:r>
        <w:t>服务县域经济和农业农村的主要金融力量。截至2022年末，</w:t>
      </w:r>
      <w:r>
        <w:rPr>
          <w:rFonts w:hint="eastAsia"/>
          <w:lang w:eastAsia="zh-CN"/>
        </w:rPr>
        <w:t>龙里农商银行</w:t>
      </w:r>
      <w:r>
        <w:t>资产总额</w:t>
      </w:r>
      <w:r>
        <w:rPr>
          <w:rFonts w:hint="eastAsia"/>
          <w:lang w:val="en-US" w:eastAsia="zh-CN"/>
        </w:rPr>
        <w:t>78.72</w:t>
      </w:r>
      <w:r>
        <w:t>亿元，负债总额</w:t>
      </w:r>
      <w:r>
        <w:rPr>
          <w:rFonts w:hint="eastAsia"/>
          <w:lang w:val="en-US" w:eastAsia="zh-CN"/>
        </w:rPr>
        <w:t>72.35</w:t>
      </w:r>
      <w:r>
        <w:t>亿元，各项存款余额</w:t>
      </w:r>
      <w:r>
        <w:rPr>
          <w:rFonts w:hint="eastAsia"/>
          <w:lang w:val="en-US" w:eastAsia="zh-CN"/>
        </w:rPr>
        <w:t>65.79</w:t>
      </w:r>
      <w:r>
        <w:t>亿元，各项贷款余额</w:t>
      </w:r>
      <w:r>
        <w:rPr>
          <w:rFonts w:hint="eastAsia"/>
          <w:lang w:val="en-US" w:eastAsia="zh-CN"/>
        </w:rPr>
        <w:t>61.09</w:t>
      </w:r>
      <w:r>
        <w:t>亿元。绿色贷款余额</w:t>
      </w:r>
      <w:r>
        <w:rPr>
          <w:rFonts w:hint="eastAsia"/>
          <w:lang w:val="en-US" w:eastAsia="zh-CN"/>
        </w:rPr>
        <w:t>10305.15万元</w:t>
      </w:r>
      <w:r>
        <w:t>，绿色贷款占比</w:t>
      </w:r>
      <w:r>
        <w:rPr>
          <w:rFonts w:hint="eastAsia"/>
          <w:lang w:val="en-US" w:eastAsia="zh-CN"/>
        </w:rPr>
        <w:t>1.69</w:t>
      </w:r>
      <w:r>
        <w:t>%，较上年末</w:t>
      </w:r>
      <w:r>
        <w:rPr>
          <w:rFonts w:hint="eastAsia"/>
          <w:lang w:val="en-US" w:eastAsia="zh-CN"/>
        </w:rPr>
        <w:t>持平</w:t>
      </w:r>
      <w:r>
        <w:t>。</w:t>
      </w:r>
    </w:p>
    <w:p>
      <w:pPr>
        <w:pStyle w:val="4"/>
        <w:bidi w:val="0"/>
        <w:rPr>
          <w:rFonts w:hint="default" w:ascii="Times New Roman" w:hAnsi="Times New Roman" w:eastAsia="仿宋_GB2312"/>
          <w:szCs w:val="32"/>
          <w:lang w:val="en-US" w:eastAsia="zh-CN"/>
        </w:rPr>
      </w:pPr>
      <w:bookmarkStart w:id="2" w:name="_Toc31298"/>
      <w:r>
        <w:rPr>
          <w:rFonts w:hint="eastAsia"/>
          <w:lang w:val="en-US" w:eastAsia="zh-CN"/>
        </w:rPr>
        <w:t>（二）绿色金融亮点</w:t>
      </w:r>
      <w:bookmarkEnd w:id="2"/>
    </w:p>
    <w:p>
      <w:pPr>
        <w:pStyle w:val="5"/>
        <w:pageBreakBefore w:val="0"/>
        <w:kinsoku/>
        <w:overflowPunct/>
        <w:topLinePunct w:val="0"/>
        <w:bidi w:val="0"/>
        <w:adjustRightInd/>
        <w:spacing w:line="560" w:lineRule="exact"/>
        <w:ind w:left="0" w:leftChars="0" w:firstLine="643" w:firstLineChars="200"/>
        <w:rPr>
          <w:rFonts w:hint="eastAsia"/>
        </w:rPr>
      </w:pPr>
      <w:r>
        <w:rPr>
          <w:rFonts w:hint="eastAsia"/>
          <w:lang w:val="en-US" w:eastAsia="zh-CN"/>
        </w:rPr>
        <w:t>1.</w:t>
      </w:r>
      <w:r>
        <w:rPr>
          <w:rFonts w:hint="eastAsia"/>
        </w:rPr>
        <w:t>深化绿色小微金融服务，探索基层党建与业务深度融合发展</w:t>
      </w:r>
    </w:p>
    <w:p>
      <w:pPr>
        <w:pageBreakBefore w:val="0"/>
        <w:kinsoku/>
        <w:overflowPunct/>
        <w:topLinePunct w:val="0"/>
        <w:bidi w:val="0"/>
        <w:adjustRightInd/>
        <w:spacing w:line="560" w:lineRule="exact"/>
        <w:ind w:left="0" w:leftChars="0" w:firstLine="640" w:firstLineChars="200"/>
        <w:rPr>
          <w:rFonts w:hint="eastAsia"/>
        </w:rPr>
      </w:pPr>
      <w:r>
        <w:rPr>
          <w:rFonts w:hint="eastAsia"/>
        </w:rPr>
        <w:t>为进一步深化小微金融服务，大力发展绿色信贷，不断探索基层党建与绿色金融服务深度融合发展，2019年，龙里农商银行在人民银行、金融办的关心指导下，成立了龙里农商银行小微金融服务站，</w:t>
      </w:r>
      <w:r>
        <w:rPr>
          <w:rFonts w:hint="eastAsia"/>
          <w:lang w:val="en-US" w:eastAsia="zh-CN"/>
        </w:rPr>
        <w:t>2022年4月成立了小微中心，</w:t>
      </w:r>
      <w:r>
        <w:rPr>
          <w:rFonts w:hint="eastAsia"/>
        </w:rPr>
        <w:t>旨在加强民营、绿色小微企业金融服务，立足发挥基层党支部的前沿阵地作用和地域优势，开展普惠大走访、大营销行动，摸清并建立全县小微企业信息库，特别是绿色企业的名录库，提升绿色信贷占比。</w:t>
      </w:r>
    </w:p>
    <w:p>
      <w:pPr>
        <w:pStyle w:val="5"/>
        <w:bidi w:val="0"/>
        <w:rPr>
          <w:rFonts w:hint="eastAsia"/>
          <w:lang w:val="en-US" w:eastAsia="zh-CN"/>
        </w:rPr>
      </w:pPr>
      <w:r>
        <w:rPr>
          <w:rFonts w:hint="eastAsia"/>
          <w:lang w:val="en-US" w:eastAsia="zh-CN"/>
        </w:rPr>
        <w:t>2.加大绿色金融产品创新，持续推进服务实体经济提质增效</w:t>
      </w:r>
    </w:p>
    <w:p>
      <w:pPr>
        <w:pageBreakBefore w:val="0"/>
        <w:kinsoku/>
        <w:overflowPunct/>
        <w:topLinePunct w:val="0"/>
        <w:bidi w:val="0"/>
        <w:adjustRightInd/>
        <w:spacing w:line="560" w:lineRule="exact"/>
        <w:ind w:left="0" w:leftChars="0" w:firstLine="640" w:firstLineChars="200"/>
      </w:pPr>
      <w:r>
        <w:rPr>
          <w:rFonts w:hint="eastAsia"/>
        </w:rPr>
        <w:t>推动全行调整信贷结构，发展绿色信贷，加大对绿色经济、低碳经济、循环经济的支持，更好地服务实体经济，是龙里农商银行长远发展规划及转型升级的重中之重。龙里农商银行根据县域经济的特点，以贵州省“大生态”战略行动为引领，探索多层次绿色金融业务体系，绿色金融创新能力明显增强，形成与普惠金融深度融合，且具有一定影响力的绿色金融产品，近几年结合各类型客户的特点先后推出了“坝兴贷”、“合兴贷”、“仓储贷”、“黔农十二贷”“供应链金融”等产品，对加快绿色金融建设迈上新台阶，更好地促进地方经济结构优化升级起到了较好的推动作用。</w:t>
      </w:r>
    </w:p>
    <w:p>
      <w:pPr>
        <w:pStyle w:val="5"/>
        <w:pageBreakBefore w:val="0"/>
        <w:kinsoku/>
        <w:overflowPunct/>
        <w:topLinePunct w:val="0"/>
        <w:bidi w:val="0"/>
        <w:adjustRightInd/>
        <w:spacing w:line="560" w:lineRule="exact"/>
        <w:ind w:left="0" w:leftChars="0" w:firstLine="643" w:firstLineChars="200"/>
        <w:rPr>
          <w:rFonts w:hint="eastAsia"/>
          <w:lang w:val="en-US" w:eastAsia="zh-CN"/>
        </w:rPr>
      </w:pPr>
      <w:r>
        <w:rPr>
          <w:rFonts w:hint="eastAsia"/>
          <w:lang w:val="en-US" w:eastAsia="zh-CN"/>
        </w:rPr>
        <w:t>3.打造全方位的金融服务，从服务方式和模式方面贯彻节能减排</w:t>
      </w:r>
    </w:p>
    <w:p>
      <w:pPr>
        <w:pageBreakBefore w:val="0"/>
        <w:kinsoku/>
        <w:overflowPunct/>
        <w:topLinePunct w:val="0"/>
        <w:bidi w:val="0"/>
        <w:adjustRightInd/>
        <w:spacing w:line="560" w:lineRule="exact"/>
        <w:ind w:left="0" w:leftChars="0" w:firstLine="640" w:firstLineChars="200"/>
        <w:rPr>
          <w:rFonts w:hint="eastAsia"/>
        </w:rPr>
      </w:pPr>
      <w:r>
        <w:rPr>
          <w:rFonts w:hint="eastAsia"/>
        </w:rPr>
        <w:t>按照省联社提出的推动两个层级转型。即推动法人行社由注重经营业务向注重经营客户转型、由规模速度驱动向质量效益驱动转型，龙里农商银行为充分发挥方便、灵活、快捷的优势，从客户的金融需求着想，一方面是开展黔农村村通高质量转型发展，以党建文化为引领</w:t>
      </w:r>
      <w:r>
        <w:rPr>
          <w:rFonts w:hint="eastAsia"/>
          <w:lang w:eastAsia="zh-CN"/>
        </w:rPr>
        <w:t>，</w:t>
      </w:r>
      <w:r>
        <w:rPr>
          <w:rFonts w:hint="eastAsia"/>
        </w:rPr>
        <w:t>生活服务设施为主体</w:t>
      </w:r>
      <w:r>
        <w:rPr>
          <w:rFonts w:hint="eastAsia"/>
          <w:lang w:eastAsia="zh-CN"/>
        </w:rPr>
        <w:t>，</w:t>
      </w:r>
      <w:r>
        <w:rPr>
          <w:rFonts w:hint="eastAsia"/>
        </w:rPr>
        <w:t>金融服务设备为配套</w:t>
      </w:r>
      <w:r>
        <w:rPr>
          <w:rFonts w:hint="eastAsia"/>
          <w:lang w:eastAsia="zh-CN"/>
        </w:rPr>
        <w:t>，</w:t>
      </w:r>
      <w:r>
        <w:rPr>
          <w:rFonts w:hint="eastAsia"/>
        </w:rPr>
        <w:t>物理网点为补充</w:t>
      </w:r>
      <w:r>
        <w:rPr>
          <w:rFonts w:hint="eastAsia"/>
          <w:lang w:eastAsia="zh-CN"/>
        </w:rPr>
        <w:t>，</w:t>
      </w:r>
      <w:r>
        <w:rPr>
          <w:rFonts w:hint="eastAsia"/>
        </w:rPr>
        <w:t>跨界资源相结合，围绕“大平台、大场景、大服务”，结合片区经济社会实际情况，打造“基础型”“商超型”“政务型”“综合型”四类普惠金融服务点，持续推动村村通迭代升级和农村金融服务效能提升，实现“一站式、多功能、综合性”农村社区服务设施网络，让老百姓足不出村便能享受到全方位的生活和金融服务；另一方面是大力推广线上金融服务，引导广大客户通过黔农云APP办理相关业务。多渠道多途径减少碳排放。</w:t>
      </w:r>
    </w:p>
    <w:p>
      <w:pPr>
        <w:pStyle w:val="4"/>
        <w:pageBreakBefore w:val="0"/>
        <w:kinsoku/>
        <w:overflowPunct/>
        <w:topLinePunct w:val="0"/>
        <w:bidi w:val="0"/>
        <w:adjustRightInd/>
        <w:spacing w:beforeLines="0" w:afterLines="0" w:line="560" w:lineRule="exact"/>
        <w:ind w:left="0" w:leftChars="0" w:firstLine="640" w:firstLineChars="200"/>
      </w:pPr>
      <w:bookmarkStart w:id="3" w:name="_Toc29888"/>
      <w:r>
        <w:rPr>
          <w:rFonts w:hint="eastAsia"/>
        </w:rPr>
        <w:t>（</w:t>
      </w:r>
      <w:r>
        <w:rPr>
          <w:rFonts w:hint="eastAsia"/>
          <w:lang w:val="en-US" w:eastAsia="zh-CN"/>
        </w:rPr>
        <w:t>三</w:t>
      </w:r>
      <w:r>
        <w:rPr>
          <w:rFonts w:hint="eastAsia"/>
        </w:rPr>
        <w:t>）规划与目标</w:t>
      </w:r>
      <w:bookmarkEnd w:id="3"/>
    </w:p>
    <w:p>
      <w:pPr>
        <w:pageBreakBefore w:val="0"/>
        <w:kinsoku/>
        <w:overflowPunct/>
        <w:topLinePunct w:val="0"/>
        <w:bidi w:val="0"/>
        <w:adjustRightInd/>
        <w:spacing w:line="560" w:lineRule="exact"/>
        <w:ind w:left="0" w:leftChars="0" w:firstLine="640" w:firstLineChars="200"/>
      </w:pPr>
      <w:r>
        <w:rPr>
          <w:rFonts w:hint="eastAsia"/>
        </w:rPr>
        <w:t>“十四五”期间，龙里农商银行坚持战略引领、创新驱动、多方协同和可持续发展，围绕“业务结构绿色化转型”“绿色金融产品创新”，加快绿色金融建设迈上新台阶，努力成为全县绿色银行标杆，更好地促进地方经济结构优化升级和自身运营绿色转型发展。</w:t>
      </w:r>
    </w:p>
    <w:p>
      <w:pPr>
        <w:pStyle w:val="5"/>
        <w:pageBreakBefore w:val="0"/>
        <w:kinsoku/>
        <w:overflowPunct/>
        <w:topLinePunct w:val="0"/>
        <w:bidi w:val="0"/>
        <w:adjustRightInd/>
        <w:spacing w:line="560" w:lineRule="exact"/>
        <w:ind w:left="0" w:leftChars="0" w:firstLine="643" w:firstLineChars="200"/>
        <w:rPr>
          <w:rFonts w:hint="eastAsia"/>
        </w:rPr>
      </w:pPr>
      <w:r>
        <w:rPr>
          <w:rFonts w:hint="eastAsia"/>
        </w:rPr>
        <w:t>1.加快绿色产业重点领域信贷投放</w:t>
      </w:r>
    </w:p>
    <w:p>
      <w:pPr>
        <w:pageBreakBefore w:val="0"/>
        <w:kinsoku/>
        <w:overflowPunct/>
        <w:topLinePunct w:val="0"/>
        <w:bidi w:val="0"/>
        <w:adjustRightInd/>
        <w:spacing w:line="560" w:lineRule="exact"/>
        <w:ind w:left="0" w:leftChars="0" w:firstLine="640" w:firstLineChars="200"/>
        <w:rPr>
          <w:rFonts w:hint="eastAsia" w:eastAsia="仿宋_GB2312"/>
          <w:lang w:eastAsia="zh-CN"/>
        </w:rPr>
      </w:pPr>
      <w:r>
        <w:rPr>
          <w:rFonts w:hint="eastAsia"/>
        </w:rPr>
        <w:t>以国家《绿色产业指导目录（2019版）》为核心依据，结合县域产业特点，以《贵州农信绿色金融重点支持产业指导目录》为指引，认真做好存量及潜在绿色客户的识别工作，建立绿色金融项目库纳入白名单管理，加快绿重点领域的信贷投放力度，全面做好绿色信贷管理工作。</w:t>
      </w:r>
    </w:p>
    <w:p>
      <w:pPr>
        <w:pStyle w:val="5"/>
        <w:pageBreakBefore w:val="0"/>
        <w:kinsoku/>
        <w:overflowPunct/>
        <w:topLinePunct w:val="0"/>
        <w:bidi w:val="0"/>
        <w:adjustRightInd/>
        <w:spacing w:line="560" w:lineRule="exact"/>
        <w:ind w:left="0" w:leftChars="0" w:firstLine="643" w:firstLineChars="200"/>
        <w:rPr>
          <w:rFonts w:hint="eastAsia"/>
        </w:rPr>
      </w:pPr>
      <w:r>
        <w:rPr>
          <w:rFonts w:hint="eastAsia"/>
        </w:rPr>
        <w:t>2.合理制定绿色信贷发展规划</w:t>
      </w:r>
    </w:p>
    <w:p>
      <w:pPr>
        <w:pageBreakBefore w:val="0"/>
        <w:kinsoku/>
        <w:overflowPunct/>
        <w:topLinePunct w:val="0"/>
        <w:bidi w:val="0"/>
        <w:adjustRightInd/>
        <w:spacing w:line="560" w:lineRule="exact"/>
        <w:ind w:left="0" w:leftChars="0" w:firstLine="640" w:firstLineChars="200"/>
        <w:rPr>
          <w:rFonts w:hint="eastAsia" w:eastAsia="仿宋_GB2312"/>
          <w:lang w:eastAsia="zh-CN"/>
        </w:rPr>
      </w:pPr>
      <w:r>
        <w:rPr>
          <w:rFonts w:hint="eastAsia" w:cs="Times New Roman"/>
        </w:rPr>
        <w:t>密切关注龙里县“一区一园两翼”新格局发展建设规划实施进程，匹配优质信贷资源，全力支持生态农业、生态林业、资源循环利用</w:t>
      </w:r>
      <w:r>
        <w:rPr>
          <w:rFonts w:hint="eastAsia" w:cs="Times New Roman"/>
          <w:lang w:eastAsia="zh-CN"/>
        </w:rPr>
        <w:t>等</w:t>
      </w:r>
      <w:r>
        <w:rPr>
          <w:rFonts w:hint="eastAsia" w:cs="Times New Roman"/>
        </w:rPr>
        <w:t>绿色重点领域融资。加强对绿色金融发展、绿色金融业务开展趋势、变化情况等分析，有效提高绿色金融信用贷款、首贷户、无还本续贷等业务占比。</w:t>
      </w:r>
    </w:p>
    <w:p>
      <w:pPr>
        <w:pStyle w:val="5"/>
        <w:pageBreakBefore w:val="0"/>
        <w:kinsoku/>
        <w:overflowPunct/>
        <w:topLinePunct w:val="0"/>
        <w:bidi w:val="0"/>
        <w:adjustRightInd/>
        <w:spacing w:line="560" w:lineRule="exact"/>
        <w:ind w:left="0" w:leftChars="0" w:firstLine="643" w:firstLineChars="200"/>
        <w:rPr>
          <w:rFonts w:hint="eastAsia"/>
        </w:rPr>
      </w:pPr>
      <w:r>
        <w:rPr>
          <w:rFonts w:hint="eastAsia"/>
        </w:rPr>
        <w:t>3.提升绿色信贷识别与统计能力</w:t>
      </w:r>
    </w:p>
    <w:p>
      <w:pPr>
        <w:pageBreakBefore w:val="0"/>
        <w:kinsoku/>
        <w:overflowPunct/>
        <w:topLinePunct w:val="0"/>
        <w:bidi w:val="0"/>
        <w:adjustRightInd/>
        <w:spacing w:line="560" w:lineRule="exact"/>
        <w:ind w:left="0" w:leftChars="0" w:firstLine="640" w:firstLineChars="200"/>
        <w:rPr>
          <w:rFonts w:hint="eastAsia" w:hAnsi="仿宋_GB2312" w:cs="仿宋_GB2312"/>
          <w:b/>
          <w:bCs/>
          <w:szCs w:val="32"/>
        </w:rPr>
      </w:pPr>
      <w:r>
        <w:rPr>
          <w:rFonts w:hint="eastAsia"/>
        </w:rPr>
        <w:t>严格落实绿色金融统计制度，根据人民银行《绿色贷款专项统计制度》及银保监会《绿色融资统计制度》要求，着力提升信贷系统绿色管理能力，</w:t>
      </w:r>
      <w:r>
        <w:rPr>
          <w:rFonts w:hint="eastAsia"/>
          <w:lang w:eastAsia="zh-CN"/>
        </w:rPr>
        <w:t>贯彻</w:t>
      </w:r>
      <w:r>
        <w:rPr>
          <w:rFonts w:hint="eastAsia"/>
        </w:rPr>
        <w:t>监管部门数据统计、环境信息披露的动态管理要求。</w:t>
      </w:r>
    </w:p>
    <w:p>
      <w:pPr>
        <w:pStyle w:val="4"/>
        <w:pageBreakBefore w:val="0"/>
        <w:kinsoku/>
        <w:overflowPunct/>
        <w:topLinePunct w:val="0"/>
        <w:bidi w:val="0"/>
        <w:adjustRightInd/>
        <w:spacing w:beforeLines="0" w:afterLines="0" w:line="560" w:lineRule="exact"/>
        <w:ind w:left="0" w:leftChars="0" w:firstLine="640" w:firstLineChars="200"/>
        <w:rPr>
          <w:rFonts w:hint="eastAsia"/>
        </w:rPr>
      </w:pPr>
      <w:bookmarkStart w:id="4" w:name="_Toc31796"/>
      <w:r>
        <w:rPr>
          <w:rFonts w:hint="eastAsia"/>
        </w:rPr>
        <w:t>（</w:t>
      </w:r>
      <w:r>
        <w:rPr>
          <w:rFonts w:hint="eastAsia"/>
          <w:lang w:val="en-US" w:eastAsia="zh-CN"/>
        </w:rPr>
        <w:t>四</w:t>
      </w:r>
      <w:r>
        <w:rPr>
          <w:rFonts w:hint="eastAsia"/>
        </w:rPr>
        <w:t>）关键成果与绩效</w:t>
      </w:r>
      <w:bookmarkEnd w:id="4"/>
    </w:p>
    <w:p>
      <w:pPr>
        <w:bidi w:val="0"/>
        <w:jc w:val="center"/>
        <w:outlineLvl w:val="1"/>
        <w:rPr>
          <w:rFonts w:hint="eastAsia" w:asciiTheme="minorEastAsia" w:hAnsiTheme="minorEastAsia" w:eastAsiaTheme="minorEastAsia" w:cstheme="minorEastAsia"/>
          <w:b w:val="0"/>
          <w:bCs w:val="0"/>
          <w:sz w:val="21"/>
          <w:szCs w:val="21"/>
        </w:rPr>
      </w:pPr>
      <w:bookmarkStart w:id="5" w:name="_Toc21309"/>
      <w:r>
        <w:rPr>
          <w:rFonts w:hint="eastAsia" w:asciiTheme="minorEastAsia" w:hAnsiTheme="minorEastAsia" w:eastAsiaTheme="minorEastAsia" w:cstheme="minorEastAsia"/>
          <w:b/>
          <w:bCs/>
          <w:sz w:val="28"/>
          <w:szCs w:val="28"/>
        </w:rPr>
        <w:t>龙里农商银行202</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年绿色金融关键绩效</w:t>
      </w:r>
      <w:bookmarkEnd w:id="5"/>
    </w:p>
    <w:tbl>
      <w:tblPr>
        <w:tblStyle w:val="21"/>
        <w:tblW w:w="9675" w:type="dxa"/>
        <w:jc w:val="center"/>
        <w:tblLayout w:type="fixed"/>
        <w:tblCellMar>
          <w:top w:w="0" w:type="dxa"/>
          <w:left w:w="108" w:type="dxa"/>
          <w:bottom w:w="0" w:type="dxa"/>
          <w:right w:w="108" w:type="dxa"/>
        </w:tblCellMar>
      </w:tblPr>
      <w:tblGrid>
        <w:gridCol w:w="1750"/>
        <w:gridCol w:w="3840"/>
        <w:gridCol w:w="1820"/>
        <w:gridCol w:w="2265"/>
      </w:tblGrid>
      <w:tr>
        <w:tblPrEx>
          <w:tblCellMar>
            <w:top w:w="0" w:type="dxa"/>
            <w:left w:w="108" w:type="dxa"/>
            <w:bottom w:w="0" w:type="dxa"/>
            <w:right w:w="108" w:type="dxa"/>
          </w:tblCellMar>
        </w:tblPrEx>
        <w:trPr>
          <w:trHeight w:val="35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2" w:firstLineChars="200"/>
              <w:jc w:val="center"/>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项目</w:t>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2" w:firstLineChars="200"/>
              <w:jc w:val="center"/>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环境指标</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2" w:firstLineChars="200"/>
              <w:jc w:val="center"/>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2" w:firstLineChars="200"/>
              <w:jc w:val="center"/>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202</w:t>
            </w:r>
            <w:r>
              <w:rPr>
                <w:rFonts w:hint="eastAsia" w:asciiTheme="minorEastAsia" w:hAnsiTheme="minorEastAsia" w:eastAsiaTheme="minorEastAsia" w:cstheme="minorEastAsia"/>
                <w:b/>
                <w:bCs/>
                <w:color w:val="000000"/>
                <w:kern w:val="0"/>
                <w:sz w:val="21"/>
                <w:szCs w:val="21"/>
                <w:lang w:val="en-US" w:eastAsia="zh-CN" w:bidi="ar"/>
              </w:rPr>
              <w:t>2</w:t>
            </w:r>
            <w:r>
              <w:rPr>
                <w:rFonts w:hint="eastAsia" w:asciiTheme="minorEastAsia" w:hAnsiTheme="minorEastAsia" w:eastAsiaTheme="minorEastAsia" w:cstheme="minorEastAsia"/>
                <w:b/>
                <w:bCs/>
                <w:color w:val="000000"/>
                <w:kern w:val="0"/>
                <w:sz w:val="21"/>
                <w:szCs w:val="21"/>
                <w:lang w:bidi="ar"/>
              </w:rPr>
              <w:t>年</w:t>
            </w:r>
          </w:p>
        </w:tc>
      </w:tr>
      <w:tr>
        <w:tblPrEx>
          <w:tblCellMar>
            <w:top w:w="0" w:type="dxa"/>
            <w:left w:w="108" w:type="dxa"/>
            <w:bottom w:w="0" w:type="dxa"/>
            <w:right w:w="108" w:type="dxa"/>
          </w:tblCellMar>
        </w:tblPrEx>
        <w:trPr>
          <w:trHeight w:val="35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adjustRightInd/>
              <w:spacing w:line="560" w:lineRule="exact"/>
              <w:ind w:left="0" w:leftChars="0" w:firstLine="0" w:firstLineChars="0"/>
              <w:jc w:val="both"/>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绿色金融业务</w:t>
            </w:r>
            <w:r>
              <w:rPr>
                <w:rStyle w:val="26"/>
                <w:rFonts w:hint="eastAsia" w:asciiTheme="minorEastAsia" w:hAnsiTheme="minorEastAsia" w:eastAsiaTheme="minorEastAsia" w:cstheme="minorEastAsia"/>
                <w:b/>
                <w:bCs/>
                <w:color w:val="000000"/>
                <w:kern w:val="0"/>
                <w:sz w:val="21"/>
                <w:szCs w:val="21"/>
                <w:lang w:bidi="ar"/>
              </w:rPr>
              <w:footnoteReference w:id="0"/>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绿色信贷余额</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亿元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1.03</w:t>
            </w:r>
          </w:p>
        </w:tc>
      </w:tr>
      <w:tr>
        <w:tblPrEx>
          <w:tblCellMar>
            <w:top w:w="0" w:type="dxa"/>
            <w:left w:w="108" w:type="dxa"/>
            <w:bottom w:w="0" w:type="dxa"/>
            <w:right w:w="108" w:type="dxa"/>
          </w:tblCellMar>
        </w:tblPrEx>
        <w:trPr>
          <w:trHeight w:val="35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both"/>
              <w:textAlignment w:val="bottom"/>
              <w:rPr>
                <w:rFonts w:hint="eastAsia" w:asciiTheme="minorEastAsia" w:hAnsiTheme="minorEastAsia" w:eastAsiaTheme="minorEastAsia" w:cstheme="minorEastAsia"/>
                <w:b w:val="0"/>
                <w:bCs w:val="0"/>
                <w:color w:val="000000"/>
                <w:sz w:val="21"/>
                <w:szCs w:val="21"/>
                <w:lang w:eastAsia="zh-CN"/>
              </w:rPr>
            </w:pPr>
            <w:r>
              <w:rPr>
                <w:rFonts w:hint="eastAsia" w:asciiTheme="minorEastAsia" w:hAnsiTheme="minorEastAsia" w:eastAsiaTheme="minorEastAsia" w:cstheme="minorEastAsia"/>
                <w:b w:val="0"/>
                <w:bCs w:val="0"/>
                <w:color w:val="000000"/>
                <w:kern w:val="0"/>
                <w:sz w:val="21"/>
                <w:szCs w:val="21"/>
                <w:lang w:bidi="ar"/>
              </w:rPr>
              <w:t>总信贷余额</w:t>
            </w:r>
            <w:r>
              <w:rPr>
                <w:rFonts w:hint="eastAsia" w:asciiTheme="minorEastAsia" w:hAnsiTheme="minorEastAsia" w:eastAsiaTheme="minorEastAsia" w:cstheme="minorEastAsia"/>
                <w:b w:val="0"/>
                <w:bCs w:val="0"/>
                <w:color w:val="000000"/>
                <w:kern w:val="0"/>
                <w:sz w:val="21"/>
                <w:szCs w:val="21"/>
                <w:lang w:eastAsia="zh-CN" w:bidi="ar"/>
              </w:rPr>
              <w:t>（</w:t>
            </w:r>
            <w:r>
              <w:rPr>
                <w:rFonts w:hint="eastAsia" w:asciiTheme="minorEastAsia" w:hAnsiTheme="minorEastAsia" w:eastAsiaTheme="minorEastAsia" w:cstheme="minorEastAsia"/>
                <w:b w:val="0"/>
                <w:bCs w:val="0"/>
                <w:color w:val="000000"/>
                <w:kern w:val="0"/>
                <w:sz w:val="21"/>
                <w:szCs w:val="21"/>
                <w:lang w:val="en-US" w:eastAsia="zh-CN" w:bidi="ar"/>
              </w:rPr>
              <w:t>不含票据融资</w:t>
            </w:r>
            <w:r>
              <w:rPr>
                <w:rFonts w:hint="eastAsia" w:asciiTheme="minorEastAsia" w:hAnsiTheme="minorEastAsia" w:eastAsiaTheme="minorEastAsia" w:cstheme="minorEastAsia"/>
                <w:b w:val="0"/>
                <w:bCs w:val="0"/>
                <w:color w:val="000000"/>
                <w:kern w:val="0"/>
                <w:sz w:val="21"/>
                <w:szCs w:val="21"/>
                <w:lang w:eastAsia="zh-CN" w:bidi="ar"/>
              </w:rPr>
              <w:t>）</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亿元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bidi="ar"/>
              </w:rPr>
              <w:t>59.66</w:t>
            </w:r>
          </w:p>
        </w:tc>
      </w:tr>
      <w:tr>
        <w:tblPrEx>
          <w:tblCellMar>
            <w:top w:w="0" w:type="dxa"/>
            <w:left w:w="108" w:type="dxa"/>
            <w:bottom w:w="0" w:type="dxa"/>
            <w:right w:w="108" w:type="dxa"/>
          </w:tblCellMar>
        </w:tblPrEx>
        <w:trPr>
          <w:trHeight w:val="35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绿色信贷余额占比</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kern w:val="0"/>
                <w:sz w:val="21"/>
                <w:szCs w:val="21"/>
                <w:lang w:bidi="ar"/>
              </w:rPr>
              <w:t>1.7</w:t>
            </w:r>
            <w:r>
              <w:rPr>
                <w:rFonts w:hint="eastAsia" w:asciiTheme="minorEastAsia" w:hAnsiTheme="minorEastAsia" w:eastAsiaTheme="minorEastAsia" w:cstheme="minorEastAsia"/>
                <w:b w:val="0"/>
                <w:bCs w:val="0"/>
                <w:color w:val="000000"/>
                <w:kern w:val="0"/>
                <w:sz w:val="21"/>
                <w:szCs w:val="21"/>
                <w:lang w:val="en-US" w:eastAsia="zh-CN" w:bidi="ar"/>
              </w:rPr>
              <w:t>3</w:t>
            </w:r>
          </w:p>
        </w:tc>
      </w:tr>
      <w:tr>
        <w:tblPrEx>
          <w:tblCellMar>
            <w:top w:w="0" w:type="dxa"/>
            <w:left w:w="108" w:type="dxa"/>
            <w:bottom w:w="0" w:type="dxa"/>
            <w:right w:w="108" w:type="dxa"/>
          </w:tblCellMar>
        </w:tblPrEx>
        <w:trPr>
          <w:trHeight w:val="28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电子银行业务替代率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92.46</w:t>
            </w:r>
          </w:p>
        </w:tc>
      </w:tr>
      <w:tr>
        <w:tblPrEx>
          <w:tblCellMar>
            <w:top w:w="0" w:type="dxa"/>
            <w:left w:w="108" w:type="dxa"/>
            <w:bottom w:w="0" w:type="dxa"/>
            <w:right w:w="108" w:type="dxa"/>
          </w:tblCellMar>
        </w:tblPrEx>
        <w:trPr>
          <w:trHeight w:val="35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adjustRightInd/>
              <w:spacing w:line="560" w:lineRule="exact"/>
              <w:ind w:left="0" w:leftChars="0" w:firstLine="0" w:firstLineChars="0"/>
              <w:jc w:val="both"/>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能源消耗及温室气体排放</w:t>
            </w:r>
            <w:r>
              <w:rPr>
                <w:rStyle w:val="26"/>
                <w:rFonts w:hint="eastAsia" w:asciiTheme="minorEastAsia" w:hAnsiTheme="minorEastAsia" w:eastAsiaTheme="minorEastAsia" w:cstheme="minorEastAsia"/>
                <w:b/>
                <w:bCs/>
                <w:color w:val="000000"/>
                <w:kern w:val="0"/>
                <w:sz w:val="21"/>
                <w:szCs w:val="21"/>
                <w:lang w:bidi="ar"/>
              </w:rPr>
              <w:footnoteReference w:id="1"/>
            </w: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自由交通运输工具消耗油量</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both"/>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1</w:t>
            </w:r>
            <w:r>
              <w:rPr>
                <w:rFonts w:hint="eastAsia" w:asciiTheme="minorEastAsia" w:hAnsiTheme="minorEastAsia" w:eastAsiaTheme="minorEastAsia" w:cstheme="minorEastAsia"/>
                <w:b w:val="0"/>
                <w:bCs w:val="0"/>
                <w:color w:val="000000"/>
                <w:kern w:val="0"/>
                <w:sz w:val="21"/>
                <w:szCs w:val="21"/>
                <w:lang w:val="en-US" w:eastAsia="zh-CN" w:bidi="ar"/>
              </w:rPr>
              <w:t>2</w:t>
            </w:r>
            <w:r>
              <w:rPr>
                <w:rFonts w:hint="eastAsia" w:asciiTheme="minorEastAsia" w:hAnsiTheme="minorEastAsia" w:eastAsiaTheme="minorEastAsia" w:cstheme="minorEastAsia"/>
                <w:b w:val="0"/>
                <w:bCs w:val="0"/>
                <w:color w:val="000000"/>
                <w:kern w:val="0"/>
                <w:sz w:val="21"/>
                <w:szCs w:val="21"/>
                <w:lang w:bidi="ar"/>
              </w:rPr>
              <w:t>000</w:t>
            </w:r>
          </w:p>
        </w:tc>
      </w:tr>
      <w:tr>
        <w:tblPrEx>
          <w:tblCellMar>
            <w:top w:w="0" w:type="dxa"/>
            <w:left w:w="108" w:type="dxa"/>
            <w:bottom w:w="0" w:type="dxa"/>
            <w:right w:w="108" w:type="dxa"/>
          </w:tblCellMar>
        </w:tblPrEx>
        <w:trPr>
          <w:trHeight w:val="35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营业、办公活动所耗水</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1</w:t>
            </w:r>
            <w:r>
              <w:rPr>
                <w:rFonts w:hint="eastAsia" w:asciiTheme="minorEastAsia" w:hAnsiTheme="minorEastAsia" w:eastAsiaTheme="minorEastAsia" w:cstheme="minorEastAsia"/>
                <w:b w:val="0"/>
                <w:bCs w:val="0"/>
                <w:color w:val="000000"/>
                <w:kern w:val="0"/>
                <w:sz w:val="21"/>
                <w:szCs w:val="21"/>
                <w:lang w:val="en-US" w:eastAsia="zh-CN" w:bidi="ar"/>
              </w:rPr>
              <w:t>5</w:t>
            </w:r>
            <w:r>
              <w:rPr>
                <w:rFonts w:hint="eastAsia" w:asciiTheme="minorEastAsia" w:hAnsiTheme="minorEastAsia" w:eastAsiaTheme="minorEastAsia" w:cstheme="minorEastAsia"/>
                <w:b w:val="0"/>
                <w:bCs w:val="0"/>
                <w:color w:val="000000"/>
                <w:kern w:val="0"/>
                <w:sz w:val="21"/>
                <w:szCs w:val="21"/>
                <w:lang w:bidi="ar"/>
              </w:rPr>
              <w:t>000</w:t>
            </w:r>
          </w:p>
        </w:tc>
      </w:tr>
      <w:tr>
        <w:tblPrEx>
          <w:tblCellMar>
            <w:top w:w="0" w:type="dxa"/>
            <w:left w:w="108" w:type="dxa"/>
            <w:bottom w:w="0" w:type="dxa"/>
            <w:right w:w="108" w:type="dxa"/>
          </w:tblCellMar>
        </w:tblPrEx>
        <w:trPr>
          <w:trHeight w:val="35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营业、办公活动所电力</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千瓦时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2</w:t>
            </w:r>
            <w:r>
              <w:rPr>
                <w:rFonts w:hint="eastAsia" w:asciiTheme="minorEastAsia" w:hAnsiTheme="minorEastAsia" w:eastAsiaTheme="minorEastAsia" w:cstheme="minorEastAsia"/>
                <w:b w:val="0"/>
                <w:bCs w:val="0"/>
                <w:color w:val="000000"/>
                <w:kern w:val="0"/>
                <w:sz w:val="21"/>
                <w:szCs w:val="21"/>
                <w:lang w:val="en-US" w:eastAsia="zh-CN" w:bidi="ar"/>
              </w:rPr>
              <w:t>30</w:t>
            </w:r>
            <w:r>
              <w:rPr>
                <w:rFonts w:hint="eastAsia" w:asciiTheme="minorEastAsia" w:hAnsiTheme="minorEastAsia" w:eastAsiaTheme="minorEastAsia" w:cstheme="minorEastAsia"/>
                <w:b w:val="0"/>
                <w:bCs w:val="0"/>
                <w:color w:val="000000"/>
                <w:kern w:val="0"/>
                <w:sz w:val="21"/>
                <w:szCs w:val="21"/>
                <w:lang w:bidi="ar"/>
              </w:rPr>
              <w:t>0000</w:t>
            </w:r>
          </w:p>
        </w:tc>
      </w:tr>
      <w:tr>
        <w:tblPrEx>
          <w:tblCellMar>
            <w:top w:w="0" w:type="dxa"/>
            <w:left w:w="108" w:type="dxa"/>
            <w:bottom w:w="0" w:type="dxa"/>
            <w:right w:w="108" w:type="dxa"/>
          </w:tblCellMar>
        </w:tblPrEx>
        <w:trPr>
          <w:trHeight w:val="35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营业、办公活动所使用纸张</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张</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55</w:t>
            </w:r>
            <w:r>
              <w:rPr>
                <w:rFonts w:hint="eastAsia" w:asciiTheme="minorEastAsia" w:hAnsiTheme="minorEastAsia" w:eastAsiaTheme="minorEastAsia" w:cstheme="minorEastAsia"/>
                <w:b w:val="0"/>
                <w:bCs w:val="0"/>
                <w:color w:val="000000"/>
                <w:kern w:val="0"/>
                <w:sz w:val="21"/>
                <w:szCs w:val="21"/>
                <w:lang w:bidi="ar"/>
              </w:rPr>
              <w:t>0</w:t>
            </w:r>
            <w:r>
              <w:rPr>
                <w:rFonts w:hint="eastAsia" w:asciiTheme="minorEastAsia" w:hAnsiTheme="minorEastAsia" w:eastAsiaTheme="minorEastAsia" w:cstheme="minorEastAsia"/>
                <w:b w:val="0"/>
                <w:bCs w:val="0"/>
                <w:color w:val="000000"/>
                <w:kern w:val="0"/>
                <w:sz w:val="21"/>
                <w:szCs w:val="21"/>
                <w:lang w:val="en-US" w:eastAsia="zh-CN" w:bidi="ar"/>
              </w:rPr>
              <w:t>0</w:t>
            </w:r>
            <w:r>
              <w:rPr>
                <w:rFonts w:hint="eastAsia" w:asciiTheme="minorEastAsia" w:hAnsiTheme="minorEastAsia" w:eastAsiaTheme="minorEastAsia" w:cstheme="minorEastAsia"/>
                <w:b w:val="0"/>
                <w:bCs w:val="0"/>
                <w:color w:val="000000"/>
                <w:kern w:val="0"/>
                <w:sz w:val="21"/>
                <w:szCs w:val="21"/>
                <w:lang w:bidi="ar"/>
              </w:rPr>
              <w:t>000</w:t>
            </w:r>
          </w:p>
        </w:tc>
      </w:tr>
      <w:tr>
        <w:tblPrEx>
          <w:tblCellMar>
            <w:top w:w="0" w:type="dxa"/>
            <w:left w:w="108" w:type="dxa"/>
            <w:bottom w:w="0" w:type="dxa"/>
            <w:right w:w="108" w:type="dxa"/>
          </w:tblCellMar>
        </w:tblPrEx>
        <w:trPr>
          <w:trHeight w:val="362"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b w:val="0"/>
                <w:bCs w:val="0"/>
                <w:color w:val="000000"/>
                <w:sz w:val="21"/>
                <w:szCs w:val="21"/>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营业、办公活动所耗天然气</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kern w:val="0"/>
                <w:sz w:val="21"/>
                <w:szCs w:val="21"/>
                <w:lang w:bidi="ar"/>
              </w:rPr>
              <w:t>立方米</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overflowPunct/>
              <w:topLinePunct w:val="0"/>
              <w:bidi w:val="0"/>
              <w:adjustRightInd/>
              <w:spacing w:line="560" w:lineRule="exact"/>
              <w:ind w:left="0" w:leftChars="0" w:firstLine="420" w:firstLineChars="200"/>
              <w:jc w:val="center"/>
              <w:textAlignment w:val="bottom"/>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bidi="ar"/>
              </w:rPr>
              <w:t>950</w:t>
            </w:r>
          </w:p>
        </w:tc>
      </w:tr>
    </w:tbl>
    <w:p>
      <w:pPr>
        <w:pStyle w:val="2"/>
        <w:pageBreakBefore w:val="0"/>
        <w:kinsoku/>
        <w:overflowPunct/>
        <w:topLinePunct w:val="0"/>
        <w:bidi w:val="0"/>
        <w:adjustRightInd/>
        <w:spacing w:line="560" w:lineRule="exact"/>
        <w:ind w:left="0" w:leftChars="0" w:firstLine="480" w:firstLineChars="200"/>
        <w:rPr>
          <w:rFonts w:hint="eastAsia" w:ascii="宋体" w:hAnsi="宋体" w:eastAsia="仿宋_GB2312" w:cs="Times New Roman"/>
          <w:kern w:val="2"/>
          <w:sz w:val="24"/>
          <w:szCs w:val="18"/>
          <w:lang w:val="en-US" w:eastAsia="zh-CN" w:bidi="ar-SA"/>
        </w:rPr>
      </w:pPr>
      <w:r>
        <w:rPr>
          <w:rFonts w:hint="eastAsia" w:ascii="宋体" w:hAnsi="宋体" w:eastAsia="仿宋_GB2312" w:cs="Times New Roman"/>
          <w:kern w:val="2"/>
          <w:sz w:val="24"/>
          <w:szCs w:val="18"/>
          <w:lang w:val="en-US" w:eastAsia="zh-CN" w:bidi="ar-SA"/>
        </w:rPr>
        <w:t>注：</w:t>
      </w:r>
    </w:p>
    <w:p>
      <w:pPr>
        <w:pStyle w:val="2"/>
        <w:pageBreakBefore w:val="0"/>
        <w:kinsoku/>
        <w:overflowPunct/>
        <w:topLinePunct w:val="0"/>
        <w:bidi w:val="0"/>
        <w:adjustRightInd/>
        <w:spacing w:line="560" w:lineRule="exact"/>
        <w:ind w:left="0" w:leftChars="0" w:firstLine="480" w:firstLineChars="200"/>
        <w:rPr>
          <w:rFonts w:ascii="宋体" w:hAnsi="宋体" w:eastAsia="仿宋_GB2312" w:cs="Times New Roman"/>
          <w:kern w:val="2"/>
          <w:sz w:val="24"/>
          <w:szCs w:val="18"/>
          <w:lang w:val="en-US" w:eastAsia="zh-CN" w:bidi="ar-SA"/>
        </w:rPr>
      </w:pPr>
      <w:r>
        <w:rPr>
          <w:rFonts w:hint="eastAsia" w:ascii="宋体" w:hAnsi="宋体" w:eastAsia="仿宋_GB2312" w:cs="Times New Roman"/>
          <w:kern w:val="2"/>
          <w:sz w:val="24"/>
          <w:szCs w:val="18"/>
          <w:lang w:val="en-US" w:eastAsia="zh-CN" w:bidi="ar-SA"/>
        </w:rPr>
        <w:t>1.</w:t>
      </w:r>
      <w:r>
        <w:rPr>
          <w:rFonts w:ascii="宋体" w:hAnsi="宋体" w:eastAsia="仿宋_GB2312" w:cs="Times New Roman"/>
          <w:kern w:val="2"/>
          <w:sz w:val="24"/>
          <w:szCs w:val="18"/>
          <w:lang w:val="en-US" w:eastAsia="zh-CN" w:bidi="ar-SA"/>
        </w:rPr>
        <w:t>绿色金融业务相关数据为</w:t>
      </w:r>
      <w:r>
        <w:rPr>
          <w:rFonts w:hint="eastAsia" w:ascii="宋体" w:hAnsi="宋体" w:eastAsia="仿宋_GB2312" w:cs="Times New Roman"/>
          <w:kern w:val="2"/>
          <w:sz w:val="24"/>
          <w:szCs w:val="18"/>
          <w:lang w:val="en-US" w:eastAsia="zh-CN" w:bidi="ar-SA"/>
        </w:rPr>
        <w:t>人民银行</w:t>
      </w:r>
      <w:r>
        <w:rPr>
          <w:rFonts w:ascii="宋体" w:hAnsi="宋体" w:eastAsia="仿宋_GB2312" w:cs="Times New Roman"/>
          <w:kern w:val="2"/>
          <w:sz w:val="24"/>
          <w:szCs w:val="18"/>
          <w:lang w:val="en-US" w:eastAsia="zh-CN" w:bidi="ar-SA"/>
        </w:rPr>
        <w:t>口径；</w:t>
      </w:r>
    </w:p>
    <w:p>
      <w:pPr>
        <w:pStyle w:val="2"/>
        <w:pageBreakBefore w:val="0"/>
        <w:kinsoku/>
        <w:overflowPunct/>
        <w:topLinePunct w:val="0"/>
        <w:bidi w:val="0"/>
        <w:adjustRightInd/>
        <w:spacing w:line="560" w:lineRule="exact"/>
        <w:ind w:left="0" w:leftChars="0" w:firstLine="480" w:firstLineChars="200"/>
        <w:rPr>
          <w:rFonts w:hint="eastAsia" w:ascii="宋体" w:hAnsi="宋体" w:cs="宋体"/>
          <w:b/>
          <w:bCs/>
          <w:color w:val="000000"/>
          <w:kern w:val="0"/>
          <w:szCs w:val="28"/>
        </w:rPr>
      </w:pPr>
      <w:r>
        <w:rPr>
          <w:rFonts w:hint="eastAsia" w:ascii="宋体" w:hAnsi="宋体" w:eastAsia="仿宋_GB2312" w:cs="Times New Roman"/>
          <w:kern w:val="2"/>
          <w:sz w:val="24"/>
          <w:szCs w:val="18"/>
          <w:lang w:val="en-US" w:eastAsia="zh-CN" w:bidi="ar-SA"/>
        </w:rPr>
        <w:t>2.2</w:t>
      </w:r>
      <w:r>
        <w:rPr>
          <w:rFonts w:ascii="宋体" w:hAnsi="宋体" w:eastAsia="仿宋_GB2312" w:cs="Times New Roman"/>
          <w:kern w:val="2"/>
          <w:sz w:val="24"/>
          <w:szCs w:val="18"/>
          <w:lang w:val="en-US" w:eastAsia="zh-CN" w:bidi="ar-SA"/>
        </w:rPr>
        <w:t>02</w:t>
      </w:r>
      <w:r>
        <w:rPr>
          <w:rFonts w:hint="eastAsia" w:ascii="宋体" w:cs="Times New Roman"/>
          <w:kern w:val="2"/>
          <w:sz w:val="24"/>
          <w:szCs w:val="18"/>
          <w:lang w:val="en-US" w:eastAsia="zh-CN" w:bidi="ar-SA"/>
        </w:rPr>
        <w:t>2</w:t>
      </w:r>
      <w:r>
        <w:rPr>
          <w:rFonts w:ascii="宋体" w:hAnsi="宋体" w:eastAsia="仿宋_GB2312" w:cs="Times New Roman"/>
          <w:kern w:val="2"/>
          <w:sz w:val="24"/>
          <w:szCs w:val="18"/>
          <w:lang w:val="en-US" w:eastAsia="zh-CN" w:bidi="ar-SA"/>
        </w:rPr>
        <w:t>年能源消耗及温室气体排放总量统计对象范围为总行及辖内分支构；</w:t>
      </w:r>
    </w:p>
    <w:p>
      <w:pPr>
        <w:pStyle w:val="3"/>
        <w:pageBreakBefore w:val="0"/>
        <w:kinsoku/>
        <w:overflowPunct/>
        <w:topLinePunct w:val="0"/>
        <w:bidi w:val="0"/>
        <w:adjustRightInd/>
        <w:spacing w:beforeLines="0" w:afterLines="0" w:line="560" w:lineRule="exact"/>
        <w:ind w:left="0" w:leftChars="0" w:firstLine="640" w:firstLineChars="200"/>
        <w:rPr>
          <w:rFonts w:hint="eastAsia"/>
        </w:rPr>
      </w:pPr>
      <w:bookmarkStart w:id="6" w:name="_Toc20326"/>
      <w:r>
        <w:rPr>
          <w:rFonts w:hint="eastAsia"/>
        </w:rPr>
        <w:t>二、环境相关治理结构</w:t>
      </w:r>
      <w:bookmarkEnd w:id="6"/>
    </w:p>
    <w:p>
      <w:pPr>
        <w:pageBreakBefore w:val="0"/>
        <w:kinsoku/>
        <w:overflowPunct/>
        <w:topLinePunct w:val="0"/>
        <w:bidi w:val="0"/>
        <w:adjustRightInd/>
        <w:spacing w:line="560" w:lineRule="exact"/>
        <w:ind w:left="0" w:leftChars="0" w:firstLine="640" w:firstLineChars="200"/>
      </w:pPr>
      <w:r>
        <w:rPr>
          <w:rFonts w:hint="eastAsia"/>
        </w:rPr>
        <w:t>为建立健全管理体系，构建职责清晰</w:t>
      </w:r>
      <w:r>
        <w:rPr>
          <w:rFonts w:hint="eastAsia" w:cs="Times New Roman"/>
          <w:lang w:val="zh-TW"/>
        </w:rPr>
        <w:t>、相</w:t>
      </w:r>
      <w:r>
        <w:rPr>
          <w:rFonts w:hint="eastAsia" w:cs="Times New Roman"/>
          <w:strike w:val="0"/>
          <w:dstrike w:val="0"/>
          <w:lang w:val="zh-TW"/>
        </w:rPr>
        <w:t>互制衡</w:t>
      </w:r>
      <w:r>
        <w:rPr>
          <w:rFonts w:hint="eastAsia" w:cs="Times New Roman"/>
          <w:lang w:val="zh-TW"/>
        </w:rPr>
        <w:t>、运行高效的全面管理组织架构，切实提升管理能力和水平，</w:t>
      </w:r>
      <w:r>
        <w:rPr>
          <w:rFonts w:hint="eastAsia" w:cs="Times New Roman"/>
          <w:lang w:val="en-US" w:eastAsia="zh-CN"/>
        </w:rPr>
        <w:t>我行</w:t>
      </w:r>
      <w:r>
        <w:rPr>
          <w:rFonts w:hint="eastAsia" w:cs="Times New Roman"/>
          <w:lang w:val="zh-TW"/>
        </w:rPr>
        <w:t>从董事会、</w:t>
      </w:r>
      <w:r>
        <w:rPr>
          <w:rFonts w:hint="eastAsia" w:cs="Times New Roman"/>
          <w:lang w:val="en-US" w:eastAsia="zh-CN"/>
        </w:rPr>
        <w:t>经营</w:t>
      </w:r>
      <w:r>
        <w:rPr>
          <w:rFonts w:hint="eastAsia" w:cs="Times New Roman"/>
          <w:lang w:val="zh-TW"/>
        </w:rPr>
        <w:t>层、归口管理部门</w:t>
      </w:r>
      <w:r>
        <w:rPr>
          <w:rFonts w:hint="eastAsia" w:cs="Times New Roman"/>
          <w:lang w:val="zh-TW" w:eastAsia="zh-CN"/>
        </w:rPr>
        <w:t>、</w:t>
      </w:r>
      <w:r>
        <w:rPr>
          <w:rFonts w:hint="eastAsia" w:cs="Times New Roman"/>
          <w:lang w:val="en-US" w:eastAsia="zh-CN"/>
        </w:rPr>
        <w:t>营业网点四</w:t>
      </w:r>
      <w:r>
        <w:rPr>
          <w:rFonts w:hint="eastAsia" w:cs="Times New Roman"/>
          <w:lang w:val="zh-TW"/>
        </w:rPr>
        <w:t>个层面合理设置绿色信贷组织管理机构，明确各级机构在绿色信</w:t>
      </w:r>
      <w:r>
        <w:rPr>
          <w:rFonts w:hint="eastAsia"/>
        </w:rPr>
        <w:t>贷工作中的职责定位，确保绿色信贷战略目标</w:t>
      </w:r>
      <w:r>
        <w:rPr>
          <w:rFonts w:hint="eastAsia"/>
          <w:lang w:val="en-US" w:eastAsia="zh-CN"/>
        </w:rPr>
        <w:t>能够</w:t>
      </w:r>
      <w:r>
        <w:rPr>
          <w:rFonts w:hint="eastAsia"/>
        </w:rPr>
        <w:t>有效确立和实施</w:t>
      </w:r>
      <w:r>
        <w:rPr>
          <w:rFonts w:hint="eastAsia"/>
          <w:lang w:eastAsia="zh-CN"/>
        </w:rPr>
        <w:t>。</w:t>
      </w:r>
    </w:p>
    <w:p>
      <w:pPr>
        <w:pStyle w:val="4"/>
        <w:pageBreakBefore w:val="0"/>
        <w:kinsoku/>
        <w:overflowPunct/>
        <w:topLinePunct w:val="0"/>
        <w:bidi w:val="0"/>
        <w:adjustRightInd/>
        <w:spacing w:beforeLines="0" w:afterLines="0" w:line="560" w:lineRule="exact"/>
        <w:ind w:left="0" w:leftChars="0" w:firstLine="640" w:firstLineChars="200"/>
        <w:rPr>
          <w:rFonts w:hint="eastAsia"/>
          <w:lang w:val="en-US" w:eastAsia="zh-CN"/>
        </w:rPr>
      </w:pPr>
      <w:bookmarkStart w:id="7" w:name="_Toc15051"/>
      <w:r>
        <w:rPr>
          <w:rFonts w:hint="eastAsia"/>
        </w:rPr>
        <w:t>（一）董事会</w:t>
      </w:r>
      <w:r>
        <w:rPr>
          <w:rFonts w:hint="eastAsia"/>
          <w:lang w:val="en-US" w:eastAsia="zh-CN"/>
        </w:rPr>
        <w:t>及经营</w:t>
      </w:r>
      <w:r>
        <w:rPr>
          <w:rFonts w:hint="eastAsia"/>
        </w:rPr>
        <w:t>层</w:t>
      </w:r>
      <w:bookmarkEnd w:id="7"/>
    </w:p>
    <w:p>
      <w:pPr>
        <w:pageBreakBefore w:val="0"/>
        <w:kinsoku/>
        <w:overflowPunct/>
        <w:topLinePunct w:val="0"/>
        <w:bidi w:val="0"/>
        <w:adjustRightInd/>
        <w:spacing w:line="560" w:lineRule="exact"/>
        <w:ind w:left="0" w:leftChars="0" w:firstLine="640" w:firstLineChars="200"/>
        <w:rPr>
          <w:rFonts w:hint="eastAsia"/>
          <w:lang w:eastAsia="zh-CN"/>
        </w:rPr>
      </w:pPr>
      <w:r>
        <w:rPr>
          <w:rFonts w:hint="eastAsia"/>
          <w:lang w:val="zh-TW" w:eastAsia="zh-CN"/>
        </w:rPr>
        <w:t>我行</w:t>
      </w:r>
      <w:r>
        <w:rPr>
          <w:rFonts w:hint="eastAsia"/>
          <w:lang w:val="zh-TW"/>
        </w:rPr>
        <w:t>致力于建立高水平的绿色金融治理体系，通过“三会一层”的组织架构有效落实绿色金融的管理工作，其中股东大会为最高权力机构，董事会为决策核心，监事会为监督核心，高级管理层负责公司的日常经营管理，“三会一层”负责监督和审阅</w:t>
      </w:r>
      <w:r>
        <w:rPr>
          <w:rFonts w:hint="eastAsia"/>
          <w:lang w:val="zh-TW" w:eastAsia="zh-CN"/>
        </w:rPr>
        <w:t>我行</w:t>
      </w:r>
      <w:r>
        <w:rPr>
          <w:rFonts w:hint="eastAsia"/>
          <w:lang w:val="zh-TW"/>
        </w:rPr>
        <w:t>绿金金融及环境影响的表现，根据</w:t>
      </w:r>
      <w:r>
        <w:rPr>
          <w:rFonts w:hint="eastAsia"/>
        </w:rPr>
        <w:t>《省联社办公室关于印发贵州省农村信用社加强绿色金融建设助力碳达峰碳中和指导意见（2021-2025年）的通知》精神，总行成立以董事长为组长，其他班子成员为副组长，相关部门负责人为组员的领导小组，</w:t>
      </w:r>
      <w:r>
        <w:rPr>
          <w:rFonts w:hint="eastAsia"/>
          <w:lang w:val="en-US" w:eastAsia="zh-CN"/>
        </w:rPr>
        <w:t>领导经营层决策管理，</w:t>
      </w:r>
      <w:r>
        <w:rPr>
          <w:rFonts w:hint="eastAsia"/>
        </w:rPr>
        <w:t>加强对绿色金融建设的组织领导和协调推进</w:t>
      </w:r>
      <w:r>
        <w:rPr>
          <w:rFonts w:hint="eastAsia"/>
          <w:lang w:eastAsia="zh-CN"/>
        </w:rPr>
        <w:t>。</w:t>
      </w:r>
    </w:p>
    <w:p>
      <w:pPr>
        <w:pStyle w:val="4"/>
        <w:pageBreakBefore w:val="0"/>
        <w:kinsoku/>
        <w:overflowPunct/>
        <w:topLinePunct w:val="0"/>
        <w:bidi w:val="0"/>
        <w:adjustRightInd/>
        <w:spacing w:beforeLines="0" w:afterLines="0" w:line="560" w:lineRule="exact"/>
        <w:ind w:left="0" w:leftChars="0" w:firstLine="640" w:firstLineChars="200"/>
        <w:rPr>
          <w:rFonts w:hint="default"/>
          <w:lang w:val="en-US" w:eastAsia="zh-CN"/>
        </w:rPr>
      </w:pPr>
      <w:bookmarkStart w:id="8" w:name="_Toc28139"/>
      <w:r>
        <w:rPr>
          <w:rFonts w:hint="eastAsia"/>
        </w:rPr>
        <w:t>（二）</w:t>
      </w:r>
      <w:r>
        <w:rPr>
          <w:rFonts w:hint="eastAsia"/>
          <w:lang w:val="en-US" w:eastAsia="zh-CN"/>
        </w:rPr>
        <w:t>归口管理部门</w:t>
      </w:r>
      <w:bookmarkEnd w:id="8"/>
    </w:p>
    <w:p>
      <w:pPr>
        <w:pageBreakBefore w:val="0"/>
        <w:kinsoku/>
        <w:overflowPunct/>
        <w:topLinePunct w:val="0"/>
        <w:bidi w:val="0"/>
        <w:adjustRightInd/>
        <w:spacing w:line="560" w:lineRule="exact"/>
        <w:ind w:left="0" w:leftChars="0" w:firstLine="640" w:firstLineChars="200"/>
        <w:rPr>
          <w:rFonts w:hint="eastAsia"/>
        </w:rPr>
      </w:pPr>
      <w:r>
        <w:rPr>
          <w:rFonts w:hint="eastAsia"/>
          <w:lang w:val="en-US" w:eastAsia="zh-CN"/>
        </w:rPr>
        <w:t>业务发展部</w:t>
      </w:r>
      <w:r>
        <w:rPr>
          <w:rFonts w:hint="eastAsia"/>
        </w:rPr>
        <w:t>作为绿色信贷归口管理部门，牵头完善绿色金融管理制度</w:t>
      </w:r>
      <w:r>
        <w:rPr>
          <w:rFonts w:hint="eastAsia"/>
          <w:lang w:eastAsia="zh-CN"/>
        </w:rPr>
        <w:t>，</w:t>
      </w:r>
      <w:r>
        <w:rPr>
          <w:rFonts w:hint="eastAsia"/>
        </w:rPr>
        <w:t>优化绿色金融服务流程管理、优化和丰富产品体系，负责绿色信贷业务的授信、用信审批，持续优化提升绿色信贷业务审批效率。合规风险管理部负责绿色信贷贷后管理，建立客户重大环境和社会风险的内部报告制度。</w:t>
      </w:r>
    </w:p>
    <w:p>
      <w:pPr>
        <w:pStyle w:val="4"/>
        <w:pageBreakBefore w:val="0"/>
        <w:kinsoku/>
        <w:overflowPunct/>
        <w:topLinePunct w:val="0"/>
        <w:bidi w:val="0"/>
        <w:adjustRightInd/>
        <w:spacing w:beforeLines="0" w:afterLines="0" w:line="560" w:lineRule="exact"/>
        <w:ind w:left="0" w:leftChars="0" w:firstLine="640" w:firstLineChars="200"/>
        <w:rPr>
          <w:rFonts w:hint="default"/>
          <w:lang w:val="en-US" w:eastAsia="zh-CN"/>
        </w:rPr>
      </w:pPr>
      <w:bookmarkStart w:id="9" w:name="_Toc30161"/>
      <w:r>
        <w:rPr>
          <w:rFonts w:hint="eastAsia"/>
          <w:lang w:eastAsia="zh-CN"/>
        </w:rPr>
        <w:t>（</w:t>
      </w:r>
      <w:r>
        <w:rPr>
          <w:rFonts w:hint="eastAsia"/>
          <w:lang w:val="en-US" w:eastAsia="zh-CN"/>
        </w:rPr>
        <w:t>三</w:t>
      </w:r>
      <w:r>
        <w:rPr>
          <w:rFonts w:hint="eastAsia"/>
          <w:lang w:eastAsia="zh-CN"/>
        </w:rPr>
        <w:t>）</w:t>
      </w:r>
      <w:r>
        <w:rPr>
          <w:rFonts w:hint="eastAsia"/>
          <w:lang w:val="en-US" w:eastAsia="zh-CN"/>
        </w:rPr>
        <w:t>营业网点</w:t>
      </w:r>
      <w:bookmarkEnd w:id="9"/>
    </w:p>
    <w:p>
      <w:pPr>
        <w:pageBreakBefore w:val="0"/>
        <w:kinsoku/>
        <w:overflowPunct/>
        <w:topLinePunct w:val="0"/>
        <w:bidi w:val="0"/>
        <w:adjustRightInd/>
        <w:spacing w:line="560" w:lineRule="exact"/>
        <w:ind w:left="0" w:leftChars="0" w:firstLine="640" w:firstLineChars="200"/>
        <w:rPr>
          <w:rFonts w:hint="eastAsia"/>
          <w:lang w:eastAsia="zh-CN"/>
        </w:rPr>
      </w:pPr>
      <w:r>
        <w:rPr>
          <w:rFonts w:hint="eastAsia"/>
        </w:rPr>
        <w:t>为充分发挥好基层党支部的前沿阵地作用和地域优势，龙里农商银行创新服务模式，以“党建+”形式在全辖设立了</w:t>
      </w:r>
      <w:r>
        <w:rPr>
          <w:rFonts w:hint="eastAsia"/>
          <w:lang w:val="en-US" w:eastAsia="zh-CN"/>
        </w:rPr>
        <w:t>1个小微中心，2个商户中心</w:t>
      </w:r>
      <w:r>
        <w:rPr>
          <w:rFonts w:hint="eastAsia"/>
        </w:rPr>
        <w:t>，配备了小微金融服务客户经理，实现客户经理全覆盖网格营销管理，做到“银企无缝对接”，</w:t>
      </w:r>
      <w:r>
        <w:rPr>
          <w:rFonts w:hint="eastAsia"/>
          <w:lang w:val="en-US" w:eastAsia="zh-CN"/>
        </w:rPr>
        <w:t>大力推进绿色信贷投放工作进度</w:t>
      </w:r>
      <w:r>
        <w:rPr>
          <w:rFonts w:hint="eastAsia"/>
        </w:rPr>
        <w:t>。</w:t>
      </w:r>
    </w:p>
    <w:p>
      <w:pPr>
        <w:pStyle w:val="3"/>
        <w:pageBreakBefore w:val="0"/>
        <w:kinsoku/>
        <w:overflowPunct/>
        <w:topLinePunct w:val="0"/>
        <w:bidi w:val="0"/>
        <w:adjustRightInd/>
        <w:spacing w:beforeLines="0" w:afterLines="0" w:line="560" w:lineRule="exact"/>
        <w:ind w:left="0" w:leftChars="0" w:firstLine="640" w:firstLineChars="200"/>
      </w:pPr>
      <w:bookmarkStart w:id="10" w:name="_Toc14018"/>
      <w:r>
        <w:rPr>
          <w:rFonts w:hint="eastAsia"/>
        </w:rPr>
        <w:t>三、环境相关政策制度</w:t>
      </w:r>
      <w:bookmarkEnd w:id="10"/>
    </w:p>
    <w:p>
      <w:pPr>
        <w:pStyle w:val="4"/>
        <w:pageBreakBefore w:val="0"/>
        <w:kinsoku/>
        <w:overflowPunct/>
        <w:topLinePunct w:val="0"/>
        <w:bidi w:val="0"/>
        <w:adjustRightInd/>
        <w:spacing w:beforeLines="0" w:afterLines="0" w:line="560" w:lineRule="exact"/>
        <w:ind w:left="0" w:leftChars="0" w:firstLine="640" w:firstLineChars="200"/>
        <w:rPr>
          <w:rFonts w:ascii="楷体_GB2312" w:hAnsi="楷体_GB2312" w:eastAsia="楷体_GB2312" w:cs="楷体_GB2312"/>
          <w:szCs w:val="32"/>
        </w:rPr>
      </w:pPr>
      <w:bookmarkStart w:id="11" w:name="_Toc29879"/>
      <w:r>
        <w:rPr>
          <w:rFonts w:hint="eastAsia"/>
        </w:rPr>
        <w:t>（一）</w:t>
      </w:r>
      <w:r>
        <w:rPr>
          <w:rFonts w:hint="eastAsia"/>
          <w:lang w:val="en-US" w:eastAsia="zh-CN"/>
        </w:rPr>
        <w:t>省联社</w:t>
      </w:r>
      <w:r>
        <w:rPr>
          <w:rFonts w:hint="eastAsia"/>
        </w:rPr>
        <w:t>政策制度</w:t>
      </w:r>
      <w:bookmarkEnd w:id="11"/>
    </w:p>
    <w:p>
      <w:pPr>
        <w:pStyle w:val="18"/>
        <w:pageBreakBefore w:val="0"/>
        <w:widowControl/>
        <w:kinsoku/>
        <w:overflowPunct/>
        <w:topLinePunct w:val="0"/>
        <w:bidi w:val="0"/>
        <w:adjustRightInd/>
        <w:spacing w:beforeAutospacing="0" w:afterAutospacing="0" w:line="560" w:lineRule="exact"/>
        <w:ind w:left="0" w:leftChars="0" w:firstLine="562" w:firstLineChars="200"/>
        <w:jc w:val="center"/>
        <w:outlineLvl w:val="1"/>
        <w:rPr>
          <w:rFonts w:ascii="Times New Roman" w:hAnsi="Times New Roman"/>
          <w:b/>
          <w:bCs/>
        </w:rPr>
      </w:pPr>
      <w:bookmarkStart w:id="12" w:name="_Toc22641"/>
      <w:r>
        <w:rPr>
          <w:rFonts w:hint="eastAsia" w:asciiTheme="minorEastAsia" w:hAnsiTheme="minorEastAsia" w:eastAsiaTheme="minorEastAsia" w:cstheme="minorEastAsia"/>
          <w:b/>
          <w:bCs/>
          <w:sz w:val="28"/>
          <w:szCs w:val="28"/>
          <w:lang w:val="en-US" w:eastAsia="zh-CN"/>
        </w:rPr>
        <w:t>省联社</w:t>
      </w:r>
      <w:r>
        <w:rPr>
          <w:rFonts w:hint="eastAsia" w:asciiTheme="minorEastAsia" w:hAnsiTheme="minorEastAsia" w:eastAsiaTheme="minorEastAsia" w:cstheme="minorEastAsia"/>
          <w:b/>
          <w:bCs/>
          <w:sz w:val="28"/>
          <w:szCs w:val="28"/>
        </w:rPr>
        <w:t>印发的绿色金融重要政策清单</w:t>
      </w:r>
      <w:bookmarkEnd w:id="1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ascii="Times New Roman" w:hAnsi="Times New Roman" w:eastAsiaTheme="minorEastAsia"/>
                <w:sz w:val="21"/>
                <w:szCs w:val="21"/>
              </w:rPr>
            </w:pPr>
            <w:r>
              <w:rPr>
                <w:rFonts w:ascii="Times New Roman" w:hAnsi="Times New Roman" w:eastAsiaTheme="minorEastAsia"/>
                <w:sz w:val="21"/>
                <w:szCs w:val="21"/>
              </w:rPr>
              <w:t>序号</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jc w:val="center"/>
              <w:rPr>
                <w:rFonts w:ascii="Times New Roman" w:hAnsi="Times New Roman" w:eastAsiaTheme="minorEastAsia"/>
                <w:sz w:val="21"/>
                <w:szCs w:val="21"/>
              </w:rPr>
            </w:pPr>
            <w:r>
              <w:rPr>
                <w:rFonts w:ascii="Times New Roman" w:hAnsi="Times New Roman" w:eastAsiaTheme="minorEastAsia"/>
                <w:sz w:val="21"/>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pageBreakBefore w:val="0"/>
              <w:widowControl/>
              <w:kinsoku/>
              <w:overflowPunct/>
              <w:topLinePunct w:val="0"/>
              <w:bidi w:val="0"/>
              <w:adjustRightInd/>
              <w:spacing w:beforeAutospacing="0" w:afterAutospacing="0" w:line="560" w:lineRule="exact"/>
              <w:ind w:left="0" w:leftChars="0"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1</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ascii="Times New Roman" w:hAnsi="Times New Roman" w:eastAsiaTheme="minorEastAsia"/>
                <w:sz w:val="21"/>
                <w:szCs w:val="21"/>
              </w:rPr>
            </w:pPr>
            <w:r>
              <w:rPr>
                <w:rFonts w:ascii="Times New Roman" w:hAnsi="Times New Roman" w:eastAsiaTheme="minorEastAsia"/>
                <w:sz w:val="21"/>
                <w:szCs w:val="21"/>
              </w:rPr>
              <w:t>《省联社办公室关于印发&lt;贵州省农村信用社绿色信贷管理指引&gt;的通知》（黔农信办发〔2020〕452号）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pPr>
              <w:pStyle w:val="18"/>
              <w:pageBreakBefore w:val="0"/>
              <w:widowControl/>
              <w:kinsoku/>
              <w:overflowPunct/>
              <w:topLinePunct w:val="0"/>
              <w:bidi w:val="0"/>
              <w:adjustRightInd/>
              <w:spacing w:beforeAutospacing="0" w:afterAutospacing="0" w:line="560" w:lineRule="exact"/>
              <w:ind w:left="0" w:leftChars="0"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2</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ascii="Times New Roman" w:hAnsi="Times New Roman" w:eastAsiaTheme="minorEastAsia"/>
                <w:sz w:val="21"/>
                <w:szCs w:val="21"/>
              </w:rPr>
            </w:pPr>
            <w:r>
              <w:rPr>
                <w:rFonts w:ascii="Times New Roman" w:hAnsi="Times New Roman" w:eastAsiaTheme="minorEastAsia"/>
                <w:sz w:val="21"/>
                <w:szCs w:val="21"/>
              </w:rPr>
              <w:t>《省联社办公室关于印发贵州省农村信用社加强绿色金融建设助力碳达峰碳中和指导意见（2021-2025年）的通知》（黔农信办发〔2021〕318号）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pageBreakBefore w:val="0"/>
              <w:widowControl/>
              <w:kinsoku/>
              <w:overflowPunct/>
              <w:topLinePunct w:val="0"/>
              <w:bidi w:val="0"/>
              <w:adjustRightInd/>
              <w:spacing w:beforeAutospacing="0" w:afterAutospacing="0" w:line="560" w:lineRule="exact"/>
              <w:ind w:left="0" w:leftChars="0" w:firstLine="420" w:firstLineChars="200"/>
              <w:jc w:val="both"/>
              <w:rPr>
                <w:rFonts w:ascii="Times New Roman" w:hAnsi="Times New Roman" w:eastAsiaTheme="minorEastAsia"/>
                <w:sz w:val="21"/>
                <w:szCs w:val="21"/>
              </w:rPr>
            </w:pPr>
            <w:r>
              <w:rPr>
                <w:rFonts w:ascii="Times New Roman" w:hAnsi="Times New Roman" w:eastAsiaTheme="minorEastAsia"/>
                <w:sz w:val="21"/>
                <w:szCs w:val="21"/>
              </w:rPr>
              <w:t>3</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ascii="Times New Roman" w:hAnsi="Times New Roman" w:eastAsiaTheme="minorEastAsia"/>
                <w:sz w:val="21"/>
                <w:szCs w:val="21"/>
              </w:rPr>
            </w:pPr>
            <w:r>
              <w:rPr>
                <w:rFonts w:ascii="Times New Roman" w:hAnsi="Times New Roman" w:eastAsiaTheme="minorEastAsia"/>
                <w:sz w:val="21"/>
                <w:szCs w:val="21"/>
              </w:rPr>
              <w:t>《省联社办公室关于印发贵州省农村信用社2021年度环境信息披露工作实施方案的通知》（黔农信办函〔2022〕28号）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pageBreakBefore w:val="0"/>
              <w:widowControl/>
              <w:kinsoku/>
              <w:overflowPunct/>
              <w:topLinePunct w:val="0"/>
              <w:bidi w:val="0"/>
              <w:adjustRightInd/>
              <w:spacing w:beforeAutospacing="0" w:afterAutospacing="0" w:line="560" w:lineRule="exact"/>
              <w:ind w:left="0" w:leftChars="0" w:firstLine="420" w:firstLineChars="200"/>
              <w:jc w:val="both"/>
              <w:rPr>
                <w:rFonts w:ascii="Times New Roman" w:hAnsi="Times New Roman" w:eastAsiaTheme="minorEastAsia"/>
                <w:sz w:val="21"/>
                <w:szCs w:val="21"/>
              </w:rPr>
            </w:pPr>
            <w:r>
              <w:rPr>
                <w:rFonts w:hint="eastAsia" w:ascii="Times New Roman" w:hAnsi="Times New Roman" w:eastAsiaTheme="minorEastAsia"/>
                <w:sz w:val="21"/>
                <w:szCs w:val="21"/>
              </w:rPr>
              <w:t>4</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ascii="Times New Roman" w:hAnsi="Times New Roman" w:eastAsiaTheme="minorEastAsia"/>
                <w:sz w:val="21"/>
                <w:szCs w:val="21"/>
              </w:rPr>
            </w:pPr>
            <w:r>
              <w:rPr>
                <w:rFonts w:ascii="Times New Roman" w:hAnsi="Times New Roman" w:eastAsiaTheme="minorEastAsia"/>
                <w:sz w:val="21"/>
                <w:szCs w:val="21"/>
              </w:rPr>
              <w:t>《关于研究省级绿色金融改革创新发展试点县建设工作专题会议纪要》（黔农信专议〔2022〕13号）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8"/>
              <w:pageBreakBefore w:val="0"/>
              <w:widowControl/>
              <w:kinsoku/>
              <w:overflowPunct/>
              <w:topLinePunct w:val="0"/>
              <w:bidi w:val="0"/>
              <w:adjustRightInd/>
              <w:spacing w:beforeAutospacing="0" w:afterAutospacing="0" w:line="560" w:lineRule="exact"/>
              <w:ind w:left="0" w:leftChars="0" w:firstLine="420" w:firstLineChars="200"/>
              <w:jc w:val="both"/>
              <w:rPr>
                <w:rFonts w:hint="default" w:ascii="Times New Roman" w:hAnsi="Times New Roman" w:eastAsiaTheme="minorEastAsia"/>
                <w:sz w:val="21"/>
                <w:szCs w:val="21"/>
              </w:rPr>
            </w:pPr>
            <w:r>
              <w:rPr>
                <w:rFonts w:hint="default" w:ascii="Times New Roman" w:hAnsi="Times New Roman" w:eastAsiaTheme="minorEastAsia"/>
                <w:sz w:val="21"/>
                <w:szCs w:val="21"/>
              </w:rPr>
              <w:t>5</w:t>
            </w:r>
          </w:p>
        </w:tc>
        <w:tc>
          <w:tcPr>
            <w:tcW w:w="7823" w:type="dxa"/>
          </w:tcPr>
          <w:p>
            <w:pPr>
              <w:pStyle w:val="18"/>
              <w:pageBreakBefore w:val="0"/>
              <w:widowControl/>
              <w:kinsoku/>
              <w:overflowPunct/>
              <w:topLinePunct w:val="0"/>
              <w:bidi w:val="0"/>
              <w:adjustRightInd/>
              <w:spacing w:beforeAutospacing="0" w:afterAutospacing="0" w:line="560" w:lineRule="exact"/>
              <w:ind w:left="0" w:leftChars="0" w:firstLine="420" w:firstLineChars="200"/>
              <w:rPr>
                <w:rFonts w:hint="default" w:ascii="Times New Roman" w:hAnsi="Times New Roman" w:eastAsiaTheme="minorEastAsia"/>
                <w:sz w:val="21"/>
                <w:szCs w:val="21"/>
              </w:rPr>
            </w:pPr>
            <w:r>
              <w:rPr>
                <w:rFonts w:hint="default" w:ascii="Times New Roman" w:hAnsi="Times New Roman" w:eastAsiaTheme="minorEastAsia"/>
                <w:sz w:val="21"/>
                <w:szCs w:val="21"/>
              </w:rPr>
              <w:t>《</w:t>
            </w:r>
            <w:r>
              <w:rPr>
                <w:rFonts w:hint="eastAsia" w:ascii="Times New Roman" w:hAnsi="Times New Roman" w:eastAsiaTheme="minorEastAsia"/>
                <w:sz w:val="21"/>
                <w:szCs w:val="21"/>
              </w:rPr>
              <w:t>省联社关于支持台江县经济社会发展的意见</w:t>
            </w:r>
            <w:r>
              <w:rPr>
                <w:rFonts w:hint="default" w:ascii="Times New Roman" w:hAnsi="Times New Roman" w:eastAsiaTheme="minorEastAsia"/>
                <w:sz w:val="21"/>
                <w:szCs w:val="21"/>
              </w:rPr>
              <w:t>》（</w:t>
            </w:r>
            <w:r>
              <w:rPr>
                <w:rFonts w:hint="eastAsia" w:ascii="Times New Roman" w:hAnsi="Times New Roman" w:eastAsiaTheme="minorEastAsia"/>
                <w:sz w:val="21"/>
                <w:szCs w:val="21"/>
              </w:rPr>
              <w:t>黔农信发〔2022〕11号</w:t>
            </w:r>
            <w:r>
              <w:rPr>
                <w:rFonts w:hint="default" w:ascii="Times New Roman" w:hAnsi="Times New Roman" w:eastAsiaTheme="minorEastAsia"/>
                <w:sz w:val="21"/>
                <w:szCs w:val="21"/>
              </w:rPr>
              <w:t>）</w:t>
            </w:r>
          </w:p>
        </w:tc>
      </w:tr>
    </w:tbl>
    <w:p>
      <w:pPr>
        <w:pageBreakBefore w:val="0"/>
        <w:kinsoku/>
        <w:overflowPunct/>
        <w:topLinePunct w:val="0"/>
        <w:bidi w:val="0"/>
        <w:adjustRightInd/>
        <w:spacing w:line="560" w:lineRule="exact"/>
        <w:ind w:left="0" w:leftChars="0" w:firstLine="640" w:firstLineChars="200"/>
      </w:pPr>
      <w:r>
        <w:rPr>
          <w:rFonts w:ascii="Times New Roman" w:hAnsi="Times New Roman" w:eastAsia="仿宋_GB2312"/>
          <w:sz w:val="32"/>
          <w:szCs w:val="32"/>
          <w:highlight w:val="none"/>
        </w:rPr>
        <w:t>通过印发上述文件，将党和国家的绿色金融相关工作要求内化为具体工作举措</w:t>
      </w:r>
      <w:r>
        <w:rPr>
          <w:rFonts w:hint="eastAsia" w:ascii="Times New Roman" w:hAnsi="Times New Roman" w:eastAsia="仿宋_GB2312"/>
          <w:sz w:val="32"/>
          <w:szCs w:val="32"/>
          <w:highlight w:val="none"/>
        </w:rPr>
        <w:t>。《贵州省农村信用社绿色信贷管理指引》为全省行社规范开展绿色信贷业务提供基本遵循</w:t>
      </w:r>
      <w:r>
        <w:rPr>
          <w:rFonts w:ascii="Times New Roman" w:hAnsi="Times New Roman" w:eastAsia="仿宋_GB2312"/>
          <w:sz w:val="32"/>
          <w:szCs w:val="32"/>
          <w:highlight w:val="none"/>
        </w:rPr>
        <w:t>，为绿色普惠金融业务稳健持续发展提供有力保障。</w:t>
      </w:r>
      <w:r>
        <w:rPr>
          <w:rFonts w:hint="eastAsia" w:ascii="Times New Roman" w:hAnsi="Times New Roman" w:eastAsia="仿宋_GB2312"/>
          <w:sz w:val="32"/>
          <w:szCs w:val="32"/>
          <w:highlight w:val="none"/>
        </w:rPr>
        <w:t>《加强绿色金融建设助力碳达峰碳中和指导意见（2021-2025年）》全面指导行社构建绿色金融发展的五专机制，制定绿色金融业务发展目标，鼓励绿色金融产品创新，强化气候与环境风险管理，持续强化绿色价值观和企业文化建设。《贵州省农村信用社2021年度环境信息披露工作实施方案》构建环境信息披露组织体系与工作机制，指导行社按要求开展环境信息披露工作，</w:t>
      </w:r>
      <w:r>
        <w:rPr>
          <w:rFonts w:hint="eastAsia" w:ascii="仿宋_GB2312" w:hAnsi="仿宋_GB2312" w:eastAsia="仿宋_GB2312" w:cs="仿宋_GB2312"/>
          <w:sz w:val="32"/>
          <w:szCs w:val="32"/>
          <w:highlight w:val="none"/>
        </w:rPr>
        <w:t>明确金融支持绿色低碳</w:t>
      </w:r>
      <w:r>
        <w:rPr>
          <w:rFonts w:ascii="仿宋_GB2312" w:hAnsi="仿宋_GB2312" w:eastAsia="仿宋_GB2312" w:cs="仿宋_GB2312"/>
          <w:sz w:val="32"/>
          <w:szCs w:val="32"/>
          <w:highlight w:val="none"/>
        </w:rPr>
        <w:t>高质量发展</w:t>
      </w:r>
      <w:r>
        <w:rPr>
          <w:rFonts w:hint="eastAsia" w:ascii="仿宋_GB2312" w:hAnsi="仿宋_GB2312" w:eastAsia="仿宋_GB2312" w:cs="仿宋_GB2312"/>
          <w:sz w:val="32"/>
          <w:szCs w:val="32"/>
          <w:highlight w:val="none"/>
        </w:rPr>
        <w:t>的方向和重点，推动</w:t>
      </w:r>
      <w:r>
        <w:rPr>
          <w:rFonts w:hint="eastAsia" w:ascii="仿宋_GB2312" w:hAnsi="仿宋_GB2312" w:cs="仿宋_GB2312"/>
          <w:sz w:val="32"/>
          <w:szCs w:val="32"/>
          <w:highlight w:val="none"/>
          <w:lang w:val="en-US" w:eastAsia="zh-CN"/>
        </w:rPr>
        <w:t>贵州农信</w:t>
      </w:r>
      <w:r>
        <w:rPr>
          <w:rFonts w:hint="eastAsia" w:ascii="仿宋_GB2312" w:hAnsi="仿宋_GB2312" w:eastAsia="仿宋_GB2312" w:cs="仿宋_GB2312"/>
          <w:sz w:val="32"/>
          <w:szCs w:val="32"/>
          <w:highlight w:val="none"/>
        </w:rPr>
        <w:t>成为全国首家实现环境信息披露全覆盖的省级农信系统。</w:t>
      </w:r>
    </w:p>
    <w:p>
      <w:pPr>
        <w:pStyle w:val="4"/>
        <w:pageBreakBefore w:val="0"/>
        <w:kinsoku/>
        <w:overflowPunct/>
        <w:topLinePunct w:val="0"/>
        <w:bidi w:val="0"/>
        <w:adjustRightInd/>
        <w:spacing w:beforeLines="0" w:afterLines="0" w:line="560" w:lineRule="exact"/>
        <w:ind w:left="0" w:leftChars="0" w:firstLine="640" w:firstLineChars="200"/>
        <w:rPr>
          <w:rFonts w:hint="eastAsia" w:hAnsi="仿宋_GB2312" w:cs="仿宋_GB2312"/>
          <w:b/>
          <w:bCs/>
          <w:szCs w:val="32"/>
          <w:lang w:val="en-US" w:eastAsia="zh-CN"/>
        </w:rPr>
      </w:pPr>
      <w:bookmarkStart w:id="13" w:name="_Toc13474"/>
      <w:r>
        <w:rPr>
          <w:rFonts w:hint="eastAsia"/>
        </w:rPr>
        <w:t>（二）内部政策制度</w:t>
      </w:r>
      <w:bookmarkEnd w:id="13"/>
    </w:p>
    <w:p>
      <w:pPr>
        <w:pageBreakBefore w:val="0"/>
        <w:kinsoku/>
        <w:overflowPunct/>
        <w:topLinePunct w:val="0"/>
        <w:bidi w:val="0"/>
        <w:adjustRightInd/>
        <w:spacing w:line="560" w:lineRule="exact"/>
        <w:ind w:left="0" w:leftChars="0" w:firstLine="640" w:firstLineChars="200"/>
        <w:rPr>
          <w:rFonts w:hint="eastAsia" w:hAnsi="仿宋_GB2312" w:cs="仿宋_GB2312"/>
          <w:szCs w:val="32"/>
        </w:rPr>
      </w:pPr>
      <w:r>
        <w:rPr>
          <w:rFonts w:hint="eastAsia"/>
        </w:rPr>
        <w:t>根据贵州省人民政府</w:t>
      </w:r>
      <w:r>
        <w:rPr>
          <w:rFonts w:hint="eastAsia"/>
          <w:lang w:eastAsia="zh-CN"/>
        </w:rPr>
        <w:t>、</w:t>
      </w:r>
      <w:r>
        <w:rPr>
          <w:rFonts w:hint="eastAsia"/>
          <w:lang w:val="en-US" w:eastAsia="zh-CN"/>
        </w:rPr>
        <w:t>省联社的相关指导文件，</w:t>
      </w:r>
      <w:r>
        <w:rPr>
          <w:rFonts w:hint="eastAsia"/>
        </w:rPr>
        <w:t>龙里农商银行在2020年制定了《贵州龙里农村商业银行股份有限公司绿色信贷管理实施细则（暂行）》（龙农商发〔2020〕131号）</w:t>
      </w:r>
      <w:r>
        <w:rPr>
          <w:rFonts w:hint="eastAsia"/>
          <w:lang w:eastAsia="zh-CN"/>
        </w:rPr>
        <w:t>，</w:t>
      </w:r>
      <w:r>
        <w:rPr>
          <w:rFonts w:hint="eastAsia"/>
        </w:rPr>
        <w:t>明确了绿色信贷的发展规划、业务范围，逐渐完善了相关管理机制，在全系统初步树立了低碳金融和绿色信贷的理念。</w:t>
      </w:r>
    </w:p>
    <w:p>
      <w:pPr>
        <w:pStyle w:val="3"/>
        <w:bidi w:val="0"/>
        <w:rPr>
          <w:rFonts w:hint="eastAsia"/>
          <w:lang w:val="en-US" w:eastAsia="zh-CN"/>
        </w:rPr>
      </w:pPr>
      <w:bookmarkStart w:id="14" w:name="_Toc10589"/>
      <w:r>
        <w:rPr>
          <w:rFonts w:hint="eastAsia"/>
          <w:lang w:val="en-US" w:eastAsia="zh-CN"/>
        </w:rPr>
        <w:t>四、产品与服务创新</w:t>
      </w:r>
      <w:bookmarkEnd w:id="14"/>
    </w:p>
    <w:p>
      <w:pPr>
        <w:pageBreakBefore w:val="0"/>
        <w:kinsoku/>
        <w:overflowPunct/>
        <w:topLinePunct w:val="0"/>
        <w:bidi w:val="0"/>
        <w:adjustRightInd/>
        <w:spacing w:line="560" w:lineRule="exact"/>
        <w:ind w:left="0" w:leftChars="0" w:firstLine="640" w:firstLineChars="200"/>
        <w:rPr>
          <w:rFonts w:hint="eastAsia"/>
          <w:lang w:val="en-US" w:eastAsia="zh-CN"/>
        </w:rPr>
      </w:pPr>
      <w:r>
        <w:rPr>
          <w:rFonts w:hint="eastAsia"/>
          <w:lang w:val="en-US" w:eastAsia="zh-CN"/>
        </w:rPr>
        <w:t>根据</w:t>
      </w:r>
      <w:r>
        <w:rPr>
          <w:rFonts w:hint="eastAsia"/>
        </w:rPr>
        <w:t>《贵州龙里农村商业银行股份有限公司绿色信贷管理实施细则（暂行）》（龙农商发〔2020〕131号）</w:t>
      </w:r>
      <w:r>
        <w:rPr>
          <w:rFonts w:hint="eastAsia"/>
          <w:lang w:val="en-US" w:eastAsia="zh-CN"/>
        </w:rPr>
        <w:t>及信贷管理规定，结合服务辖内产业实际情况。我行将“产链贷”</w:t>
      </w:r>
      <w:bookmarkStart w:id="29" w:name="_GoBack"/>
      <w:bookmarkEnd w:id="29"/>
      <w:r>
        <w:rPr>
          <w:rFonts w:hint="eastAsia"/>
          <w:lang w:val="en-US" w:eastAsia="zh-CN"/>
        </w:rPr>
        <w:t>作为绿色信贷主要产品，将资质较好的绿色企业作为产业链主导核心企业，由核心企业为其上游供应商和下游经销商提供融资担保，适当降低贷款利率，创新性地解决了部分绿色产业主体融资难、融资贵的问题。</w:t>
      </w:r>
    </w:p>
    <w:p>
      <w:pPr>
        <w:pStyle w:val="3"/>
        <w:bidi w:val="0"/>
        <w:rPr>
          <w:rFonts w:hint="eastAsia"/>
          <w:lang w:val="en-US" w:eastAsia="zh-CN"/>
        </w:rPr>
      </w:pPr>
      <w:bookmarkStart w:id="15" w:name="_Toc4343"/>
      <w:r>
        <w:rPr>
          <w:rFonts w:hint="eastAsia"/>
          <w:lang w:val="en-US" w:eastAsia="zh-CN"/>
        </w:rPr>
        <w:t>五、环境风险管理流程</w:t>
      </w:r>
      <w:bookmarkEnd w:id="15"/>
    </w:p>
    <w:p>
      <w:pPr>
        <w:pageBreakBefore w:val="0"/>
        <w:kinsoku/>
        <w:overflowPunct/>
        <w:topLinePunct w:val="0"/>
        <w:bidi w:val="0"/>
        <w:adjustRightInd/>
        <w:spacing w:line="560" w:lineRule="exact"/>
        <w:ind w:left="0" w:leftChars="0" w:firstLine="640" w:firstLineChars="200"/>
        <w:rPr>
          <w:rFonts w:hint="eastAsia"/>
          <w:lang w:val="en-US" w:eastAsia="zh-CN"/>
        </w:rPr>
      </w:pPr>
      <w:r>
        <w:rPr>
          <w:rFonts w:hint="eastAsia"/>
          <w:lang w:val="en-US" w:eastAsia="zh-CN"/>
        </w:rPr>
        <w:t>为进一步健全环境和风险管理体系，在全面风险管理体系的架构下，有效控制因环境风险导致的不利影响，更好地服务实体经济，加大对绿色信贷行业、低碳经济的支持，并不断优化我行信贷结构，对于在授信、用信、贷后等环节都持续加强对环境风险造成的影响的风险识别与评估，从而有效控制风险并努力向高质量发展转变。</w:t>
      </w:r>
    </w:p>
    <w:p>
      <w:pPr>
        <w:pageBreakBefore w:val="0"/>
        <w:kinsoku/>
        <w:overflowPunct/>
        <w:topLinePunct w:val="0"/>
        <w:bidi w:val="0"/>
        <w:adjustRightInd/>
        <w:spacing w:line="560" w:lineRule="exact"/>
        <w:ind w:left="0" w:leftChars="0" w:firstLine="643" w:firstLineChars="200"/>
        <w:rPr>
          <w:rFonts w:hint="eastAsia"/>
          <w:lang w:val="en-US" w:eastAsia="zh-CN"/>
        </w:rPr>
      </w:pPr>
      <w:r>
        <w:rPr>
          <w:rFonts w:hint="eastAsia"/>
          <w:b/>
          <w:bCs/>
          <w:lang w:val="en-US" w:eastAsia="zh-CN"/>
        </w:rPr>
        <w:t>一是</w:t>
      </w:r>
      <w:r>
        <w:rPr>
          <w:rFonts w:hint="eastAsia"/>
          <w:lang w:val="en-US" w:eastAsia="zh-CN"/>
        </w:rPr>
        <w:t>科学识别，防范控制。我行对各项业务全面开展尽职调查，对信贷客户严格按照贷款“三查”制度执行调查。在贷款发放前对信贷客户的经营情况进行实地走访，特别是对于对环境有一定影响的信贷客户要核实其环保评估报告等是否符合国家要求，行业准入条件是否合格等。</w:t>
      </w:r>
    </w:p>
    <w:p>
      <w:pPr>
        <w:pageBreakBefore w:val="0"/>
        <w:kinsoku/>
        <w:overflowPunct/>
        <w:topLinePunct w:val="0"/>
        <w:bidi w:val="0"/>
        <w:adjustRightInd/>
        <w:spacing w:line="560" w:lineRule="exact"/>
        <w:ind w:left="0" w:leftChars="0" w:firstLine="643" w:firstLineChars="200"/>
        <w:rPr>
          <w:rFonts w:hint="eastAsia"/>
          <w:lang w:val="en-US" w:eastAsia="zh-CN"/>
        </w:rPr>
      </w:pPr>
      <w:r>
        <w:rPr>
          <w:rFonts w:hint="eastAsia"/>
          <w:b/>
          <w:bCs/>
          <w:lang w:val="en-US" w:eastAsia="zh-CN"/>
        </w:rPr>
        <w:t>二是</w:t>
      </w:r>
      <w:r>
        <w:rPr>
          <w:rFonts w:hint="eastAsia"/>
          <w:lang w:val="en-US" w:eastAsia="zh-CN"/>
        </w:rPr>
        <w:t>差异管理，动态追踪。我行通过多种渠道对客户进行实时跟踪，对于国家重点调控和限制性行业逐步压缩退出，并利用信贷预警监测管理系统对信贷客户进行管理；对绿色产业，例如农业、环保等行业加大信贷资金投放，大力扶持农村实体经济，助力乡村振兴。</w:t>
      </w:r>
    </w:p>
    <w:p>
      <w:pPr>
        <w:pageBreakBefore w:val="0"/>
        <w:kinsoku/>
        <w:overflowPunct/>
        <w:topLinePunct w:val="0"/>
        <w:bidi w:val="0"/>
        <w:adjustRightInd/>
        <w:spacing w:line="560" w:lineRule="exact"/>
        <w:ind w:left="0" w:leftChars="0" w:firstLine="643" w:firstLineChars="200"/>
      </w:pPr>
      <w:r>
        <w:rPr>
          <w:rFonts w:hint="eastAsia"/>
          <w:b/>
          <w:bCs/>
          <w:lang w:val="en-US" w:eastAsia="zh-CN"/>
        </w:rPr>
        <w:t>三是</w:t>
      </w:r>
      <w:r>
        <w:rPr>
          <w:rFonts w:hint="eastAsia"/>
          <w:lang w:val="en-US" w:eastAsia="zh-CN"/>
        </w:rPr>
        <w:t>风险缓释，控制风险。对于纳入风险管理名单的客户制定“一户一策”应对方案，并按照方案要求逐步压缩退出，为帮助小微企业等渡过难关，积极利用政策扶持，缓释风险。</w:t>
      </w:r>
    </w:p>
    <w:p>
      <w:pPr>
        <w:pStyle w:val="3"/>
        <w:pageBreakBefore w:val="0"/>
        <w:kinsoku/>
        <w:overflowPunct/>
        <w:topLinePunct w:val="0"/>
        <w:bidi w:val="0"/>
        <w:adjustRightInd/>
        <w:spacing w:beforeLines="0" w:afterLines="0" w:line="560" w:lineRule="exact"/>
        <w:ind w:left="0" w:leftChars="0" w:firstLine="640" w:firstLineChars="200"/>
      </w:pPr>
      <w:bookmarkStart w:id="16" w:name="_Toc9146"/>
      <w:r>
        <w:rPr>
          <w:rFonts w:hint="eastAsia"/>
          <w:lang w:val="en-US" w:eastAsia="zh-CN"/>
        </w:rPr>
        <w:t>六</w:t>
      </w:r>
      <w:r>
        <w:rPr>
          <w:rFonts w:hint="eastAsia"/>
        </w:rPr>
        <w:t>、机构经营活动环境影响</w:t>
      </w:r>
      <w:bookmarkEnd w:id="16"/>
    </w:p>
    <w:p>
      <w:pPr>
        <w:pStyle w:val="4"/>
        <w:pageBreakBefore w:val="0"/>
        <w:kinsoku/>
        <w:overflowPunct/>
        <w:topLinePunct w:val="0"/>
        <w:bidi w:val="0"/>
        <w:adjustRightInd/>
        <w:spacing w:beforeLines="0" w:afterLines="0" w:line="560" w:lineRule="exact"/>
        <w:ind w:left="0" w:leftChars="0" w:firstLine="640" w:firstLineChars="200"/>
      </w:pPr>
      <w:bookmarkStart w:id="17" w:name="_Toc32234"/>
      <w:r>
        <w:rPr>
          <w:rFonts w:hint="eastAsia"/>
        </w:rPr>
        <w:t>（一）投融资活动产生的环境影响</w:t>
      </w:r>
      <w:bookmarkEnd w:id="17"/>
    </w:p>
    <w:p>
      <w:pPr>
        <w:pageBreakBefore w:val="0"/>
        <w:kinsoku/>
        <w:overflowPunct/>
        <w:topLinePunct w:val="0"/>
        <w:bidi w:val="0"/>
        <w:adjustRightInd/>
        <w:spacing w:line="560" w:lineRule="exact"/>
        <w:ind w:left="0" w:leftChars="0" w:firstLine="562" w:firstLineChars="200"/>
        <w:jc w:val="center"/>
        <w:outlineLvl w:val="1"/>
        <w:rPr>
          <w:rFonts w:hint="eastAsia" w:asciiTheme="minorEastAsia" w:hAnsiTheme="minorEastAsia" w:eastAsiaTheme="minorEastAsia" w:cstheme="minorEastAsia"/>
          <w:sz w:val="21"/>
          <w:szCs w:val="21"/>
        </w:rPr>
      </w:pPr>
      <w:bookmarkStart w:id="18" w:name="_Toc928"/>
      <w:bookmarkStart w:id="19" w:name="_Toc10844"/>
      <w:r>
        <w:rPr>
          <w:rFonts w:hint="eastAsia" w:asciiTheme="minorEastAsia" w:hAnsiTheme="minorEastAsia" w:eastAsiaTheme="minorEastAsia" w:cstheme="minorEastAsia"/>
          <w:b/>
          <w:bCs/>
          <w:kern w:val="0"/>
          <w:sz w:val="28"/>
          <w:szCs w:val="28"/>
          <w:lang w:val="en-US" w:eastAsia="zh-CN" w:bidi="ar-SA"/>
        </w:rPr>
        <w:t>2022年投融资活动碳排放量</w:t>
      </w:r>
      <w:bookmarkEnd w:id="18"/>
      <w:bookmarkEnd w:id="19"/>
    </w:p>
    <w:tbl>
      <w:tblPr>
        <w:tblStyle w:val="22"/>
        <w:tblpPr w:leftFromText="180" w:rightFromText="180" w:vertAnchor="text" w:horzAnchor="margin" w:tblpY="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4"/>
        <w:gridCol w:w="224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blHeader/>
        </w:trPr>
        <w:tc>
          <w:tcPr>
            <w:tcW w:w="2484" w:type="pct"/>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行业类别（一级行业代码及类别）</w:t>
            </w:r>
          </w:p>
        </w:tc>
        <w:tc>
          <w:tcPr>
            <w:tcW w:w="1316" w:type="pct"/>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行业贷款碳排放量（吨）</w:t>
            </w:r>
          </w:p>
        </w:tc>
        <w:tc>
          <w:tcPr>
            <w:tcW w:w="1200" w:type="pct"/>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A农、林、牧、渔业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244.66</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C制造业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1426.25</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E建筑业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106.70</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F批发和零售业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79.27</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G交通运输、仓储和邮政业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47.03</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H住宿和餐饮业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224.06</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K房地产业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634.15</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L租赁和商务服务业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1051.15</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M科学研究和技术服务业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47.02</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pageBreakBefore w:val="0"/>
              <w:kinsoku/>
              <w:overflowPunct/>
              <w:topLinePunct w:val="0"/>
              <w:bidi w:val="0"/>
              <w:adjustRightInd/>
              <w:spacing w:line="560" w:lineRule="exact"/>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R文化、体育和娱乐业</w:t>
            </w:r>
          </w:p>
        </w:tc>
        <w:tc>
          <w:tcPr>
            <w:tcW w:w="1316"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133.49</w:t>
            </w:r>
          </w:p>
        </w:tc>
        <w:tc>
          <w:tcPr>
            <w:tcW w:w="1200" w:type="pct"/>
          </w:tcPr>
          <w:p>
            <w:pPr>
              <w:pageBreakBefore w:val="0"/>
              <w:kinsoku/>
              <w:overflowPunct/>
              <w:topLinePunct w:val="0"/>
              <w:bidi w:val="0"/>
              <w:adjustRightInd/>
              <w:spacing w:line="560" w:lineRule="exact"/>
              <w:ind w:left="0" w:leftChars="0" w:firstLine="420" w:firstLineChars="200"/>
              <w:jc w:val="righ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总计</w:t>
            </w:r>
          </w:p>
        </w:tc>
        <w:tc>
          <w:tcPr>
            <w:tcW w:w="1316" w:type="pct"/>
          </w:tcPr>
          <w:p>
            <w:pPr>
              <w:pageBreakBefore w:val="0"/>
              <w:kinsoku/>
              <w:overflowPunct/>
              <w:topLinePunct w:val="0"/>
              <w:bidi w:val="0"/>
              <w:adjustRightInd/>
              <w:spacing w:line="560" w:lineRule="exact"/>
              <w:ind w:left="0" w:leftChars="0" w:firstLine="422" w:firstLineChars="200"/>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3993.78</w:t>
            </w:r>
          </w:p>
        </w:tc>
        <w:tc>
          <w:tcPr>
            <w:tcW w:w="1200" w:type="pct"/>
          </w:tcPr>
          <w:p>
            <w:pPr>
              <w:pageBreakBefore w:val="0"/>
              <w:kinsoku/>
              <w:overflowPunct/>
              <w:topLinePunct w:val="0"/>
              <w:bidi w:val="0"/>
              <w:adjustRightInd/>
              <w:spacing w:line="560" w:lineRule="exact"/>
              <w:ind w:left="0" w:leftChars="0" w:firstLine="422" w:firstLineChars="200"/>
              <w:jc w:val="righ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100.00%</w:t>
            </w:r>
          </w:p>
        </w:tc>
      </w:tr>
    </w:tbl>
    <w:p>
      <w:pPr>
        <w:pageBreakBefore w:val="0"/>
        <w:kinsoku/>
        <w:overflowPunct/>
        <w:topLinePunct w:val="0"/>
        <w:bidi w:val="0"/>
        <w:adjustRightInd/>
        <w:spacing w:line="560" w:lineRule="exact"/>
        <w:ind w:left="0" w:leftChars="0" w:firstLine="480" w:firstLineChars="200"/>
        <w:rPr>
          <w:rFonts w:ascii="宋体" w:hAnsi="宋体" w:eastAsia="仿宋_GB2312" w:cs="Times New Roman"/>
          <w:kern w:val="2"/>
          <w:sz w:val="24"/>
          <w:szCs w:val="18"/>
          <w:lang w:val="en-US" w:eastAsia="zh-CN" w:bidi="ar-SA"/>
        </w:rPr>
      </w:pPr>
      <w:r>
        <w:rPr>
          <w:rFonts w:ascii="宋体" w:hAnsi="宋体" w:eastAsia="仿宋_GB2312" w:cs="Times New Roman"/>
          <w:kern w:val="2"/>
          <w:sz w:val="24"/>
          <w:szCs w:val="18"/>
          <w:lang w:val="en-US" w:eastAsia="zh-CN" w:bidi="ar-SA"/>
        </w:rPr>
        <w:t>注：</w:t>
      </w:r>
    </w:p>
    <w:p>
      <w:pPr>
        <w:pageBreakBefore w:val="0"/>
        <w:kinsoku/>
        <w:overflowPunct/>
        <w:topLinePunct w:val="0"/>
        <w:bidi w:val="0"/>
        <w:adjustRightInd/>
        <w:spacing w:line="560" w:lineRule="exact"/>
        <w:ind w:left="0" w:leftChars="0" w:firstLine="480" w:firstLineChars="200"/>
        <w:rPr>
          <w:rFonts w:ascii="宋体" w:hAnsi="宋体"/>
          <w:sz w:val="24"/>
          <w:szCs w:val="18"/>
        </w:rPr>
      </w:pPr>
      <w:r>
        <w:rPr>
          <w:rFonts w:hint="eastAsia" w:ascii="宋体" w:hAnsi="宋体" w:cs="Times New Roman"/>
          <w:kern w:val="2"/>
          <w:sz w:val="24"/>
          <w:szCs w:val="18"/>
          <w:lang w:val="en-US" w:eastAsia="zh-CN" w:bidi="ar-SA"/>
        </w:rPr>
        <w:t>1.</w:t>
      </w:r>
      <w:r>
        <w:rPr>
          <w:rFonts w:ascii="宋体" w:hAnsi="宋体"/>
          <w:sz w:val="24"/>
          <w:szCs w:val="18"/>
        </w:rPr>
        <w:t>数据来源</w:t>
      </w:r>
      <w:r>
        <w:rPr>
          <w:rFonts w:hint="eastAsia" w:ascii="宋体" w:hAnsi="宋体"/>
          <w:sz w:val="24"/>
          <w:szCs w:val="18"/>
        </w:rPr>
        <w:t>：</w:t>
      </w:r>
      <w:r>
        <w:rPr>
          <w:rFonts w:ascii="宋体" w:hAnsi="宋体"/>
          <w:sz w:val="24"/>
          <w:szCs w:val="18"/>
        </w:rPr>
        <w:t>主要企业/项目碳排放数据基于客户提供的碳排放数据或能耗数据计算得出，对于部分贷款企业/项目数据如客户无法提供，则主要根据企业/项目投入量/产出量等参数与同行业企业/项目类比得到；</w:t>
      </w:r>
    </w:p>
    <w:p>
      <w:pPr>
        <w:pageBreakBefore w:val="0"/>
        <w:kinsoku/>
        <w:overflowPunct/>
        <w:topLinePunct w:val="0"/>
        <w:bidi w:val="0"/>
        <w:adjustRightInd/>
        <w:spacing w:line="560" w:lineRule="exact"/>
        <w:ind w:left="0" w:leftChars="0" w:firstLine="480" w:firstLineChars="200"/>
        <w:rPr>
          <w:rFonts w:ascii="宋体" w:hAnsi="宋体" w:cs="Times New Roman"/>
          <w:sz w:val="24"/>
          <w:szCs w:val="18"/>
        </w:rPr>
      </w:pPr>
      <w:r>
        <w:rPr>
          <w:rFonts w:hint="eastAsia" w:ascii="宋体" w:hAnsi="宋体" w:cs="Times New Roman"/>
          <w:sz w:val="24"/>
          <w:szCs w:val="18"/>
          <w:lang w:val="en-US" w:eastAsia="zh-CN"/>
        </w:rPr>
        <w:t>2.</w:t>
      </w:r>
      <w:r>
        <w:rPr>
          <w:rFonts w:ascii="宋体" w:hAnsi="宋体" w:cs="Times New Roman"/>
          <w:sz w:val="24"/>
          <w:szCs w:val="18"/>
        </w:rPr>
        <w:t>碳排放核算方法主要依据：《金融机构碳核算技术指南（试行）》和其规范性引用文件；</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仿宋_GB2312" w:cs="Times New Roman"/>
          <w:sz w:val="24"/>
          <w:szCs w:val="18"/>
          <w:lang w:eastAsia="zh-CN"/>
        </w:rPr>
      </w:pPr>
      <w:r>
        <w:rPr>
          <w:rFonts w:hint="eastAsia" w:ascii="宋体" w:hAnsi="宋体" w:cs="Times New Roman"/>
          <w:sz w:val="24"/>
          <w:szCs w:val="18"/>
          <w:lang w:val="en-US" w:eastAsia="zh-CN"/>
        </w:rPr>
        <w:t>3.</w:t>
      </w:r>
      <w:r>
        <w:rPr>
          <w:rFonts w:ascii="宋体" w:hAnsi="宋体" w:cs="Times New Roman"/>
          <w:sz w:val="24"/>
          <w:szCs w:val="18"/>
        </w:rPr>
        <w:t>项目融资业务：报告期内，运行时间不足30天的项目碳排放未纳入核算；</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cs="Times New Roman"/>
          <w:sz w:val="24"/>
          <w:szCs w:val="18"/>
        </w:rPr>
      </w:pPr>
      <w:r>
        <w:rPr>
          <w:rFonts w:hint="eastAsia" w:ascii="宋体" w:hAnsi="宋体" w:cs="Times New Roman"/>
          <w:sz w:val="24"/>
          <w:szCs w:val="18"/>
          <w:lang w:val="en-US" w:eastAsia="zh-CN"/>
        </w:rPr>
        <w:t>4.</w:t>
      </w:r>
      <w:r>
        <w:rPr>
          <w:rFonts w:ascii="宋体" w:hAnsi="宋体" w:cs="Times New Roman"/>
          <w:sz w:val="24"/>
          <w:szCs w:val="18"/>
        </w:rPr>
        <w:t>非项目融资业务：存续期不足30天或月均融资额少于500万元的融资主体的碳排放未纳入核算。仅统计大型和中型企业的碳排放；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cs="Times New Roman"/>
          <w:sz w:val="24"/>
          <w:szCs w:val="18"/>
        </w:rPr>
      </w:pPr>
      <w:r>
        <w:rPr>
          <w:rFonts w:hint="eastAsia" w:ascii="宋体" w:hAnsi="宋体" w:cs="Times New Roman"/>
          <w:sz w:val="24"/>
          <w:szCs w:val="18"/>
          <w:lang w:val="en-US" w:eastAsia="zh-CN"/>
        </w:rPr>
        <w:t>5.</w:t>
      </w:r>
      <w:r>
        <w:rPr>
          <w:rFonts w:ascii="宋体" w:hAnsi="宋体" w:cs="Times New Roman"/>
          <w:sz w:val="24"/>
          <w:szCs w:val="18"/>
        </w:rPr>
        <w:t>我行不存在境外项目和境外融资主体。</w:t>
      </w: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422" w:firstLineChars="200"/>
        <w:jc w:val="center"/>
        <w:outlineLvl w:val="9"/>
        <w:rPr>
          <w:rFonts w:hint="eastAsia" w:asciiTheme="minorEastAsia" w:hAnsiTheme="minorEastAsia" w:eastAsiaTheme="minorEastAsia" w:cstheme="minorEastAsia"/>
          <w:b/>
          <w:bCs/>
          <w:kern w:val="0"/>
          <w:sz w:val="21"/>
          <w:szCs w:val="21"/>
        </w:rPr>
      </w:pPr>
    </w:p>
    <w:p>
      <w:pPr>
        <w:pageBreakBefore w:val="0"/>
        <w:kinsoku/>
        <w:overflowPunct/>
        <w:topLinePunct w:val="0"/>
        <w:bidi w:val="0"/>
        <w:adjustRightInd/>
        <w:spacing w:line="560" w:lineRule="exact"/>
        <w:ind w:left="0" w:leftChars="0" w:firstLine="562" w:firstLineChars="200"/>
        <w:jc w:val="center"/>
        <w:outlineLvl w:val="1"/>
        <w:rPr>
          <w:rFonts w:hint="eastAsia" w:asciiTheme="minorEastAsia" w:hAnsiTheme="minorEastAsia" w:eastAsiaTheme="minorEastAsia" w:cstheme="minorEastAsia"/>
          <w:b/>
          <w:bCs/>
          <w:sz w:val="21"/>
          <w:szCs w:val="21"/>
        </w:rPr>
      </w:pPr>
      <w:bookmarkStart w:id="20" w:name="_Toc1684"/>
      <w:bookmarkStart w:id="21" w:name="_Toc23727"/>
      <w:r>
        <w:rPr>
          <w:rFonts w:hint="eastAsia" w:asciiTheme="minorEastAsia" w:hAnsiTheme="minorEastAsia" w:eastAsiaTheme="minorEastAsia" w:cstheme="minorEastAsia"/>
          <w:b/>
          <w:bCs/>
          <w:kern w:val="0"/>
          <w:sz w:val="28"/>
          <w:szCs w:val="28"/>
          <w:lang w:val="en-US" w:eastAsia="zh-CN" w:bidi="ar-SA"/>
        </w:rPr>
        <w:t>报告期投融资活动产生的碳排放量汇总表</w:t>
      </w:r>
      <w:bookmarkEnd w:id="20"/>
      <w:bookmarkEnd w:id="21"/>
    </w:p>
    <w:tbl>
      <w:tblPr>
        <w:tblStyle w:val="2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65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类别</w:t>
            </w:r>
          </w:p>
        </w:tc>
        <w:tc>
          <w:tcPr>
            <w:tcW w:w="2658" w:type="dxa"/>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二氧化碳当量</w:t>
            </w:r>
          </w:p>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（单位：吨二氧化碳当量）</w:t>
            </w:r>
          </w:p>
        </w:tc>
        <w:tc>
          <w:tcPr>
            <w:tcW w:w="2625" w:type="dxa"/>
            <w:vAlign w:val="center"/>
          </w:tcPr>
          <w:p>
            <w:pPr>
              <w:pageBreakBefore w:val="0"/>
              <w:kinsoku/>
              <w:overflowPunct/>
              <w:topLinePunct w:val="0"/>
              <w:bidi w:val="0"/>
              <w:adjustRightInd/>
              <w:spacing w:line="560" w:lineRule="exact"/>
              <w:ind w:left="0" w:leftChars="0" w:firstLine="422" w:firstLineChars="20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所报告部分融资业务占该类型融资业务的比例（%）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28"/>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项目融资业务碳排放量</w:t>
            </w:r>
          </w:p>
        </w:tc>
        <w:tc>
          <w:tcPr>
            <w:tcW w:w="2658" w:type="dxa"/>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3887.08</w:t>
            </w:r>
          </w:p>
        </w:tc>
        <w:tc>
          <w:tcPr>
            <w:tcW w:w="2625" w:type="dxa"/>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非项目融资业务碳排放量</w:t>
            </w:r>
          </w:p>
        </w:tc>
        <w:tc>
          <w:tcPr>
            <w:tcW w:w="2658" w:type="dxa"/>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106.70</w:t>
            </w:r>
          </w:p>
        </w:tc>
        <w:tc>
          <w:tcPr>
            <w:tcW w:w="2625" w:type="dxa"/>
            <w:shd w:val="clear" w:color="auto" w:fill="auto"/>
            <w:vAlign w:val="center"/>
          </w:tcPr>
          <w:p>
            <w:pPr>
              <w:pageBreakBefore w:val="0"/>
              <w:kinsoku/>
              <w:overflowPunct/>
              <w:topLinePunct w:val="0"/>
              <w:bidi w:val="0"/>
              <w:adjustRightInd/>
              <w:spacing w:line="560" w:lineRule="exact"/>
              <w:ind w:left="0" w:leftChars="0" w:firstLine="420" w:firstLineChars="20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1.06</w:t>
            </w:r>
          </w:p>
        </w:tc>
      </w:tr>
    </w:tbl>
    <w:p>
      <w:pPr>
        <w:pageBreakBefore w:val="0"/>
        <w:kinsoku/>
        <w:overflowPunct/>
        <w:topLinePunct w:val="0"/>
        <w:bidi w:val="0"/>
        <w:adjustRightInd/>
        <w:spacing w:line="560" w:lineRule="exact"/>
        <w:ind w:left="0" w:leftChars="0" w:firstLine="480" w:firstLineChars="200"/>
        <w:rPr>
          <w:rFonts w:hint="eastAsia" w:ascii="宋体" w:hAnsi="宋体" w:eastAsia="仿宋_GB2312" w:cs="Times New Roman"/>
          <w:kern w:val="2"/>
          <w:sz w:val="24"/>
          <w:szCs w:val="18"/>
          <w:lang w:val="en-US" w:eastAsia="zh-CN" w:bidi="ar-SA"/>
        </w:rPr>
      </w:pPr>
      <w:r>
        <w:rPr>
          <w:rFonts w:hint="eastAsia" w:ascii="宋体" w:hAnsi="宋体" w:eastAsia="仿宋_GB2312" w:cs="Times New Roman"/>
          <w:kern w:val="2"/>
          <w:sz w:val="24"/>
          <w:szCs w:val="18"/>
          <w:lang w:val="en-US" w:eastAsia="zh-CN" w:bidi="ar-SA"/>
        </w:rPr>
        <w:t>注：</w:t>
      </w:r>
    </w:p>
    <w:p>
      <w:pPr>
        <w:pageBreakBefore w:val="0"/>
        <w:kinsoku/>
        <w:overflowPunct/>
        <w:topLinePunct w:val="0"/>
        <w:bidi w:val="0"/>
        <w:adjustRightInd/>
        <w:spacing w:line="560" w:lineRule="exact"/>
        <w:ind w:left="0" w:leftChars="0" w:firstLine="480" w:firstLineChars="200"/>
        <w:rPr>
          <w:rFonts w:hint="eastAsia" w:ascii="宋体" w:hAnsi="宋体" w:eastAsia="仿宋_GB2312" w:cs="Times New Roman"/>
          <w:kern w:val="2"/>
          <w:sz w:val="24"/>
          <w:szCs w:val="18"/>
          <w:lang w:val="en-US" w:eastAsia="zh-CN" w:bidi="ar-SA"/>
        </w:rPr>
      </w:pPr>
      <w:r>
        <w:rPr>
          <w:rFonts w:hint="eastAsia" w:ascii="宋体" w:hAnsi="宋体" w:cs="Times New Roman"/>
          <w:kern w:val="2"/>
          <w:sz w:val="24"/>
          <w:szCs w:val="18"/>
          <w:lang w:val="en-US" w:eastAsia="zh-CN" w:bidi="ar-SA"/>
        </w:rPr>
        <w:t>1.</w:t>
      </w:r>
      <w:r>
        <w:rPr>
          <w:rFonts w:hint="eastAsia" w:ascii="宋体" w:hAnsi="宋体" w:eastAsia="仿宋_GB2312" w:cs="Times New Roman"/>
          <w:kern w:val="2"/>
          <w:sz w:val="24"/>
          <w:szCs w:val="18"/>
          <w:lang w:val="en-US" w:eastAsia="zh-CN" w:bidi="ar-SA"/>
        </w:rPr>
        <w:t>本报告遵循“能披尽披”原则，对符合《金融机构碳核算技术指南（试行）》的全部融资业务进行了碳核算。其中，项目融资业务共【20】笔，该类型业务碳核算20笔，占比【100】%。非项目融资业务共【199】笔，月均融资额大于500万元且符合大型、中型企业标准的共1笔，该类型业务碳核算占比【1.06】%。</w:t>
      </w:r>
    </w:p>
    <w:p>
      <w:pPr>
        <w:pageBreakBefore w:val="0"/>
        <w:kinsoku/>
        <w:overflowPunct/>
        <w:topLinePunct w:val="0"/>
        <w:bidi w:val="0"/>
        <w:adjustRightInd/>
        <w:spacing w:line="560" w:lineRule="exact"/>
        <w:ind w:left="0" w:leftChars="0" w:firstLine="480" w:firstLineChars="200"/>
        <w:rPr>
          <w:rFonts w:hint="eastAsia" w:ascii="宋体" w:hAnsi="宋体" w:eastAsia="仿宋_GB2312" w:cs="Times New Roman"/>
          <w:kern w:val="2"/>
          <w:sz w:val="24"/>
          <w:szCs w:val="18"/>
          <w:lang w:val="en-US" w:eastAsia="zh-CN" w:bidi="ar-SA"/>
        </w:rPr>
      </w:pPr>
      <w:r>
        <w:rPr>
          <w:rFonts w:hint="eastAsia" w:ascii="宋体" w:hAnsi="宋体" w:cs="Times New Roman"/>
          <w:kern w:val="2"/>
          <w:sz w:val="24"/>
          <w:szCs w:val="18"/>
          <w:lang w:val="en-US" w:eastAsia="zh-CN" w:bidi="ar-SA"/>
        </w:rPr>
        <w:t>2.</w:t>
      </w:r>
      <w:r>
        <w:rPr>
          <w:rFonts w:hint="eastAsia" w:ascii="宋体" w:hAnsi="宋体" w:eastAsia="仿宋_GB2312" w:cs="Times New Roman"/>
          <w:kern w:val="2"/>
          <w:sz w:val="24"/>
          <w:szCs w:val="18"/>
          <w:lang w:val="en-US" w:eastAsia="zh-CN" w:bidi="ar-SA"/>
        </w:rPr>
        <w:t>碳减排核算的报告期为202</w:t>
      </w:r>
      <w:r>
        <w:rPr>
          <w:rFonts w:hint="eastAsia" w:ascii="宋体" w:hAnsi="宋体" w:cs="Times New Roman"/>
          <w:kern w:val="2"/>
          <w:sz w:val="24"/>
          <w:szCs w:val="18"/>
          <w:lang w:val="en-US" w:eastAsia="zh-CN" w:bidi="ar-SA"/>
        </w:rPr>
        <w:t>2</w:t>
      </w:r>
      <w:r>
        <w:rPr>
          <w:rFonts w:hint="eastAsia" w:ascii="宋体" w:hAnsi="宋体" w:eastAsia="仿宋_GB2312" w:cs="Times New Roman"/>
          <w:kern w:val="2"/>
          <w:sz w:val="24"/>
          <w:szCs w:val="18"/>
          <w:lang w:val="en-US" w:eastAsia="zh-CN" w:bidi="ar-SA"/>
        </w:rPr>
        <w:t>年，基期为202</w:t>
      </w:r>
      <w:r>
        <w:rPr>
          <w:rFonts w:hint="eastAsia" w:ascii="宋体" w:hAnsi="宋体" w:cs="Times New Roman"/>
          <w:kern w:val="2"/>
          <w:sz w:val="24"/>
          <w:szCs w:val="18"/>
          <w:lang w:val="en-US" w:eastAsia="zh-CN" w:bidi="ar-SA"/>
        </w:rPr>
        <w:t>1</w:t>
      </w:r>
      <w:r>
        <w:rPr>
          <w:rFonts w:hint="eastAsia" w:ascii="宋体" w:hAnsi="宋体" w:eastAsia="仿宋_GB2312" w:cs="Times New Roman"/>
          <w:kern w:val="2"/>
          <w:sz w:val="24"/>
          <w:szCs w:val="18"/>
          <w:lang w:val="en-US" w:eastAsia="zh-CN" w:bidi="ar-SA"/>
        </w:rPr>
        <w:t>年。其中，项目融资业务的分类符合《绿色债券支持目录》《绿色产业指导目录》等，共6笔，缺少适用的评估方法未纳入碳减排核算边界。非项目融资业务报告期内与基期相比未产生碳减排量。</w:t>
      </w:r>
    </w:p>
    <w:p>
      <w:pPr>
        <w:pStyle w:val="5"/>
        <w:pageBreakBefore w:val="0"/>
        <w:kinsoku/>
        <w:overflowPunct/>
        <w:topLinePunct w:val="0"/>
        <w:bidi w:val="0"/>
        <w:adjustRightInd/>
        <w:spacing w:line="560" w:lineRule="exact"/>
        <w:ind w:left="0" w:leftChars="0" w:firstLine="643" w:firstLineChars="200"/>
        <w:rPr>
          <w:rFonts w:hint="eastAsia"/>
          <w:lang w:val="en-US" w:eastAsia="zh-CN"/>
        </w:rPr>
      </w:pPr>
      <w:r>
        <w:rPr>
          <w:rFonts w:hint="eastAsia"/>
          <w:lang w:val="en-US" w:eastAsia="zh-CN"/>
        </w:rPr>
        <w:t>1.投融资环境影响的测算与表达</w:t>
      </w:r>
    </w:p>
    <w:p>
      <w:pPr>
        <w:pageBreakBefore w:val="0"/>
        <w:kinsoku/>
        <w:overflowPunct/>
        <w:topLinePunct w:val="0"/>
        <w:bidi w:val="0"/>
        <w:adjustRightInd/>
        <w:spacing w:line="560" w:lineRule="exact"/>
        <w:ind w:left="0" w:leftChars="0" w:firstLine="640" w:firstLineChars="200"/>
      </w:pPr>
      <w:r>
        <w:rPr>
          <w:rFonts w:hint="eastAsia"/>
        </w:rPr>
        <w:t>我行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32150及相关企业温室气体排放核算和报告标准、企业温室气体排放核算方法与报告指南（试行）等的要求，核算其报告期内的排放量。我行支持企业或项目建设运营投放的信贷产生的碳排放量依据其对企业或项目的月均投资额与企业总资产或项目总投资的比例分摊折算得到，具体测算公式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pageBreakBefore w:val="0"/>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sz w:val="28"/>
                <w:szCs w:val="28"/>
              </w:rPr>
            </w:pPr>
            <m:oMathPara>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项目业务</m:t>
                    </m:r>
                    <m:ctrlPr>
                      <w:rPr>
                        <w:rFonts w:hint="eastAsia" w:ascii="Cambria Math" w:hAnsi="Cambria Math" w:eastAsia="仿宋_GB2312" w:cs="仿宋_GB2312"/>
                        <w:sz w:val="28"/>
                        <w:szCs w:val="28"/>
                      </w:rPr>
                    </m:ctrlPr>
                  </m:sub>
                </m:sSub>
                <m:r>
                  <m:rPr/>
                  <w:rPr>
                    <w:rFonts w:hint="eastAsia" w:ascii="Cambria Math" w:hAnsi="Cambria Math" w:eastAsia="仿宋_GB2312" w:cs="仿宋_GB2312"/>
                    <w:sz w:val="28"/>
                    <w:szCs w:val="28"/>
                  </w:rPr>
                  <m:t>=</m:t>
                </m:r>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项目</m:t>
                    </m:r>
                    <m:ctrlPr>
                      <w:rPr>
                        <w:rFonts w:hint="eastAsia" w:ascii="Cambria Math" w:hAnsi="Cambria Math" w:eastAsia="仿宋_GB2312" w:cs="仿宋_GB2312"/>
                        <w:sz w:val="28"/>
                        <w:szCs w:val="28"/>
                      </w:rPr>
                    </m:ctrlPr>
                  </m:sub>
                </m:sSub>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此式为项目融资业务的碳排放核算公式，式中：</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w:t>
            </w:r>
            <w:r>
              <w:rPr>
                <w:rFonts w:hint="eastAsia" w:ascii="仿宋_GB2312" w:hAnsi="仿宋_GB2312" w:eastAsia="仿宋_GB2312" w:cs="仿宋_GB2312"/>
                <w:sz w:val="28"/>
                <w:szCs w:val="28"/>
                <w:vertAlign w:val="subscript"/>
              </w:rPr>
              <w:t>项目业务</w:t>
            </w:r>
            <w:r>
              <w:rPr>
                <w:rFonts w:hint="eastAsia" w:ascii="仿宋_GB2312" w:hAnsi="仿宋_GB2312" w:eastAsia="仿宋_GB2312" w:cs="仿宋_GB2312"/>
                <w:sz w:val="28"/>
                <w:szCs w:val="28"/>
              </w:rPr>
              <w:t>——报告期内，项目融资业务对应的碳排放量，单位为吨二氧化碳当量（tCO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w:t>
            </w:r>
            <w:r>
              <w:rPr>
                <w:rFonts w:hint="eastAsia" w:ascii="仿宋_GB2312" w:hAnsi="仿宋_GB2312" w:eastAsia="仿宋_GB2312" w:cs="仿宋_GB2312"/>
                <w:sz w:val="28"/>
                <w:szCs w:val="28"/>
                <w:vertAlign w:val="subscript"/>
              </w:rPr>
              <w:t>项目</w:t>
            </w:r>
            <w:r>
              <w:rPr>
                <w:rFonts w:hint="eastAsia" w:ascii="仿宋_GB2312" w:hAnsi="仿宋_GB2312" w:eastAsia="仿宋_GB2312" w:cs="仿宋_GB2312"/>
                <w:sz w:val="28"/>
                <w:szCs w:val="28"/>
              </w:rPr>
              <w:t>——报告期内，项目的碳排放量，单位为吨二氧化碳当量（tCO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投资</w:t>
            </w:r>
            <w:r>
              <w:rPr>
                <w:rFonts w:hint="eastAsia" w:ascii="仿宋_GB2312" w:hAnsi="仿宋_GB2312" w:eastAsia="仿宋_GB2312" w:cs="仿宋_GB2312"/>
                <w:sz w:val="28"/>
                <w:szCs w:val="28"/>
              </w:rPr>
              <w:t>——报告期内，金融机构对项目的月均投资额，单位为万元；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总投资</w:t>
            </w:r>
            <w:r>
              <w:rPr>
                <w:rFonts w:hint="eastAsia" w:ascii="仿宋_GB2312" w:hAnsi="仿宋_GB2312" w:eastAsia="仿宋_GB2312" w:cs="仿宋_GB2312"/>
                <w:sz w:val="28"/>
                <w:szCs w:val="28"/>
              </w:rPr>
              <w:t>——报告期内，项目的总投资额，单位为万元。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w:t>
            </w: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投资</w:t>
            </w:r>
            <w:r>
              <w:rPr>
                <w:rFonts w:hint="eastAsia" w:ascii="仿宋_GB2312" w:hAnsi="仿宋_GB2312" w:eastAsia="仿宋_GB2312" w:cs="仿宋_GB2312"/>
                <w:sz w:val="28"/>
                <w:szCs w:val="28"/>
              </w:rPr>
              <w:t>&gt;</w:t>
            </w: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总投资</w:t>
            </w:r>
            <w:r>
              <w:rPr>
                <w:rFonts w:hint="eastAsia" w:ascii="仿宋_GB2312" w:hAnsi="仿宋_GB2312" w:eastAsia="仿宋_GB2312" w:cs="仿宋_GB2312"/>
                <w:sz w:val="28"/>
                <w:szCs w:val="28"/>
              </w:rPr>
              <w:t>时，</w:t>
            </w:r>
            <m:oMath>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96" w:type="dxa"/>
            <w:vAlign w:val="center"/>
          </w:tcPr>
          <w:p>
            <w:pPr>
              <w:pageBreakBefore w:val="0"/>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sz w:val="28"/>
                <w:szCs w:val="28"/>
              </w:rPr>
            </w:pPr>
            <m:oMathPara>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非项目业务</m:t>
                    </m:r>
                    <m:ctrlPr>
                      <w:rPr>
                        <w:rFonts w:hint="eastAsia" w:ascii="Cambria Math" w:hAnsi="Cambria Math" w:eastAsia="仿宋_GB2312" w:cs="仿宋_GB2312"/>
                        <w:sz w:val="28"/>
                        <w:szCs w:val="28"/>
                      </w:rPr>
                    </m:ctrlPr>
                  </m:sub>
                </m:sSub>
                <m:r>
                  <m:rPr/>
                  <w:rPr>
                    <w:rFonts w:hint="eastAsia" w:ascii="Cambria Math" w:hAnsi="Cambria Math" w:eastAsia="仿宋_GB2312" w:cs="仿宋_GB2312"/>
                    <w:sz w:val="28"/>
                    <w:szCs w:val="28"/>
                  </w:rPr>
                  <m:t>=</m:t>
                </m:r>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主体</m:t>
                    </m:r>
                    <m:ctrlPr>
                      <w:rPr>
                        <w:rFonts w:hint="eastAsia" w:ascii="Cambria Math" w:hAnsi="Cambria Math" w:eastAsia="仿宋_GB2312" w:cs="仿宋_GB2312"/>
                        <w:sz w:val="28"/>
                        <w:szCs w:val="28"/>
                      </w:rPr>
                    </m:ctrlPr>
                  </m:sub>
                </m:sSub>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融资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收入</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此式为非项目融资业务的碳排放核算公式，式中：</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w:t>
            </w:r>
            <w:r>
              <w:rPr>
                <w:rFonts w:hint="eastAsia" w:ascii="仿宋_GB2312" w:hAnsi="仿宋_GB2312" w:eastAsia="仿宋_GB2312" w:cs="仿宋_GB2312"/>
                <w:sz w:val="28"/>
                <w:szCs w:val="28"/>
                <w:vertAlign w:val="subscript"/>
              </w:rPr>
              <w:t>非项目业务</w:t>
            </w:r>
            <w:r>
              <w:rPr>
                <w:rFonts w:hint="eastAsia" w:ascii="仿宋_GB2312" w:hAnsi="仿宋_GB2312" w:eastAsia="仿宋_GB2312" w:cs="仿宋_GB2312"/>
                <w:sz w:val="28"/>
                <w:szCs w:val="28"/>
              </w:rPr>
              <w:t>——报告期内，非项目融资业务对应的碳排放量，单位为吨二氧化碳当量（tCO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w:t>
            </w:r>
            <w:r>
              <w:rPr>
                <w:rFonts w:hint="eastAsia" w:ascii="仿宋_GB2312" w:hAnsi="仿宋_GB2312" w:eastAsia="仿宋_GB2312" w:cs="仿宋_GB2312"/>
                <w:sz w:val="28"/>
                <w:szCs w:val="28"/>
                <w:vertAlign w:val="subscript"/>
              </w:rPr>
              <w:t>主体</w:t>
            </w:r>
            <w:r>
              <w:rPr>
                <w:rFonts w:hint="eastAsia" w:ascii="仿宋_GB2312" w:hAnsi="仿宋_GB2312" w:eastAsia="仿宋_GB2312" w:cs="仿宋_GB2312"/>
                <w:sz w:val="28"/>
                <w:szCs w:val="28"/>
              </w:rPr>
              <w:t>——报告期内，非项目融资业务相关融资主体的碳排放量，单位为吨二氧化碳当量（tCO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融资</w:t>
            </w:r>
            <w:r>
              <w:rPr>
                <w:rFonts w:hint="eastAsia" w:ascii="仿宋_GB2312" w:hAnsi="仿宋_GB2312" w:eastAsia="仿宋_GB2312" w:cs="仿宋_GB2312"/>
                <w:sz w:val="28"/>
                <w:szCs w:val="28"/>
              </w:rPr>
              <w:t>——报告期内，金融机构对融资主体的月均非项目融资额，单位为万元；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收入</w:t>
            </w:r>
            <w:r>
              <w:rPr>
                <w:rFonts w:hint="eastAsia" w:ascii="仿宋_GB2312" w:hAnsi="仿宋_GB2312" w:eastAsia="仿宋_GB2312" w:cs="仿宋_GB2312"/>
                <w:sz w:val="28"/>
                <w:szCs w:val="28"/>
              </w:rPr>
              <w:t>——报告期内，融资主体的主营业务收入，单位为万元。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w:t>
            </w: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融资</w:t>
            </w:r>
            <w:r>
              <w:rPr>
                <w:rFonts w:hint="eastAsia" w:ascii="仿宋_GB2312" w:hAnsi="仿宋_GB2312" w:eastAsia="仿宋_GB2312" w:cs="仿宋_GB2312"/>
                <w:sz w:val="28"/>
                <w:szCs w:val="28"/>
              </w:rPr>
              <w:t>&gt;</w:t>
            </w: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收入</w:t>
            </w:r>
            <w:r>
              <w:rPr>
                <w:rFonts w:hint="eastAsia" w:ascii="仿宋_GB2312" w:hAnsi="仿宋_GB2312" w:eastAsia="仿宋_GB2312" w:cs="仿宋_GB2312"/>
                <w:sz w:val="28"/>
                <w:szCs w:val="28"/>
              </w:rPr>
              <w:t>时，</w:t>
            </w:r>
            <m:oMath>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融资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收入</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vAlign w:val="center"/>
          </w:tcPr>
          <w:p>
            <w:pPr>
              <w:pageBreakBefore w:val="0"/>
              <w:widowControl/>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kern w:val="0"/>
                <w:sz w:val="28"/>
                <w:szCs w:val="28"/>
              </w:rPr>
            </w:pPr>
            <m:oMathPara>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R</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碳排放</m:t>
                    </m:r>
                    <m:ctrlPr>
                      <w:rPr>
                        <w:rFonts w:hint="eastAsia" w:ascii="Cambria Math" w:hAnsi="Cambria Math" w:eastAsia="仿宋_GB2312" w:cs="仿宋_GB2312"/>
                        <w:sz w:val="28"/>
                        <w:szCs w:val="28"/>
                      </w:rPr>
                    </m:ctrlPr>
                  </m:sub>
                </m:sSub>
                <m:r>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n</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碳排放</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N</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i/>
                <w:iCs/>
                <w:sz w:val="28"/>
                <w:szCs w:val="28"/>
              </w:rPr>
              <w:t>R</w:t>
            </w:r>
            <w:r>
              <w:rPr>
                <w:rFonts w:hint="eastAsia" w:ascii="仿宋_GB2312" w:hAnsi="仿宋_GB2312" w:eastAsia="仿宋_GB2312" w:cs="仿宋_GB2312"/>
                <w:color w:val="000000"/>
                <w:kern w:val="0"/>
                <w:sz w:val="28"/>
                <w:szCs w:val="28"/>
                <w:vertAlign w:val="subscript"/>
              </w:rPr>
              <w:t>碳排放</w:t>
            </w:r>
            <w:r>
              <w:rPr>
                <w:rFonts w:hint="eastAsia" w:ascii="仿宋_GB2312" w:hAnsi="仿宋_GB2312" w:eastAsia="仿宋_GB2312" w:cs="仿宋_GB2312"/>
                <w:color w:val="000000"/>
                <w:kern w:val="0"/>
                <w:sz w:val="28"/>
                <w:szCs w:val="28"/>
              </w:rPr>
              <w:t>——报告期内，纳入碳排放量核算的融资业务占金融机构该类型融资业务的比例，按项目融资业务和非项目融资业务两种类型分别计算；</w:t>
            </w:r>
          </w:p>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i/>
                <w:iCs/>
                <w:sz w:val="28"/>
                <w:szCs w:val="28"/>
              </w:rPr>
              <w:t>n</w:t>
            </w:r>
            <w:r>
              <w:rPr>
                <w:rFonts w:hint="eastAsia" w:ascii="仿宋_GB2312" w:hAnsi="仿宋_GB2312" w:eastAsia="仿宋_GB2312" w:cs="仿宋_GB2312"/>
                <w:color w:val="000000"/>
                <w:kern w:val="0"/>
                <w:sz w:val="28"/>
                <w:szCs w:val="28"/>
                <w:vertAlign w:val="subscript"/>
              </w:rPr>
              <w:t>碳排放</w:t>
            </w:r>
            <w:r>
              <w:rPr>
                <w:rFonts w:hint="eastAsia" w:ascii="仿宋_GB2312" w:hAnsi="仿宋_GB2312" w:eastAsia="仿宋_GB2312" w:cs="仿宋_GB2312"/>
                <w:color w:val="000000"/>
                <w:kern w:val="0"/>
                <w:sz w:val="28"/>
                <w:szCs w:val="28"/>
              </w:rPr>
              <w:t>——报告期内，纳入碳排放量核算的融资业务的笔数，按项目融资业务和非项目融资业务两种类型分别统计；</w:t>
            </w:r>
          </w:p>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iCs/>
                <w:sz w:val="28"/>
                <w:szCs w:val="28"/>
              </w:rPr>
              <w:t>N</w:t>
            </w:r>
            <w:r>
              <w:rPr>
                <w:rFonts w:hint="eastAsia" w:ascii="仿宋_GB2312" w:hAnsi="仿宋_GB2312" w:eastAsia="仿宋_GB2312" w:cs="仿宋_GB2312"/>
                <w:color w:val="000000"/>
                <w:kern w:val="0"/>
                <w:sz w:val="28"/>
                <w:szCs w:val="28"/>
                <w:vertAlign w:val="subscript"/>
              </w:rPr>
              <w:t>总</w:t>
            </w:r>
            <w:r>
              <w:rPr>
                <w:rFonts w:hint="eastAsia" w:ascii="仿宋_GB2312" w:hAnsi="仿宋_GB2312" w:eastAsia="仿宋_GB2312" w:cs="仿宋_GB2312"/>
                <w:color w:val="000000"/>
                <w:kern w:val="0"/>
                <w:sz w:val="28"/>
                <w:szCs w:val="28"/>
              </w:rPr>
              <w:t>——报告期内，不同类型融资业务的总笔数，按项目融资业务和非项目融资业务两种类型分别统计。</w:t>
            </w:r>
          </w:p>
        </w:tc>
      </w:tr>
    </w:tbl>
    <w:p>
      <w:pPr>
        <w:pageBreakBefore w:val="0"/>
        <w:kinsoku/>
        <w:overflowPunct/>
        <w:topLinePunct w:val="0"/>
        <w:bidi w:val="0"/>
        <w:adjustRightInd/>
        <w:spacing w:line="560" w:lineRule="exact"/>
        <w:ind w:left="0" w:leftChars="0" w:firstLine="640" w:firstLineChars="200"/>
        <w:rPr>
          <w:rFonts w:ascii="仿宋_GB2312" w:hAnsi="仿宋_GB2312" w:eastAsia="仿宋_GB2312" w:cs="仿宋_GB2312"/>
          <w:szCs w:val="32"/>
        </w:rPr>
      </w:pPr>
      <w:r>
        <w:rPr>
          <w:rFonts w:hint="eastAsia"/>
        </w:rPr>
        <w:t>企业或项目本身的碳减排量参照GB/T28750、GB/T32045、GB/T33760、GB/T13234的要求，选择适用的评估方法，核算其报告期内的碳减排量。我行支持企业或项目建设运营投放的信贷产生的碳减排量依据其对企业或项目的月均投资额与企业总资产或项目总投资的比例分摊折算得到，具体测算公式如下：</w:t>
      </w:r>
    </w:p>
    <w:tbl>
      <w:tblPr>
        <w:tblStyle w:val="22"/>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pageBreakBefore w:val="0"/>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sz w:val="28"/>
                <w:szCs w:val="28"/>
              </w:rPr>
            </w:pPr>
            <m:oMathPara>
              <m:oMath>
                <m:sSub>
                  <m:sSubPr>
                    <m:ctrlPr>
                      <w:rPr>
                        <w:rFonts w:hint="eastAsia" w:ascii="Cambria Math" w:hAnsi="Cambria Math" w:eastAsia="仿宋_GB2312" w:cs="仿宋_GB2312"/>
                        <w:kern w:val="0"/>
                        <w:sz w:val="28"/>
                        <w:szCs w:val="28"/>
                      </w:rPr>
                    </m:ctrlPr>
                  </m:sSubPr>
                  <m:e>
                    <m:r>
                      <m:rPr/>
                      <w:rPr>
                        <w:rFonts w:hint="eastAsia" w:ascii="Cambria Math" w:hAnsi="Cambria Math" w:eastAsia="仿宋_GB2312" w:cs="仿宋_GB2312"/>
                        <w:kern w:val="0"/>
                        <w:sz w:val="28"/>
                        <w:szCs w:val="28"/>
                      </w:rPr>
                      <m:t>ER</m:t>
                    </m:r>
                    <m:ctrlPr>
                      <w:rPr>
                        <w:rFonts w:hint="eastAsia" w:ascii="Cambria Math" w:hAnsi="Cambria Math" w:eastAsia="仿宋_GB2312" w:cs="仿宋_GB2312"/>
                        <w:kern w:val="0"/>
                        <w:sz w:val="28"/>
                        <w:szCs w:val="28"/>
                      </w:rPr>
                    </m:ctrlPr>
                  </m:e>
                  <m:sub>
                    <m:r>
                      <m:rPr>
                        <m:sty m:val="p"/>
                      </m:rPr>
                      <w:rPr>
                        <w:rFonts w:hint="eastAsia" w:ascii="Cambria Math" w:hAnsi="Cambria Math" w:eastAsia="仿宋_GB2312" w:cs="仿宋_GB2312"/>
                        <w:kern w:val="0"/>
                        <w:sz w:val="28"/>
                        <w:szCs w:val="28"/>
                      </w:rPr>
                      <m:t>项目业务</m:t>
                    </m:r>
                    <m:ctrlPr>
                      <w:rPr>
                        <w:rFonts w:hint="eastAsia" w:ascii="Cambria Math" w:hAnsi="Cambria Math" w:eastAsia="仿宋_GB2312" w:cs="仿宋_GB2312"/>
                        <w:kern w:val="0"/>
                        <w:sz w:val="28"/>
                        <w:szCs w:val="28"/>
                      </w:rPr>
                    </m:ctrlPr>
                  </m:sub>
                </m:sSub>
                <m:r>
                  <m:rPr/>
                  <w:rPr>
                    <w:rFonts w:hint="eastAsia" w:ascii="Cambria Math" w:hAnsi="Cambria Math" w:eastAsia="仿宋_GB2312" w:cs="仿宋_GB2312"/>
                    <w:kern w:val="0"/>
                    <w:sz w:val="28"/>
                    <w:szCs w:val="28"/>
                  </w:rPr>
                  <m:t>=</m:t>
                </m:r>
                <m:sSub>
                  <m:sSubPr>
                    <m:ctrlPr>
                      <w:rPr>
                        <w:rFonts w:hint="eastAsia" w:ascii="Cambria Math" w:hAnsi="Cambria Math" w:eastAsia="仿宋_GB2312" w:cs="仿宋_GB2312"/>
                        <w:kern w:val="0"/>
                        <w:sz w:val="28"/>
                        <w:szCs w:val="28"/>
                      </w:rPr>
                    </m:ctrlPr>
                  </m:sSubPr>
                  <m:e>
                    <m:r>
                      <m:rPr/>
                      <w:rPr>
                        <w:rFonts w:hint="eastAsia" w:ascii="Cambria Math" w:hAnsi="Cambria Math" w:eastAsia="仿宋_GB2312" w:cs="仿宋_GB2312"/>
                        <w:kern w:val="0"/>
                        <w:sz w:val="28"/>
                        <w:szCs w:val="28"/>
                      </w:rPr>
                      <m:t>ER</m:t>
                    </m:r>
                    <m:ctrlPr>
                      <w:rPr>
                        <w:rFonts w:hint="eastAsia" w:ascii="Cambria Math" w:hAnsi="Cambria Math" w:eastAsia="仿宋_GB2312" w:cs="仿宋_GB2312"/>
                        <w:kern w:val="0"/>
                        <w:sz w:val="28"/>
                        <w:szCs w:val="28"/>
                      </w:rPr>
                    </m:ctrlPr>
                  </m:e>
                  <m:sub>
                    <m:r>
                      <m:rPr>
                        <m:sty m:val="p"/>
                      </m:rPr>
                      <w:rPr>
                        <w:rFonts w:hint="eastAsia" w:ascii="Cambria Math" w:hAnsi="Cambria Math" w:eastAsia="仿宋_GB2312" w:cs="仿宋_GB2312"/>
                        <w:kern w:val="0"/>
                        <w:sz w:val="28"/>
                        <w:szCs w:val="28"/>
                      </w:rPr>
                      <m:t>项目</m:t>
                    </m:r>
                    <m:ctrlPr>
                      <w:rPr>
                        <w:rFonts w:hint="eastAsia" w:ascii="Cambria Math" w:hAnsi="Cambria Math" w:eastAsia="仿宋_GB2312" w:cs="仿宋_GB2312"/>
                        <w:kern w:val="0"/>
                        <w:sz w:val="28"/>
                        <w:szCs w:val="28"/>
                      </w:rPr>
                    </m:ctrlPr>
                  </m:sub>
                </m:sSub>
                <m:r>
                  <m:rPr>
                    <m:sty m:val="p"/>
                  </m:rPr>
                  <w:rPr>
                    <w:rFonts w:hint="eastAsia" w:ascii="Cambria Math" w:hAnsi="Cambria Math" w:eastAsia="仿宋_GB2312" w:cs="仿宋_GB2312"/>
                    <w:kern w:val="0"/>
                    <w:sz w:val="28"/>
                    <w:szCs w:val="28"/>
                  </w:rPr>
                  <m:t>×（</m:t>
                </m:r>
                <m:f>
                  <m:fPr>
                    <m:ctrlPr>
                      <w:rPr>
                        <w:rFonts w:hint="eastAsia" w:ascii="Cambria Math" w:hAnsi="Cambria Math" w:eastAsia="仿宋_GB2312" w:cs="仿宋_GB2312"/>
                        <w:iCs/>
                        <w:kern w:val="0"/>
                        <w:sz w:val="28"/>
                        <w:szCs w:val="28"/>
                      </w:rPr>
                    </m:ctrlPr>
                  </m:fPr>
                  <m:num>
                    <m:sSub>
                      <m:sSubPr>
                        <m:ctrlPr>
                          <w:rPr>
                            <w:rFonts w:hint="eastAsia" w:ascii="Cambria Math" w:hAnsi="Cambria Math" w:eastAsia="仿宋_GB2312" w:cs="仿宋_GB2312"/>
                            <w:kern w:val="0"/>
                            <w:sz w:val="28"/>
                            <w:szCs w:val="28"/>
                          </w:rPr>
                        </m:ctrlPr>
                      </m:sSubPr>
                      <m:e>
                        <m:r>
                          <m:rPr/>
                          <w:rPr>
                            <w:rFonts w:hint="eastAsia" w:ascii="Cambria Math" w:hAnsi="Cambria Math" w:eastAsia="仿宋_GB2312" w:cs="仿宋_GB2312"/>
                            <w:kern w:val="0"/>
                            <w:sz w:val="28"/>
                            <w:szCs w:val="28"/>
                          </w:rPr>
                          <m:t>V</m:t>
                        </m:r>
                        <m:ctrlPr>
                          <w:rPr>
                            <w:rFonts w:hint="eastAsia" w:ascii="Cambria Math" w:hAnsi="Cambria Math" w:eastAsia="仿宋_GB2312" w:cs="仿宋_GB2312"/>
                            <w:kern w:val="0"/>
                            <w:sz w:val="28"/>
                            <w:szCs w:val="28"/>
                          </w:rPr>
                        </m:ctrlPr>
                      </m:e>
                      <m:sub>
                        <m:r>
                          <m:rPr>
                            <m:sty m:val="p"/>
                          </m:rPr>
                          <w:rPr>
                            <w:rFonts w:hint="eastAsia" w:ascii="Cambria Math" w:hAnsi="Cambria Math" w:eastAsia="仿宋_GB2312" w:cs="仿宋_GB2312"/>
                            <w:kern w:val="0"/>
                            <w:sz w:val="28"/>
                            <w:szCs w:val="28"/>
                          </w:rPr>
                          <m:t>投资</m:t>
                        </m:r>
                        <m:ctrlPr>
                          <w:rPr>
                            <w:rFonts w:hint="eastAsia" w:ascii="Cambria Math" w:hAnsi="Cambria Math" w:eastAsia="仿宋_GB2312" w:cs="仿宋_GB2312"/>
                            <w:kern w:val="0"/>
                            <w:sz w:val="28"/>
                            <w:szCs w:val="28"/>
                          </w:rPr>
                        </m:ctrlPr>
                      </m:sub>
                    </m:sSub>
                    <m:ctrlPr>
                      <w:rPr>
                        <w:rFonts w:hint="eastAsia" w:ascii="Cambria Math" w:hAnsi="Cambria Math" w:eastAsia="仿宋_GB2312" w:cs="仿宋_GB2312"/>
                        <w:iCs/>
                        <w:kern w:val="0"/>
                        <w:sz w:val="28"/>
                        <w:szCs w:val="28"/>
                      </w:rPr>
                    </m:ctrlPr>
                  </m:num>
                  <m:den>
                    <m:sSub>
                      <m:sSubPr>
                        <m:ctrlPr>
                          <w:rPr>
                            <w:rFonts w:hint="eastAsia" w:ascii="Cambria Math" w:hAnsi="Cambria Math" w:eastAsia="仿宋_GB2312" w:cs="仿宋_GB2312"/>
                            <w:kern w:val="0"/>
                            <w:sz w:val="28"/>
                            <w:szCs w:val="28"/>
                          </w:rPr>
                        </m:ctrlPr>
                      </m:sSubPr>
                      <m:e>
                        <m:r>
                          <m:rPr/>
                          <w:rPr>
                            <w:rFonts w:hint="eastAsia" w:ascii="Cambria Math" w:hAnsi="Cambria Math" w:eastAsia="仿宋_GB2312" w:cs="仿宋_GB2312"/>
                            <w:kern w:val="0"/>
                            <w:sz w:val="28"/>
                            <w:szCs w:val="28"/>
                          </w:rPr>
                          <m:t>V</m:t>
                        </m:r>
                        <m:ctrlPr>
                          <w:rPr>
                            <w:rFonts w:hint="eastAsia" w:ascii="Cambria Math" w:hAnsi="Cambria Math" w:eastAsia="仿宋_GB2312" w:cs="仿宋_GB2312"/>
                            <w:kern w:val="0"/>
                            <w:sz w:val="28"/>
                            <w:szCs w:val="28"/>
                          </w:rPr>
                        </m:ctrlPr>
                      </m:e>
                      <m:sub>
                        <m:r>
                          <m:rPr>
                            <m:sty m:val="p"/>
                          </m:rPr>
                          <w:rPr>
                            <w:rFonts w:hint="eastAsia" w:ascii="Cambria Math" w:hAnsi="Cambria Math" w:eastAsia="仿宋_GB2312" w:cs="仿宋_GB2312"/>
                            <w:kern w:val="0"/>
                            <w:sz w:val="28"/>
                            <w:szCs w:val="28"/>
                          </w:rPr>
                          <m:t>总投资</m:t>
                        </m:r>
                        <m:ctrlPr>
                          <w:rPr>
                            <w:rFonts w:hint="eastAsia" w:ascii="Cambria Math" w:hAnsi="Cambria Math" w:eastAsia="仿宋_GB2312" w:cs="仿宋_GB2312"/>
                            <w:kern w:val="0"/>
                            <w:sz w:val="28"/>
                            <w:szCs w:val="28"/>
                          </w:rPr>
                        </m:ctrlPr>
                      </m:sub>
                    </m:sSub>
                    <m:ctrlPr>
                      <w:rPr>
                        <w:rFonts w:hint="eastAsia" w:ascii="Cambria Math" w:hAnsi="Cambria Math" w:eastAsia="仿宋_GB2312" w:cs="仿宋_GB2312"/>
                        <w:iCs/>
                        <w:kern w:val="0"/>
                        <w:sz w:val="28"/>
                        <w:szCs w:val="28"/>
                      </w:rPr>
                    </m:ctrlPr>
                  </m:den>
                </m:f>
                <m:r>
                  <m:rPr>
                    <m:sty m:val="p"/>
                  </m:rPr>
                  <w:rPr>
                    <w:rFonts w:hint="eastAsia" w:ascii="Cambria Math" w:hAnsi="Cambria Math" w:eastAsia="仿宋_GB2312" w:cs="仿宋_GB2312"/>
                    <w:kern w:val="0"/>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此式为项目融资业务的碳减排核算公式，式中：</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ER</w:t>
            </w:r>
            <w:r>
              <w:rPr>
                <w:rFonts w:hint="eastAsia" w:ascii="仿宋_GB2312" w:hAnsi="仿宋_GB2312" w:eastAsia="仿宋_GB2312" w:cs="仿宋_GB2312"/>
                <w:sz w:val="28"/>
                <w:szCs w:val="28"/>
                <w:vertAlign w:val="subscript"/>
              </w:rPr>
              <w:t>项目业务</w:t>
            </w:r>
            <w:r>
              <w:rPr>
                <w:rFonts w:hint="eastAsia" w:ascii="仿宋_GB2312" w:hAnsi="仿宋_GB2312" w:eastAsia="仿宋_GB2312" w:cs="仿宋_GB2312"/>
                <w:sz w:val="28"/>
                <w:szCs w:val="28"/>
              </w:rPr>
              <w:t>——报告期内，项目融资业务对应的碳减排量，单位为吨二氧化碳当量（tCO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ER</w:t>
            </w:r>
            <w:r>
              <w:rPr>
                <w:rFonts w:hint="eastAsia" w:ascii="仿宋_GB2312" w:hAnsi="仿宋_GB2312" w:eastAsia="仿宋_GB2312" w:cs="仿宋_GB2312"/>
                <w:sz w:val="28"/>
                <w:szCs w:val="28"/>
                <w:vertAlign w:val="subscript"/>
              </w:rPr>
              <w:t>项目</w:t>
            </w:r>
            <w:r>
              <w:rPr>
                <w:rFonts w:hint="eastAsia" w:ascii="仿宋_GB2312" w:hAnsi="仿宋_GB2312" w:eastAsia="仿宋_GB2312" w:cs="仿宋_GB2312"/>
                <w:sz w:val="28"/>
                <w:szCs w:val="28"/>
              </w:rPr>
              <w:t>——报告期内，项目的碳减排量，单位为吨二氧化碳当量（tCO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投资</w:t>
            </w:r>
            <w:r>
              <w:rPr>
                <w:rFonts w:hint="eastAsia" w:ascii="仿宋_GB2312" w:hAnsi="仿宋_GB2312" w:eastAsia="仿宋_GB2312" w:cs="仿宋_GB2312"/>
                <w:sz w:val="28"/>
                <w:szCs w:val="28"/>
              </w:rPr>
              <w:t>——报告期内，金融机构对项目的月均投资额，单位为万元；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总投资</w:t>
            </w:r>
            <w:r>
              <w:rPr>
                <w:rFonts w:hint="eastAsia" w:ascii="仿宋_GB2312" w:hAnsi="仿宋_GB2312" w:eastAsia="仿宋_GB2312" w:cs="仿宋_GB2312"/>
                <w:sz w:val="28"/>
                <w:szCs w:val="28"/>
              </w:rPr>
              <w:t>——报告期内，项目的总投资额，单位为万元。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w:t>
            </w:r>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投资</m:t>
                  </m:r>
                  <m:ctrlPr>
                    <w:rPr>
                      <w:rFonts w:hint="eastAsia" w:ascii="Cambria Math" w:hAnsi="Cambria Math" w:eastAsia="仿宋_GB2312" w:cs="仿宋_GB2312"/>
                      <w:sz w:val="28"/>
                      <w:szCs w:val="28"/>
                    </w:rPr>
                  </m:ctrlPr>
                </m:sub>
              </m:sSub>
            </m:oMath>
            <w:r>
              <w:rPr>
                <w:rFonts w:hint="eastAsia" w:ascii="仿宋_GB2312" w:hAnsi="仿宋_GB2312" w:eastAsia="仿宋_GB2312" w:cs="仿宋_GB2312"/>
                <w:sz w:val="28"/>
                <w:szCs w:val="28"/>
              </w:rPr>
              <w:t>&gt;</w:t>
            </w:r>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总投资</m:t>
                  </m:r>
                  <m:ctrlPr>
                    <w:rPr>
                      <w:rFonts w:hint="eastAsia" w:ascii="Cambria Math" w:hAnsi="Cambria Math" w:eastAsia="仿宋_GB2312" w:cs="仿宋_GB2312"/>
                      <w:sz w:val="28"/>
                      <w:szCs w:val="28"/>
                    </w:rPr>
                  </m:ctrlPr>
                </m:sub>
              </m:sSub>
            </m:oMath>
            <w:r>
              <w:rPr>
                <w:rFonts w:hint="eastAsia" w:ascii="仿宋_GB2312" w:hAnsi="仿宋_GB2312" w:eastAsia="仿宋_GB2312" w:cs="仿宋_GB2312"/>
                <w:sz w:val="28"/>
                <w:szCs w:val="28"/>
              </w:rPr>
              <w:t>时，</w:t>
            </w:r>
            <m:oMath>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总投资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pageBreakBefore w:val="0"/>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sz w:val="28"/>
                <w:szCs w:val="28"/>
              </w:rPr>
            </w:pPr>
            <m:oMathPara>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ER</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非项目业务</m:t>
                    </m:r>
                    <m:ctrlPr>
                      <w:rPr>
                        <w:rFonts w:hint="eastAsia" w:ascii="Cambria Math" w:hAnsi="Cambria Math" w:eastAsia="仿宋_GB2312" w:cs="仿宋_GB2312"/>
                        <w:sz w:val="28"/>
                        <w:szCs w:val="28"/>
                      </w:rPr>
                    </m:ctrlPr>
                  </m:sub>
                </m:sSub>
                <m:r>
                  <m:rPr/>
                  <w:rPr>
                    <w:rFonts w:hint="eastAsia" w:ascii="Cambria Math" w:hAnsi="Cambria Math" w:eastAsia="仿宋_GB2312" w:cs="仿宋_GB2312"/>
                    <w:sz w:val="28"/>
                    <w:szCs w:val="28"/>
                  </w:rPr>
                  <m:t>=</m:t>
                </m:r>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ER</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主体</m:t>
                    </m:r>
                    <m:ctrlPr>
                      <w:rPr>
                        <w:rFonts w:hint="eastAsia" w:ascii="Cambria Math" w:hAnsi="Cambria Math" w:eastAsia="仿宋_GB2312" w:cs="仿宋_GB2312"/>
                        <w:sz w:val="28"/>
                        <w:szCs w:val="28"/>
                      </w:rPr>
                    </m:ctrlPr>
                  </m:sub>
                </m:sSub>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融资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收入</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此式为非项目融资业务的碳减排核算公式，式中：</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ER</w:t>
            </w:r>
            <w:r>
              <w:rPr>
                <w:rFonts w:hint="eastAsia" w:ascii="仿宋_GB2312" w:hAnsi="仿宋_GB2312" w:eastAsia="仿宋_GB2312" w:cs="仿宋_GB2312"/>
                <w:sz w:val="28"/>
                <w:szCs w:val="28"/>
                <w:vertAlign w:val="subscript"/>
              </w:rPr>
              <w:t>非项目业务</w:t>
            </w:r>
            <w:r>
              <w:rPr>
                <w:rFonts w:hint="eastAsia" w:ascii="仿宋_GB2312" w:hAnsi="仿宋_GB2312" w:eastAsia="仿宋_GB2312" w:cs="仿宋_GB2312"/>
                <w:sz w:val="28"/>
                <w:szCs w:val="28"/>
              </w:rPr>
              <w:t>——报告期内，非项目融资业务对应的碳减排量，单位为吨二氧化碳当量（tCO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ER</w:t>
            </w:r>
            <w:r>
              <w:rPr>
                <w:rFonts w:hint="eastAsia" w:ascii="仿宋_GB2312" w:hAnsi="仿宋_GB2312" w:eastAsia="仿宋_GB2312" w:cs="仿宋_GB2312"/>
                <w:sz w:val="28"/>
                <w:szCs w:val="28"/>
                <w:vertAlign w:val="subscript"/>
              </w:rPr>
              <w:t>主体</w:t>
            </w:r>
            <w:r>
              <w:rPr>
                <w:rFonts w:hint="eastAsia" w:ascii="仿宋_GB2312" w:hAnsi="仿宋_GB2312" w:eastAsia="仿宋_GB2312" w:cs="仿宋_GB2312"/>
                <w:sz w:val="28"/>
                <w:szCs w:val="28"/>
              </w:rPr>
              <w:t>——报告期内，非项目融资业务相关融资主体的碳减排量，单位为吨二氧化碳当量（tCO</w:t>
            </w:r>
            <w:r>
              <w:rPr>
                <w:rFonts w:hint="eastAsia" w:ascii="仿宋_GB2312" w:hAnsi="仿宋_GB2312" w:eastAsia="仿宋_GB2312" w:cs="仿宋_GB2312"/>
                <w:sz w:val="28"/>
                <w:szCs w:val="28"/>
                <w:vertAlign w:val="subscript"/>
              </w:rPr>
              <w:t>2</w:t>
            </w:r>
            <w:r>
              <w:rPr>
                <w:rFonts w:hint="eastAsia" w:ascii="仿宋_GB2312" w:hAnsi="仿宋_GB2312" w:eastAsia="仿宋_GB2312" w:cs="仿宋_GB2312"/>
                <w:sz w:val="28"/>
                <w:szCs w:val="28"/>
              </w:rPr>
              <w:t>e）；</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融资</w:t>
            </w:r>
            <w:r>
              <w:rPr>
                <w:rFonts w:hint="eastAsia" w:ascii="仿宋_GB2312" w:hAnsi="仿宋_GB2312" w:eastAsia="仿宋_GB2312" w:cs="仿宋_GB2312"/>
                <w:sz w:val="28"/>
                <w:szCs w:val="28"/>
              </w:rPr>
              <w:t>——报告期内，金融机构对融资主体的月均非项目融资额，单位为万元；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i/>
                <w:iCs/>
                <w:sz w:val="28"/>
                <w:szCs w:val="28"/>
              </w:rPr>
              <w:t>V</w:t>
            </w:r>
            <w:r>
              <w:rPr>
                <w:rFonts w:hint="eastAsia" w:ascii="仿宋_GB2312" w:hAnsi="仿宋_GB2312" w:eastAsia="仿宋_GB2312" w:cs="仿宋_GB2312"/>
                <w:sz w:val="28"/>
                <w:szCs w:val="28"/>
                <w:vertAlign w:val="subscript"/>
              </w:rPr>
              <w:t>收入</w:t>
            </w:r>
            <w:r>
              <w:rPr>
                <w:rFonts w:hint="eastAsia" w:ascii="仿宋_GB2312" w:hAnsi="仿宋_GB2312" w:eastAsia="仿宋_GB2312" w:cs="仿宋_GB2312"/>
                <w:sz w:val="28"/>
                <w:szCs w:val="28"/>
              </w:rPr>
              <w:t>——报告期内，融资主体的主营业务收入，单位为万元。</w:t>
            </w:r>
          </w:p>
          <w:p>
            <w:pPr>
              <w:pageBreakBefore w:val="0"/>
              <w:kinsoku/>
              <w:overflowPunct/>
              <w:topLinePunct w:val="0"/>
              <w:bidi w:val="0"/>
              <w:adjustRightInd/>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w:t>
            </w:r>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融资</m:t>
                  </m:r>
                  <m:ctrlPr>
                    <w:rPr>
                      <w:rFonts w:hint="eastAsia" w:ascii="Cambria Math" w:hAnsi="Cambria Math" w:eastAsia="仿宋_GB2312" w:cs="仿宋_GB2312"/>
                      <w:sz w:val="28"/>
                      <w:szCs w:val="28"/>
                    </w:rPr>
                  </m:ctrlPr>
                </m:sub>
              </m:sSub>
            </m:oMath>
            <w:r>
              <w:rPr>
                <w:rFonts w:hint="eastAsia" w:ascii="仿宋_GB2312" w:hAnsi="仿宋_GB2312" w:eastAsia="仿宋_GB2312" w:cs="仿宋_GB2312"/>
                <w:sz w:val="28"/>
                <w:szCs w:val="28"/>
              </w:rPr>
              <w:t>&gt;</w:t>
            </w:r>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收入</m:t>
                  </m:r>
                  <m:ctrlPr>
                    <w:rPr>
                      <w:rFonts w:hint="eastAsia" w:ascii="Cambria Math" w:hAnsi="Cambria Math" w:eastAsia="仿宋_GB2312" w:cs="仿宋_GB2312"/>
                      <w:sz w:val="28"/>
                      <w:szCs w:val="28"/>
                    </w:rPr>
                  </m:ctrlPr>
                </m:sub>
              </m:sSub>
            </m:oMath>
            <w:r>
              <w:rPr>
                <w:rFonts w:hint="eastAsia" w:ascii="仿宋_GB2312" w:hAnsi="仿宋_GB2312" w:eastAsia="仿宋_GB2312" w:cs="仿宋_GB2312"/>
                <w:sz w:val="28"/>
                <w:szCs w:val="28"/>
              </w:rPr>
              <w:t>时，</w:t>
            </w:r>
            <m:oMath>
              <m:r>
                <m:rPr>
                  <m:sty m:val="p"/>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融资</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V</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收入</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r>
                <m:rPr>
                  <m:sty m:val="p"/>
                </m:rPr>
                <w:rPr>
                  <w:rFonts w:hint="eastAsia" w:ascii="Cambria Math" w:hAnsi="Cambria Math" w:eastAsia="仿宋_GB2312" w:cs="仿宋_GB2312"/>
                  <w:sz w:val="28"/>
                  <w:szCs w:val="28"/>
                </w:rPr>
                <m:t>）</m:t>
              </m:r>
            </m:oMath>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pageBreakBefore w:val="0"/>
              <w:widowControl/>
              <w:kinsoku/>
              <w:overflowPunct/>
              <w:topLinePunct w:val="0"/>
              <w:bidi w:val="0"/>
              <w:adjustRightInd/>
              <w:spacing w:line="560" w:lineRule="exact"/>
              <w:ind w:left="0" w:leftChars="0" w:firstLine="560" w:firstLineChars="200"/>
              <w:jc w:val="center"/>
              <w:rPr>
                <w:rFonts w:hint="eastAsia" w:ascii="仿宋_GB2312" w:hAnsi="仿宋_GB2312" w:eastAsia="仿宋_GB2312" w:cs="仿宋_GB2312"/>
                <w:kern w:val="0"/>
                <w:sz w:val="28"/>
                <w:szCs w:val="28"/>
              </w:rPr>
            </w:pPr>
            <m:oMathPara>
              <m:oMath>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R</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碳减排</m:t>
                    </m:r>
                    <m:ctrlPr>
                      <w:rPr>
                        <w:rFonts w:hint="eastAsia" w:ascii="Cambria Math" w:hAnsi="Cambria Math" w:eastAsia="仿宋_GB2312" w:cs="仿宋_GB2312"/>
                        <w:sz w:val="28"/>
                        <w:szCs w:val="28"/>
                      </w:rPr>
                    </m:ctrlPr>
                  </m:sub>
                </m:sSub>
                <m:r>
                  <m:rPr/>
                  <w:rPr>
                    <w:rFonts w:hint="eastAsia" w:ascii="Cambria Math" w:hAnsi="Cambria Math" w:eastAsia="仿宋_GB2312" w:cs="仿宋_GB2312"/>
                    <w:sz w:val="28"/>
                    <w:szCs w:val="28"/>
                  </w:rPr>
                  <m:t>=</m:t>
                </m:r>
                <m:f>
                  <m:fPr>
                    <m:ctrlPr>
                      <w:rPr>
                        <w:rFonts w:hint="eastAsia" w:ascii="Cambria Math" w:hAnsi="Cambria Math" w:eastAsia="仿宋_GB2312" w:cs="仿宋_GB2312"/>
                        <w:iCs/>
                        <w:sz w:val="28"/>
                        <w:szCs w:val="28"/>
                      </w:rPr>
                    </m:ctrlPr>
                  </m:fPr>
                  <m:num>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n</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碳减排</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num>
                  <m:den>
                    <m:sSub>
                      <m:sSubPr>
                        <m:ctrlPr>
                          <w:rPr>
                            <w:rFonts w:hint="eastAsia" w:ascii="Cambria Math" w:hAnsi="Cambria Math" w:eastAsia="仿宋_GB2312" w:cs="仿宋_GB2312"/>
                            <w:sz w:val="28"/>
                            <w:szCs w:val="28"/>
                          </w:rPr>
                        </m:ctrlPr>
                      </m:sSubPr>
                      <m:e>
                        <m:r>
                          <m:rPr/>
                          <w:rPr>
                            <w:rFonts w:hint="eastAsia" w:ascii="Cambria Math" w:hAnsi="Cambria Math" w:eastAsia="仿宋_GB2312" w:cs="仿宋_GB2312"/>
                            <w:sz w:val="28"/>
                            <w:szCs w:val="28"/>
                          </w:rPr>
                          <m:t>N</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总</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iCs/>
                        <w:sz w:val="28"/>
                        <w:szCs w:val="28"/>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i/>
                <w:iCs/>
                <w:sz w:val="28"/>
                <w:szCs w:val="28"/>
              </w:rPr>
              <w:t>R</w:t>
            </w:r>
            <w:r>
              <w:rPr>
                <w:rFonts w:hint="eastAsia" w:ascii="仿宋_GB2312" w:hAnsi="仿宋_GB2312" w:eastAsia="仿宋_GB2312" w:cs="仿宋_GB2312"/>
                <w:color w:val="000000"/>
                <w:kern w:val="0"/>
                <w:sz w:val="28"/>
                <w:szCs w:val="28"/>
                <w:vertAlign w:val="subscript"/>
              </w:rPr>
              <w:t>碳减排</w:t>
            </w:r>
            <w:r>
              <w:rPr>
                <w:rFonts w:hint="eastAsia" w:ascii="仿宋_GB2312" w:hAnsi="仿宋_GB2312" w:eastAsia="仿宋_GB2312" w:cs="仿宋_GB2312"/>
                <w:color w:val="000000"/>
                <w:kern w:val="0"/>
                <w:sz w:val="28"/>
                <w:szCs w:val="28"/>
              </w:rPr>
              <w:t>——报告期内，纳入碳减排量核算的融资业务占金融机构该类型融资业务的比例，按项目融资业务和非项目融资业务两种类型分别计算；</w:t>
            </w:r>
          </w:p>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i/>
                <w:iCs/>
                <w:sz w:val="28"/>
                <w:szCs w:val="28"/>
              </w:rPr>
              <w:t>n</w:t>
            </w:r>
            <w:r>
              <w:rPr>
                <w:rFonts w:hint="eastAsia" w:ascii="仿宋_GB2312" w:hAnsi="仿宋_GB2312" w:eastAsia="仿宋_GB2312" w:cs="仿宋_GB2312"/>
                <w:color w:val="000000"/>
                <w:kern w:val="0"/>
                <w:sz w:val="28"/>
                <w:szCs w:val="28"/>
                <w:vertAlign w:val="subscript"/>
              </w:rPr>
              <w:t>碳减排</w:t>
            </w:r>
            <w:r>
              <w:rPr>
                <w:rFonts w:hint="eastAsia" w:ascii="仿宋_GB2312" w:hAnsi="仿宋_GB2312" w:eastAsia="仿宋_GB2312" w:cs="仿宋_GB2312"/>
                <w:color w:val="000000"/>
                <w:kern w:val="0"/>
                <w:sz w:val="28"/>
                <w:szCs w:val="28"/>
              </w:rPr>
              <w:t>——报告期内，纳入碳减排量核算的融资业务的笔数，按项目融资业务和非项目融资业务两种类型分别统计；</w:t>
            </w:r>
          </w:p>
          <w:p>
            <w:pPr>
              <w:pageBreakBefore w:val="0"/>
              <w:widowControl/>
              <w:kinsoku/>
              <w:overflowPunct/>
              <w:topLinePunct w:val="0"/>
              <w:bidi w:val="0"/>
              <w:adjustRightInd/>
              <w:spacing w:line="560" w:lineRule="exact"/>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iCs/>
                <w:sz w:val="28"/>
                <w:szCs w:val="28"/>
              </w:rPr>
              <w:t>N</w:t>
            </w:r>
            <w:r>
              <w:rPr>
                <w:rFonts w:hint="eastAsia" w:ascii="仿宋_GB2312" w:hAnsi="仿宋_GB2312" w:eastAsia="仿宋_GB2312" w:cs="仿宋_GB2312"/>
                <w:color w:val="000000"/>
                <w:kern w:val="0"/>
                <w:sz w:val="28"/>
                <w:szCs w:val="28"/>
                <w:vertAlign w:val="subscript"/>
              </w:rPr>
              <w:t>总</w:t>
            </w:r>
            <w:r>
              <w:rPr>
                <w:rFonts w:hint="eastAsia" w:ascii="仿宋_GB2312" w:hAnsi="仿宋_GB2312" w:eastAsia="仿宋_GB2312" w:cs="仿宋_GB2312"/>
                <w:color w:val="000000"/>
                <w:kern w:val="0"/>
                <w:sz w:val="28"/>
                <w:szCs w:val="28"/>
              </w:rPr>
              <w:t>——报告期内，不同类型融资业务的总笔数，按项目融资业务和非项目融资业务两种类型分别统计。</w:t>
            </w:r>
          </w:p>
        </w:tc>
      </w:tr>
    </w:tbl>
    <w:p>
      <w:pPr>
        <w:pStyle w:val="4"/>
        <w:pageBreakBefore w:val="0"/>
        <w:kinsoku/>
        <w:overflowPunct/>
        <w:topLinePunct w:val="0"/>
        <w:bidi w:val="0"/>
        <w:adjustRightInd/>
        <w:spacing w:beforeLines="0" w:afterLines="0" w:line="560" w:lineRule="exact"/>
        <w:ind w:left="0" w:leftChars="0" w:firstLine="640" w:firstLineChars="200"/>
        <w:outlineLvl w:val="9"/>
        <w:rPr>
          <w:rFonts w:hint="eastAsia"/>
        </w:rPr>
      </w:pPr>
    </w:p>
    <w:p>
      <w:pPr>
        <w:pStyle w:val="4"/>
        <w:pageBreakBefore w:val="0"/>
        <w:kinsoku/>
        <w:overflowPunct/>
        <w:topLinePunct w:val="0"/>
        <w:bidi w:val="0"/>
        <w:adjustRightInd/>
        <w:spacing w:beforeLines="0" w:afterLines="0" w:line="560" w:lineRule="exact"/>
        <w:ind w:left="0" w:leftChars="0" w:firstLine="640" w:firstLineChars="200"/>
        <w:rPr>
          <w:rFonts w:hint="eastAsia" w:ascii="宋体" w:hAnsi="宋体" w:cs="宋体"/>
          <w:b/>
          <w:bCs/>
          <w:color w:val="000000"/>
          <w:kern w:val="0"/>
          <w:szCs w:val="28"/>
        </w:rPr>
      </w:pPr>
      <w:bookmarkStart w:id="22" w:name="_Toc9389"/>
      <w:r>
        <w:rPr>
          <w:rFonts w:hint="eastAsia"/>
        </w:rPr>
        <w:t>（</w:t>
      </w:r>
      <w:r>
        <w:rPr>
          <w:rFonts w:hint="eastAsia"/>
          <w:lang w:val="en-US" w:eastAsia="zh-CN"/>
        </w:rPr>
        <w:t>二</w:t>
      </w:r>
      <w:r>
        <w:rPr>
          <w:rFonts w:hint="eastAsia"/>
        </w:rPr>
        <w:t>）经营活动产生的环境影响</w:t>
      </w:r>
      <w:bookmarkEnd w:id="22"/>
    </w:p>
    <w:p>
      <w:pPr>
        <w:pageBreakBefore w:val="0"/>
        <w:widowControl/>
        <w:kinsoku/>
        <w:overflowPunct/>
        <w:topLinePunct w:val="0"/>
        <w:bidi w:val="0"/>
        <w:adjustRightInd/>
        <w:spacing w:line="560" w:lineRule="exact"/>
        <w:ind w:left="0" w:leftChars="0" w:firstLine="562" w:firstLineChars="200"/>
        <w:jc w:val="center"/>
        <w:outlineLvl w:val="1"/>
        <w:rPr>
          <w:rFonts w:hint="eastAsia" w:asciiTheme="minorEastAsia" w:hAnsiTheme="minorEastAsia" w:eastAsiaTheme="minorEastAsia" w:cstheme="minorEastAsia"/>
          <w:b/>
          <w:bCs/>
          <w:color w:val="000000"/>
          <w:kern w:val="0"/>
          <w:sz w:val="21"/>
          <w:szCs w:val="21"/>
        </w:rPr>
      </w:pPr>
      <w:bookmarkStart w:id="23" w:name="_Toc24067"/>
      <w:bookmarkStart w:id="24" w:name="_Toc7185"/>
      <w:r>
        <w:rPr>
          <w:rFonts w:hint="eastAsia" w:asciiTheme="minorEastAsia" w:hAnsiTheme="minorEastAsia" w:eastAsiaTheme="minorEastAsia" w:cstheme="minorEastAsia"/>
          <w:b/>
          <w:bCs/>
          <w:kern w:val="0"/>
          <w:sz w:val="28"/>
          <w:szCs w:val="28"/>
          <w:lang w:val="en-US" w:eastAsia="zh-CN" w:bidi="ar-SA"/>
        </w:rPr>
        <w:t>2022年度经营活动产生的自然资源消耗</w:t>
      </w:r>
      <w:bookmarkEnd w:id="23"/>
      <w:bookmarkEnd w:id="24"/>
    </w:p>
    <w:tbl>
      <w:tblPr>
        <w:tblStyle w:val="21"/>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409"/>
        <w:gridCol w:w="216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70" w:type="pct"/>
            <w:gridSpan w:val="2"/>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环境指标</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指标单位</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202</w:t>
            </w:r>
            <w:r>
              <w:rPr>
                <w:rFonts w:hint="eastAsia" w:asciiTheme="minorEastAsia" w:hAnsiTheme="minorEastAsia" w:eastAsiaTheme="minorEastAsia" w:cstheme="minorEastAsia"/>
                <w:b/>
                <w:bCs/>
                <w:color w:val="000000"/>
                <w:kern w:val="0"/>
                <w:sz w:val="21"/>
                <w:szCs w:val="21"/>
                <w:lang w:val="en-US" w:eastAsia="zh-CN"/>
              </w:rPr>
              <w:t>2</w:t>
            </w:r>
            <w:r>
              <w:rPr>
                <w:rFonts w:hint="eastAsia" w:asciiTheme="minorEastAsia" w:hAnsiTheme="minorEastAsia" w:eastAsiaTheme="minorEastAsia" w:cstheme="minorEastAsia"/>
                <w:b/>
                <w:bCs/>
                <w:color w:val="000000"/>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72" w:type="pct"/>
            <w:vMerge w:val="restar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经营活动产生的直接自然资源消耗</w:t>
            </w: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天然气</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立方米</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continue"/>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液化石油气</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千克</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continue"/>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煤炭</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吨</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continue"/>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公车用汽油</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升</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3</w:t>
            </w:r>
            <w:r>
              <w:rPr>
                <w:rFonts w:hint="eastAsia" w:asciiTheme="minorEastAsia" w:hAnsiTheme="minorEastAsia" w:eastAsiaTheme="minorEastAsia" w:cstheme="minorEastAsia"/>
                <w:color w:val="000000"/>
                <w:kern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restar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经营活动产生的间接自然资源消耗</w:t>
            </w: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外购电力</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千瓦时</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30</w:t>
            </w:r>
            <w:r>
              <w:rPr>
                <w:rFonts w:hint="eastAsia" w:asciiTheme="minorEastAsia" w:hAnsiTheme="minorEastAsia" w:eastAsiaTheme="minorEastAsia" w:cstheme="minorEastAsia"/>
                <w:color w:val="000000"/>
                <w:kern w:val="0"/>
                <w:sz w:val="21"/>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continue"/>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办公用水消耗</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吨</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pct"/>
            <w:vMerge w:val="continue"/>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p>
        </w:tc>
        <w:tc>
          <w:tcPr>
            <w:tcW w:w="1298"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办公用纸消耗量</w:t>
            </w:r>
          </w:p>
        </w:tc>
        <w:tc>
          <w:tcPr>
            <w:tcW w:w="116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张</w:t>
            </w:r>
          </w:p>
        </w:tc>
        <w:tc>
          <w:tcPr>
            <w:tcW w:w="1063"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55</w:t>
            </w:r>
            <w:r>
              <w:rPr>
                <w:rFonts w:hint="eastAsia" w:asciiTheme="minorEastAsia" w:hAnsiTheme="minorEastAsia" w:eastAsiaTheme="minorEastAsia" w:cstheme="minorEastAsia"/>
                <w:color w:val="000000"/>
                <w:kern w:val="0"/>
                <w:sz w:val="21"/>
                <w:szCs w:val="21"/>
              </w:rPr>
              <w:t>0</w:t>
            </w:r>
            <w:r>
              <w:rPr>
                <w:rFonts w:hint="eastAsia" w:asciiTheme="minorEastAsia" w:hAnsiTheme="minorEastAsia" w:eastAsiaTheme="minorEastAsia" w:cstheme="minorEastAsia"/>
                <w:color w:val="000000"/>
                <w:kern w:val="0"/>
                <w:sz w:val="21"/>
                <w:szCs w:val="21"/>
                <w:lang w:val="en-US" w:eastAsia="zh-CN"/>
              </w:rPr>
              <w:t>0</w:t>
            </w:r>
            <w:r>
              <w:rPr>
                <w:rFonts w:hint="eastAsia" w:asciiTheme="minorEastAsia" w:hAnsiTheme="minorEastAsia" w:eastAsiaTheme="minorEastAsia" w:cstheme="minorEastAsia"/>
                <w:color w:val="000000"/>
                <w:kern w:val="0"/>
                <w:sz w:val="21"/>
                <w:szCs w:val="21"/>
              </w:rPr>
              <w:t>000</w:t>
            </w:r>
          </w:p>
        </w:tc>
      </w:tr>
    </w:tbl>
    <w:p>
      <w:pPr>
        <w:pageBreakBefore w:val="0"/>
        <w:kinsoku/>
        <w:overflowPunct/>
        <w:topLinePunct w:val="0"/>
        <w:bidi w:val="0"/>
        <w:adjustRightInd/>
        <w:snapToGrid w:val="0"/>
        <w:spacing w:line="560" w:lineRule="exact"/>
        <w:ind w:left="0" w:leftChars="0" w:firstLine="420" w:firstLineChars="200"/>
        <w:rPr>
          <w:rFonts w:hint="eastAsia" w:asciiTheme="minorEastAsia" w:hAnsiTheme="minorEastAsia" w:eastAsiaTheme="minorEastAsia" w:cstheme="minorEastAsia"/>
          <w:sz w:val="21"/>
          <w:szCs w:val="21"/>
        </w:rPr>
      </w:pPr>
    </w:p>
    <w:p>
      <w:pPr>
        <w:pageBreakBefore w:val="0"/>
        <w:widowControl/>
        <w:kinsoku/>
        <w:overflowPunct/>
        <w:topLinePunct w:val="0"/>
        <w:bidi w:val="0"/>
        <w:adjustRightInd/>
        <w:spacing w:line="560" w:lineRule="exact"/>
        <w:ind w:left="0" w:leftChars="0" w:firstLine="562" w:firstLineChars="200"/>
        <w:jc w:val="center"/>
        <w:outlineLvl w:val="1"/>
        <w:rPr>
          <w:rFonts w:hint="eastAsia" w:asciiTheme="minorEastAsia" w:hAnsiTheme="minorEastAsia" w:eastAsiaTheme="minorEastAsia" w:cstheme="minorEastAsia"/>
          <w:color w:val="000000"/>
          <w:kern w:val="0"/>
          <w:sz w:val="21"/>
          <w:szCs w:val="21"/>
        </w:rPr>
      </w:pPr>
      <w:bookmarkStart w:id="25" w:name="_Toc13188"/>
      <w:bookmarkStart w:id="26" w:name="_Toc21481"/>
      <w:r>
        <w:rPr>
          <w:rFonts w:hint="eastAsia" w:asciiTheme="minorEastAsia" w:hAnsiTheme="minorEastAsia" w:eastAsiaTheme="minorEastAsia" w:cstheme="minorEastAsia"/>
          <w:b/>
          <w:bCs/>
          <w:kern w:val="0"/>
          <w:sz w:val="28"/>
          <w:szCs w:val="28"/>
          <w:lang w:val="en-US" w:eastAsia="zh-CN" w:bidi="ar-SA"/>
        </w:rPr>
        <w:t>2022年度经营活动产生的温室气体排放</w:t>
      </w:r>
      <w:bookmarkEnd w:id="25"/>
      <w:bookmarkEnd w:id="26"/>
    </w:p>
    <w:tbl>
      <w:tblPr>
        <w:tblStyle w:val="21"/>
        <w:tblW w:w="5437" w:type="pct"/>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9"/>
        <w:gridCol w:w="3346"/>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温室气体排放范围</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温室气体排放量</w:t>
            </w:r>
          </w:p>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（吨二氧化碳当量）</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人均排放量</w:t>
            </w:r>
          </w:p>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范围1：直接温室气体排放量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131.55</w:t>
            </w:r>
          </w:p>
        </w:tc>
        <w:tc>
          <w:tcPr>
            <w:tcW w:w="1479" w:type="pct"/>
            <w:shd w:val="clear" w:color="auto" w:fill="FFFFFF" w:themeFill="background1"/>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其中：天然气产生的温室气体排放量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2.17</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汽油产生的温室气体排放量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32.63</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煤产生的温室气体排放量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34.80</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液化石油气产生的温室气体排放量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61.95</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范围2：间接温室气体排放量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1185.98</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其中：电力产生的温室气体排放量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1185.98</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温室气体排放总量（范围1+2）</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1317.53</w:t>
            </w:r>
          </w:p>
        </w:tc>
        <w:tc>
          <w:tcPr>
            <w:tcW w:w="1479" w:type="pct"/>
            <w:shd w:val="clear" w:color="auto" w:fill="auto"/>
            <w:vAlign w:val="center"/>
          </w:tcPr>
          <w:p>
            <w:pPr>
              <w:pageBreakBefore w:val="0"/>
              <w:widowControl/>
              <w:kinsoku/>
              <w:wordWrap w:val="0"/>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范围3：其他间接温室气体排放量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3993.78</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其中：贷款产生的温室气体排放量</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3993.78</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温室气体排放总量（范围1+2+3）</w:t>
            </w:r>
          </w:p>
        </w:tc>
        <w:tc>
          <w:tcPr>
            <w:tcW w:w="1805" w:type="pct"/>
            <w:shd w:val="clear" w:color="auto" w:fill="auto"/>
            <w:vAlign w:val="center"/>
          </w:tcPr>
          <w:p>
            <w:pPr>
              <w:pageBreakBefore w:val="0"/>
              <w:widowControl/>
              <w:kinsoku/>
              <w:overflowPunct/>
              <w:topLinePunct w:val="0"/>
              <w:bidi w:val="0"/>
              <w:adjustRightInd/>
              <w:snapToGrid w:val="0"/>
              <w:spacing w:line="560" w:lineRule="exact"/>
              <w:ind w:left="0" w:leftChars="0" w:firstLine="422" w:firstLineChars="200"/>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5311.31</w:t>
            </w:r>
          </w:p>
        </w:tc>
        <w:tc>
          <w:tcPr>
            <w:tcW w:w="1479" w:type="pct"/>
            <w:shd w:val="clear" w:color="auto" w:fill="auto"/>
            <w:vAlign w:val="center"/>
          </w:tcPr>
          <w:p>
            <w:pPr>
              <w:pageBreakBefore w:val="0"/>
              <w:widowControl/>
              <w:kinsoku/>
              <w:overflowPunct/>
              <w:topLinePunct w:val="0"/>
              <w:bidi w:val="0"/>
              <w:adjustRightInd/>
              <w:snapToGrid w:val="0"/>
              <w:spacing w:line="560" w:lineRule="exact"/>
              <w:ind w:left="0" w:leftChars="0" w:firstLine="420" w:firstLineChars="2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bl>
    <w:p>
      <w:pPr>
        <w:pageBreakBefore w:val="0"/>
        <w:kinsoku/>
        <w:overflowPunct/>
        <w:topLinePunct w:val="0"/>
        <w:bidi w:val="0"/>
        <w:adjustRightInd/>
        <w:spacing w:line="560" w:lineRule="exact"/>
        <w:ind w:left="0" w:leftChars="0" w:firstLine="480" w:firstLineChars="200"/>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cs="仿宋_GB2312"/>
          <w:sz w:val="24"/>
          <w:szCs w:val="24"/>
          <w:lang w:val="en-US" w:eastAsia="zh-CN"/>
        </w:rPr>
        <w:t>1.</w:t>
      </w:r>
      <w:r>
        <w:rPr>
          <w:rFonts w:hint="eastAsia" w:ascii="仿宋_GB2312" w:hAnsi="仿宋_GB2312" w:eastAsia="仿宋_GB2312" w:cs="仿宋_GB2312"/>
          <w:sz w:val="24"/>
          <w:szCs w:val="24"/>
        </w:rPr>
        <w:t>202</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rPr>
        <w:t>年度经营活动产生的温室气体排放包括直接温室气体排放量（范围一）、间接温室气体排放量（范围二）和其他间接温室气体排放量（范围三），统计对象为龙里农商行；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2.人均排放量测算以龙里农商行正式编制员工为基准；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3.贷款产生温室气体排放情况详见本报告第七章投融资活动的环境影响部分。</w:t>
      </w:r>
    </w:p>
    <w:p>
      <w:pPr>
        <w:pStyle w:val="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pPr>
      <w:r>
        <w:rPr>
          <w:rFonts w:hint="eastAsia"/>
          <w:lang w:val="en-US" w:eastAsia="zh-CN"/>
        </w:rPr>
        <w:t>1.</w:t>
      </w:r>
      <w:r>
        <w:rPr>
          <w:rFonts w:hint="eastAsia"/>
          <w:lang w:eastAsia="zh-CN"/>
        </w:rPr>
        <w:t>我行</w:t>
      </w:r>
      <w:r>
        <w:rPr>
          <w:rFonts w:hint="eastAsia"/>
        </w:rPr>
        <w:t>环保措施产生的效果</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lang w:eastAsia="zh-CN"/>
        </w:rPr>
        <w:t>（</w:t>
      </w:r>
      <w:r>
        <w:rPr>
          <w:rFonts w:hint="eastAsia"/>
          <w:lang w:val="en-US" w:eastAsia="zh-CN"/>
        </w:rPr>
        <w:t>1</w:t>
      </w:r>
      <w:r>
        <w:rPr>
          <w:rFonts w:hint="eastAsia"/>
          <w:lang w:eastAsia="zh-CN"/>
        </w:rPr>
        <w:t>）</w:t>
      </w:r>
      <w:r>
        <w:rPr>
          <w:rFonts w:hint="eastAsia"/>
        </w:rPr>
        <w:t>倡导勤俭节约、反对铺张浪费。以《中共贵州省委办公厅贵州省人民政府办公厅关于例行节约坚决制止餐饮浪费行为的通知》精神为指导，龙里农商银行高度重视勤俭节约、节能减排工作。在2020年下发了《龙里农商银行厉行勤俭节约反对铺张浪费倡议书》，要求全行员工节约用水、用电、用气、用纸、用餐、办公用品。厉行勤俭节约，反对铺张浪费，形成人人节约、处处节俭的良好习惯，营造厉行勤俭节约，反对铺张浪费的良好氛围，身体力行践行绿色理念。</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lang w:eastAsia="zh-CN"/>
        </w:rPr>
        <w:t>（</w:t>
      </w:r>
      <w:r>
        <w:rPr>
          <w:rFonts w:hint="eastAsia"/>
          <w:lang w:val="en-US" w:eastAsia="zh-CN"/>
        </w:rPr>
        <w:t>2</w:t>
      </w:r>
      <w:r>
        <w:rPr>
          <w:rFonts w:hint="eastAsia"/>
          <w:lang w:eastAsia="zh-CN"/>
        </w:rPr>
        <w:t>）</w:t>
      </w:r>
      <w:r>
        <w:rPr>
          <w:rFonts w:hint="eastAsia"/>
        </w:rPr>
        <w:t>全面启动绿色办公、节约化管理工作。</w:t>
      </w:r>
      <w:r>
        <w:rPr>
          <w:rFonts w:hint="eastAsia"/>
          <w:lang w:eastAsia="zh-CN"/>
        </w:rPr>
        <w:t>我行</w:t>
      </w:r>
      <w:r>
        <w:rPr>
          <w:rFonts w:hint="eastAsia"/>
        </w:rPr>
        <w:t>始终坚持“建设绿色企业，坚持绿色经营”的理念，倡导步行出入，针对单位老旧超标排放车辆进行报废换新处理，优化了公车使用，严控公务车排量，减少公车的使用频率</w:t>
      </w:r>
      <w:r>
        <w:rPr>
          <w:rFonts w:hint="eastAsia"/>
          <w:lang w:eastAsia="zh-CN"/>
        </w:rPr>
        <w:t>。</w:t>
      </w:r>
      <w:r>
        <w:rPr>
          <w:rFonts w:hint="eastAsia"/>
          <w:lang w:val="en-US" w:eastAsia="zh-CN"/>
        </w:rPr>
        <w:t>联系供电公司在停车场安装充电桩，</w:t>
      </w:r>
      <w:r>
        <w:rPr>
          <w:rFonts w:hint="eastAsia"/>
        </w:rPr>
        <w:t>倡导员工购置新能源汽车，降低对能源资源消耗，合理使用资源，倡导降低人力成本、减少资源消耗、绿色出行等可持续发展理念</w:t>
      </w:r>
      <w:r>
        <w:rPr>
          <w:rFonts w:hint="eastAsia"/>
          <w:lang w:eastAsia="zh-CN"/>
        </w:rPr>
        <w:t>。</w:t>
      </w:r>
      <w:r>
        <w:rPr>
          <w:rFonts w:hint="eastAsia"/>
        </w:rPr>
        <w:t>全行人均用水、用电、用纸均低于去年同期。为提高水资源使用效率，</w:t>
      </w:r>
      <w:r>
        <w:rPr>
          <w:rFonts w:hint="eastAsia"/>
          <w:lang w:eastAsia="zh-CN"/>
        </w:rPr>
        <w:t>我行</w:t>
      </w:r>
      <w:r>
        <w:rPr>
          <w:rFonts w:hint="eastAsia"/>
        </w:rPr>
        <w:t>定期检查办公场所各水管线的设备陈旧情况，并设有专人负责设备的日常维护保养。在水资源节约宣传方面，通过制作节水宣传标语，并利用传媒主动进行宣传引导。</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Cs w:val="32"/>
        </w:rPr>
      </w:pPr>
      <w:r>
        <w:rPr>
          <w:rFonts w:hint="eastAsia"/>
          <w:lang w:eastAsia="zh-CN"/>
        </w:rPr>
        <w:t>（</w:t>
      </w:r>
      <w:r>
        <w:rPr>
          <w:rFonts w:hint="eastAsia"/>
          <w:lang w:val="en-US" w:eastAsia="zh-CN"/>
        </w:rPr>
        <w:t>3</w:t>
      </w:r>
      <w:r>
        <w:rPr>
          <w:rFonts w:hint="eastAsia"/>
          <w:lang w:eastAsia="zh-CN"/>
        </w:rPr>
        <w:t>）</w:t>
      </w:r>
      <w:r>
        <w:rPr>
          <w:rFonts w:hint="eastAsia"/>
        </w:rPr>
        <w:t>积极开展绿色公益活动。在环保公益方面，</w:t>
      </w:r>
      <w:r>
        <w:rPr>
          <w:rFonts w:hint="eastAsia"/>
          <w:lang w:eastAsia="zh-CN"/>
        </w:rPr>
        <w:t>我行</w:t>
      </w:r>
      <w:r>
        <w:rPr>
          <w:rFonts w:hint="eastAsia"/>
        </w:rPr>
        <w:t>充分发挥主营业务优势，通过积极开展丰富多彩的环保公益活动，加强与利益相关方的沟通，践行绿色发展理念，提升全社会的环保意识，促进可持续发展。加大绿色理念培植力度，增强员工对绿色金融各类知识、理念、价值观的认识，全面营造绿色发展的氛围。</w:t>
      </w:r>
    </w:p>
    <w:p>
      <w:pPr>
        <w:pStyle w:val="5"/>
        <w:pageBreakBefore w:val="0"/>
        <w:widowControl w:val="0"/>
        <w:kinsoku/>
        <w:wordWrap/>
        <w:overflowPunct/>
        <w:topLinePunct w:val="0"/>
        <w:autoSpaceDE/>
        <w:autoSpaceDN/>
        <w:bidi w:val="0"/>
        <w:adjustRightInd/>
        <w:snapToGrid/>
        <w:spacing w:line="560" w:lineRule="exact"/>
        <w:ind w:left="0" w:leftChars="0" w:firstLine="643" w:firstLineChars="200"/>
        <w:textAlignment w:val="auto"/>
      </w:pPr>
      <w:r>
        <w:rPr>
          <w:rFonts w:hint="eastAsia"/>
          <w:lang w:val="en-US" w:eastAsia="zh-CN"/>
        </w:rPr>
        <w:t>2.</w:t>
      </w:r>
      <w:r>
        <w:rPr>
          <w:rFonts w:hint="eastAsia"/>
        </w:rPr>
        <w:t>经营活动环境影响的计算</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rPr>
        <w:t>我行基于202</w:t>
      </w:r>
      <w:r>
        <w:rPr>
          <w:rFonts w:hint="eastAsia"/>
          <w:lang w:val="en-US" w:eastAsia="zh-CN"/>
        </w:rPr>
        <w:t>2</w:t>
      </w:r>
      <w:r>
        <w:rPr>
          <w:rFonts w:hint="eastAsia"/>
        </w:rPr>
        <w:t>年经营活动消耗的各类能源总量和相应的二氧化碳排放系数对经营活动中，直接或间接产生的温室气体排放量以及减排量进行测算。测算依据为《绿色信贷节能减排量测算指引》，基本公式如下：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296" w:type="dxa"/>
            <w:vAlign w:val="center"/>
          </w:tcPr>
          <w:p>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m:oMathPara>
              <m:oMath>
                <m:sSub>
                  <m:sSubPr>
                    <m:ctrlPr>
                      <w:rPr>
                        <w:rFonts w:hint="eastAsia" w:ascii="Cambria Math" w:hAnsi="Cambria Math" w:eastAsia="仿宋_GB2312" w:cs="仿宋_GB2312"/>
                        <w:sz w:val="28"/>
                        <w:szCs w:val="28"/>
                      </w:rPr>
                    </m:ctrlPr>
                  </m:sSubPr>
                  <m:e>
                    <m:r>
                      <m:rPr>
                        <m:sty m:val="p"/>
                      </m:rPr>
                      <w:rPr>
                        <w:rFonts w:hint="eastAsia" w:ascii="Cambria Math" w:hAnsi="Cambria Math" w:eastAsia="仿宋_GB2312" w:cs="仿宋_GB2312"/>
                        <w:sz w:val="28"/>
                        <w:szCs w:val="28"/>
                      </w:rPr>
                      <m:t>CO</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2</m:t>
                    </m:r>
                    <m:ctrlPr>
                      <w:rPr>
                        <w:rFonts w:hint="eastAsia" w:ascii="Cambria Math" w:hAnsi="Cambria Math" w:eastAsia="仿宋_GB2312" w:cs="仿宋_GB2312"/>
                        <w:sz w:val="28"/>
                        <w:szCs w:val="28"/>
                      </w:rPr>
                    </m:ctrlPr>
                  </m:sub>
                </m:sSub>
                <m:r>
                  <m:rPr>
                    <m:sty m:val="p"/>
                  </m:rPr>
                  <w:rPr>
                    <w:rFonts w:hint="eastAsia" w:ascii="Cambria Math" w:hAnsi="Cambria Math" w:eastAsia="仿宋_GB2312" w:cs="仿宋_GB2312"/>
                    <w:sz w:val="28"/>
                    <w:szCs w:val="28"/>
                  </w:rPr>
                  <m:t>=</m:t>
                </m:r>
                <m:nary>
                  <m:naryPr>
                    <m:chr m:val="∑"/>
                    <m:limLoc m:val="undOvr"/>
                    <m:ctrlPr>
                      <w:rPr>
                        <w:rFonts w:hint="eastAsia" w:ascii="Cambria Math" w:hAnsi="Cambria Math" w:eastAsia="仿宋_GB2312" w:cs="仿宋_GB2312"/>
                        <w:sz w:val="28"/>
                        <w:szCs w:val="28"/>
                      </w:rPr>
                    </m:ctrlPr>
                  </m:naryPr>
                  <m:sub>
                    <m:r>
                      <m:rPr>
                        <m:sty m:val="p"/>
                      </m:rPr>
                      <w:rPr>
                        <w:rFonts w:hint="eastAsia" w:ascii="Cambria Math" w:hAnsi="Cambria Math" w:eastAsia="仿宋_GB2312" w:cs="仿宋_GB2312"/>
                        <w:sz w:val="28"/>
                        <w:szCs w:val="28"/>
                      </w:rPr>
                      <m:t>1</m:t>
                    </m:r>
                    <m:ctrlPr>
                      <w:rPr>
                        <w:rFonts w:hint="eastAsia" w:ascii="Cambria Math" w:hAnsi="Cambria Math" w:eastAsia="仿宋_GB2312" w:cs="仿宋_GB2312"/>
                        <w:sz w:val="28"/>
                        <w:szCs w:val="28"/>
                      </w:rPr>
                    </m:ctrlPr>
                  </m:sub>
                  <m:sup>
                    <m:r>
                      <m:rPr>
                        <m:sty m:val="p"/>
                      </m:rPr>
                      <w:rPr>
                        <w:rFonts w:hint="eastAsia" w:ascii="Cambria Math" w:hAnsi="Cambria Math" w:eastAsia="仿宋_GB2312" w:cs="仿宋_GB2312"/>
                        <w:sz w:val="28"/>
                        <w:szCs w:val="28"/>
                      </w:rPr>
                      <m:t>n</m:t>
                    </m:r>
                    <m:ctrlPr>
                      <w:rPr>
                        <w:rFonts w:hint="eastAsia" w:ascii="Cambria Math" w:hAnsi="Cambria Math" w:eastAsia="仿宋_GB2312" w:cs="仿宋_GB2312"/>
                        <w:sz w:val="28"/>
                        <w:szCs w:val="28"/>
                      </w:rPr>
                    </m:ctrlPr>
                  </m:sup>
                  <m:e>
                    <m:sSub>
                      <m:sSubPr>
                        <m:ctrlPr>
                          <w:rPr>
                            <w:rFonts w:hint="eastAsia" w:ascii="Cambria Math" w:hAnsi="Cambria Math" w:eastAsia="仿宋_GB2312" w:cs="仿宋_GB2312"/>
                            <w:sz w:val="28"/>
                            <w:szCs w:val="28"/>
                          </w:rPr>
                        </m:ctrlPr>
                      </m:sSubPr>
                      <m:e>
                        <m:r>
                          <m:rPr>
                            <m:sty m:val="p"/>
                          </m:rPr>
                          <w:rPr>
                            <w:rFonts w:hint="eastAsia" w:ascii="Cambria Math" w:hAnsi="Cambria Math" w:eastAsia="仿宋_GB2312" w:cs="仿宋_GB2312"/>
                            <w:sz w:val="28"/>
                            <w:szCs w:val="28"/>
                          </w:rPr>
                          <m:t>E</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i</m:t>
                        </m:r>
                        <m:ctrlPr>
                          <w:rPr>
                            <w:rFonts w:hint="eastAsia" w:ascii="Cambria Math" w:hAnsi="Cambria Math" w:eastAsia="仿宋_GB2312" w:cs="仿宋_GB2312"/>
                            <w:sz w:val="28"/>
                            <w:szCs w:val="28"/>
                          </w:rPr>
                        </m:ctrlPr>
                      </m:sub>
                    </m:sSub>
                    <m:r>
                      <m:rPr>
                        <m:sty m:val="p"/>
                      </m:rPr>
                      <w:rPr>
                        <w:rFonts w:hint="eastAsia" w:ascii="Cambria Math" w:hAnsi="Cambria Math" w:eastAsia="仿宋_GB2312" w:cs="仿宋_GB2312"/>
                        <w:sz w:val="28"/>
                        <w:szCs w:val="28"/>
                      </w:rPr>
                      <m:t>×</m:t>
                    </m:r>
                    <m:sSub>
                      <m:sSubPr>
                        <m:ctrlPr>
                          <w:rPr>
                            <w:rFonts w:hint="eastAsia" w:ascii="Cambria Math" w:hAnsi="Cambria Math" w:eastAsia="仿宋_GB2312" w:cs="仿宋_GB2312"/>
                            <w:sz w:val="28"/>
                            <w:szCs w:val="28"/>
                          </w:rPr>
                        </m:ctrlPr>
                      </m:sSubPr>
                      <m:e>
                        <m:r>
                          <m:rPr>
                            <m:sty m:val="p"/>
                          </m:rPr>
                          <w:rPr>
                            <w:rFonts w:hint="eastAsia" w:ascii="Cambria Math" w:hAnsi="Cambria Math" w:eastAsia="仿宋_GB2312" w:cs="仿宋_GB2312"/>
                            <w:sz w:val="28"/>
                            <w:szCs w:val="28"/>
                          </w:rPr>
                          <m:t>α</m:t>
                        </m:r>
                        <m:ctrlPr>
                          <w:rPr>
                            <w:rFonts w:hint="eastAsia" w:ascii="Cambria Math" w:hAnsi="Cambria Math" w:eastAsia="仿宋_GB2312" w:cs="仿宋_GB2312"/>
                            <w:sz w:val="28"/>
                            <w:szCs w:val="28"/>
                          </w:rPr>
                        </m:ctrlPr>
                      </m:e>
                      <m:sub>
                        <m:r>
                          <m:rPr>
                            <m:sty m:val="p"/>
                          </m:rPr>
                          <w:rPr>
                            <w:rFonts w:hint="eastAsia" w:ascii="Cambria Math" w:hAnsi="Cambria Math" w:eastAsia="仿宋_GB2312" w:cs="仿宋_GB2312"/>
                            <w:sz w:val="28"/>
                            <w:szCs w:val="28"/>
                          </w:rPr>
                          <m:t>i</m:t>
                        </m:r>
                        <m:ctrlPr>
                          <w:rPr>
                            <w:rFonts w:hint="eastAsia" w:ascii="Cambria Math" w:hAnsi="Cambria Math" w:eastAsia="仿宋_GB2312" w:cs="仿宋_GB2312"/>
                            <w:sz w:val="28"/>
                            <w:szCs w:val="28"/>
                          </w:rPr>
                        </m:ctrlPr>
                      </m:sub>
                    </m:sSub>
                    <m:ctrlPr>
                      <w:rPr>
                        <w:rFonts w:hint="eastAsia" w:ascii="Cambria Math" w:hAnsi="Cambria Math" w:eastAsia="仿宋_GB2312" w:cs="仿宋_GB2312"/>
                        <w:sz w:val="28"/>
                        <w:szCs w:val="28"/>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注：该公式为基本公式，二氧化碳排放应按照具体能源消费品种分别计算。</w:t>
            </w:r>
          </w:p>
          <w:p>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CO2：项目二氧化碳排放量，单位：吨二氧化碳；</w:t>
            </w:r>
          </w:p>
          <w:p>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Ei：项目某能源消费品种的使用量，单位：吨（或万千瓦时或立方米等）；</w:t>
            </w:r>
          </w:p>
          <w:p>
            <w:pPr>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αi：项目消费能源品种的二氧化碳排放系数，单位为千克二氧化碳/千克（或立方米）。</w:t>
            </w:r>
          </w:p>
        </w:tc>
      </w:tr>
    </w:tbl>
    <w:p>
      <w:pPr>
        <w:pStyle w:val="3"/>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rPr>
      </w:pPr>
      <w:bookmarkStart w:id="27" w:name="_Toc20004"/>
      <w:r>
        <w:rPr>
          <w:rFonts w:hint="eastAsia"/>
          <w:lang w:val="en-US" w:eastAsia="zh-CN"/>
        </w:rPr>
        <w:t>七、</w:t>
      </w:r>
      <w:r>
        <w:rPr>
          <w:rFonts w:hint="eastAsia"/>
        </w:rPr>
        <w:t>数据梳理、校验及保护</w:t>
      </w:r>
      <w:bookmarkEnd w:id="27"/>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rPr>
        <w:t>为确保全行范围内数据质量管理工作的有效开展，保障行内信息安全，</w:t>
      </w:r>
      <w:r>
        <w:rPr>
          <w:rFonts w:hint="eastAsia"/>
          <w:lang w:eastAsia="zh-CN"/>
        </w:rPr>
        <w:t>我行</w:t>
      </w:r>
      <w:r>
        <w:rPr>
          <w:rFonts w:hint="eastAsia"/>
        </w:rPr>
        <w:t>依据相关法律法规制定了《贵州龙里农村商业银行股份有限公司信息系统数据安全管理实施细则（试行）》和《贵州龙里农村商业银行股份有限公司信息科技机房管理规程》，对行内信息系统数据的安全、数据中心机房经营方面建立相应管理规范。</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rPr>
        <w:t>同时，为确保行内数据信息安全，</w:t>
      </w:r>
      <w:r>
        <w:rPr>
          <w:rFonts w:hint="eastAsia"/>
          <w:lang w:eastAsia="zh-CN"/>
        </w:rPr>
        <w:t>我行</w:t>
      </w:r>
      <w:r>
        <w:rPr>
          <w:rFonts w:hint="eastAsia"/>
        </w:rPr>
        <w:t>建立了数据安全管理体系，制定了《贵州龙里农村商业银行股份有限公司信息系统生产数据安全管理规程（试行）》、《贵州龙里农村商业银行股份有限公司信息系统数据备份与恢复管理暂行办法》及《贵州龙里农村商业银行股份有限公司科技信息资产分类分级规程（试行）》等制度，明确规定重要或敏感数据的定义、分类、分级标准和访问控制策略、数据备份与恢复策略。规范了生产数据提取、分发、传输和销毁等环节的安全管理；通过网络隔离、终端管控、数据中心人员出入管理等手段，实行严格的认证措施管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r>
        <w:rPr>
          <w:rFonts w:hint="eastAsia"/>
        </w:rPr>
        <w:t>此外，</w:t>
      </w:r>
      <w:r>
        <w:rPr>
          <w:rFonts w:hint="eastAsia"/>
          <w:lang w:eastAsia="zh-CN"/>
        </w:rPr>
        <w:t>我行</w:t>
      </w:r>
      <w:r>
        <w:rPr>
          <w:rFonts w:hint="eastAsia"/>
        </w:rPr>
        <w:t>还制定了《贵州龙里农村商业银行股份有限公司信息科技风险应急预案》和《贵州龙里农村商业银行股份有限公司信息科技突发事件应急管理办法》，规范行内重要信息系统突发事件应急预案，有效预防、及时控制和最大限度地消除信息系统安全运行各类突发事件的危害和影响，提高重要信息系统突发事件的处置能力。</w:t>
      </w:r>
    </w:p>
    <w:p>
      <w:pPr>
        <w:pStyle w:val="3"/>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textAlignment w:val="auto"/>
      </w:pPr>
      <w:bookmarkStart w:id="28" w:name="_Toc3529"/>
      <w:r>
        <w:rPr>
          <w:rFonts w:hint="eastAsia"/>
          <w:lang w:val="en-US" w:eastAsia="zh-CN"/>
        </w:rPr>
        <w:t>八、</w:t>
      </w:r>
      <w:r>
        <w:rPr>
          <w:rFonts w:hint="eastAsia"/>
        </w:rPr>
        <w:t>绿色金融创新及成果</w:t>
      </w:r>
      <w:bookmarkEnd w:id="28"/>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rPr>
        <w:t>为贯彻落实国家环境保护、节能减排等宏观调控政策，推动龙里农商银行调整信贷结构，发展绿色信贷，加大对绿色经济、低碳经济、循环经济的支持，更好地服务实体经济，促进经济发展方式转变和经济结构调整，有效防控环境和社会风险。在探索供应链金融服务模式的同时，龙里农商银行还将人民银行的再贷款政策和绿色贷款政策以及供应链金融服务进行多元融合，在供应链金融服务的过程中，龙里农商银行</w:t>
      </w:r>
      <w:r>
        <w:rPr>
          <w:rFonts w:hint="eastAsia"/>
          <w:lang w:val="en-US" w:eastAsia="zh-CN"/>
        </w:rPr>
        <w:t>重点识别绿色产业企业</w:t>
      </w:r>
      <w:r>
        <w:rPr>
          <w:rFonts w:hint="eastAsia"/>
        </w:rPr>
        <w:t>，</w:t>
      </w:r>
      <w:r>
        <w:rPr>
          <w:rFonts w:hint="eastAsia"/>
          <w:lang w:val="en-US" w:eastAsia="zh-CN"/>
        </w:rPr>
        <w:t>并</w:t>
      </w:r>
      <w:r>
        <w:rPr>
          <w:rFonts w:hint="eastAsia"/>
        </w:rPr>
        <w:t>纳入绿色信贷的重点支持对象，结合人民银行的再贷款政策，打出助力企业金融服务“组合拳”，从而达到“多重功效”</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pPr>
      <w:r>
        <w:rPr>
          <w:rFonts w:hint="eastAsia"/>
          <w:b/>
          <w:bCs/>
        </w:rPr>
        <w:t>一是</w:t>
      </w:r>
      <w:r>
        <w:rPr>
          <w:rFonts w:hint="eastAsia"/>
        </w:rPr>
        <w:t>贯彻落实了监管部门的惠农惠企政策；</w:t>
      </w:r>
      <w:r>
        <w:rPr>
          <w:rFonts w:hint="eastAsia"/>
          <w:b/>
          <w:bCs/>
        </w:rPr>
        <w:t>二是</w:t>
      </w:r>
      <w:r>
        <w:rPr>
          <w:rFonts w:hint="eastAsia"/>
        </w:rPr>
        <w:t>推动金融机构信贷结构调整，构建多条农业供应链体系，助推农村产业化发展；</w:t>
      </w:r>
      <w:r>
        <w:rPr>
          <w:rFonts w:hint="eastAsia"/>
          <w:b/>
          <w:bCs/>
        </w:rPr>
        <w:t>三是</w:t>
      </w:r>
      <w:r>
        <w:rPr>
          <w:rFonts w:hint="eastAsia"/>
        </w:rPr>
        <w:t>通过利率的优惠直接降低企业的经营成本；</w:t>
      </w:r>
      <w:r>
        <w:rPr>
          <w:rFonts w:hint="eastAsia"/>
          <w:b/>
          <w:bCs/>
        </w:rPr>
        <w:t>四是</w:t>
      </w:r>
      <w:r>
        <w:rPr>
          <w:rFonts w:hint="eastAsia"/>
        </w:rPr>
        <w:t>实现稳企业保就业、助农增收创收、乡村振兴多点带动的效应。截至202</w:t>
      </w:r>
      <w:r>
        <w:rPr>
          <w:rFonts w:hint="eastAsia"/>
          <w:lang w:val="en-US" w:eastAsia="zh-CN"/>
        </w:rPr>
        <w:t>2</w:t>
      </w:r>
      <w:r>
        <w:rPr>
          <w:rFonts w:hint="eastAsia"/>
        </w:rPr>
        <w:t>年末，通过再贷款+供应链+绿色贷款</w:t>
      </w:r>
      <w:r>
        <w:rPr>
          <w:rFonts w:hint="eastAsia"/>
          <w:lang w:val="en-US" w:eastAsia="zh-CN"/>
        </w:rPr>
        <w:t>的</w:t>
      </w:r>
      <w:r>
        <w:rPr>
          <w:rFonts w:hint="eastAsia"/>
        </w:rPr>
        <w:t>模式向供应链核心企业发放贷款2550万元，</w:t>
      </w:r>
      <w:r>
        <w:rPr>
          <w:rFonts w:hint="eastAsia"/>
          <w:lang w:val="en-US" w:eastAsia="zh-CN"/>
        </w:rPr>
        <w:t>向</w:t>
      </w:r>
      <w:r>
        <w:rPr>
          <w:rFonts w:hint="eastAsia"/>
        </w:rPr>
        <w:t>上游合作社发放贷款1149万元，占了再贷款申请额</w:t>
      </w:r>
      <w:r>
        <w:rPr>
          <w:rFonts w:hint="eastAsia"/>
          <w:lang w:val="en-US" w:eastAsia="zh-CN"/>
        </w:rPr>
        <w:t>的33.63</w:t>
      </w:r>
      <w:r>
        <w:rPr>
          <w:rFonts w:hint="eastAsia"/>
        </w:rPr>
        <w:t>%，随着该项业务的成熟和推进，通过再贷款支持供应链金融服务的力度将会更大。</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rPr>
        <w:t>未来，龙里农商行还将以供应链金融服务为契机，继续发挥好再贷款政策的导向作用，推动龙里县龙头农产品加工企业与农村合作社的深度合作，</w:t>
      </w:r>
      <w:r>
        <w:rPr>
          <w:rFonts w:hint="eastAsia"/>
          <w:lang w:val="en-US" w:eastAsia="zh-CN"/>
        </w:rPr>
        <w:t>丰富</w:t>
      </w:r>
      <w:r>
        <w:rPr>
          <w:rFonts w:hint="eastAsia"/>
        </w:rPr>
        <w:t>农业供应链体系，助推农村产业化发展。并在各行业筛选符合条件的绿色企业进行供应链金融业务的</w:t>
      </w:r>
      <w:r>
        <w:rPr>
          <w:rFonts w:hint="eastAsia"/>
          <w:lang w:val="en-US" w:eastAsia="zh-CN"/>
        </w:rPr>
        <w:t>融合</w:t>
      </w:r>
      <w:r>
        <w:rPr>
          <w:rFonts w:hint="eastAsia"/>
        </w:rPr>
        <w:t>，</w:t>
      </w:r>
      <w:r>
        <w:rPr>
          <w:rFonts w:hint="eastAsia"/>
          <w:lang w:val="en-US" w:eastAsia="zh-CN"/>
        </w:rPr>
        <w:t>加大</w:t>
      </w:r>
      <w:r>
        <w:rPr>
          <w:rFonts w:hint="eastAsia"/>
        </w:rPr>
        <w:t>供应链金融产品</w:t>
      </w:r>
      <w:r>
        <w:rPr>
          <w:rFonts w:hint="eastAsia"/>
          <w:lang w:val="en-US" w:eastAsia="zh-CN"/>
        </w:rPr>
        <w:t>的推广力度</w:t>
      </w:r>
      <w:r>
        <w:rPr>
          <w:rFonts w:hint="eastAsia"/>
        </w:rPr>
        <w:t>，满足绿色供应链中小企业</w:t>
      </w:r>
      <w:r>
        <w:rPr>
          <w:rFonts w:hint="eastAsia"/>
          <w:lang w:val="en-US" w:eastAsia="zh-CN"/>
        </w:rPr>
        <w:t>的</w:t>
      </w:r>
      <w:r>
        <w:rPr>
          <w:rFonts w:hint="eastAsia"/>
        </w:rPr>
        <w:t>综合金融需求。</w:t>
      </w: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p>
  </w:footnote>
  <w:footnote w:type="continuationSeparator" w:id="5">
    <w:p>
      <w:pPr>
        <w:spacing w:line="240" w:lineRule="auto"/>
        <w:ind w:firstLine="640"/>
      </w:pPr>
    </w:p>
  </w:footnote>
  <w:footnote w:id="0">
    <w:p>
      <w:pPr>
        <w:pStyle w:val="16"/>
        <w:ind w:left="0" w:leftChars="0" w:firstLine="0" w:firstLineChars="0"/>
      </w:pPr>
    </w:p>
  </w:footnote>
  <w:footnote w:id="1">
    <w:p>
      <w:pPr>
        <w:pStyle w:val="16"/>
        <w:ind w:left="0" w:leftChars="0" w:firstLine="0" w:firstLineChars="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3828" w:firstLine="0"/>
      </w:pPr>
      <w:rPr>
        <w:rFonts w:hint="eastAsia" w:ascii="黑体" w:hAnsi="Times New Roman" w:eastAsia="黑体"/>
        <w:b w:val="0"/>
        <w:i w:val="0"/>
        <w:sz w:val="21"/>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DVhMmI5OTZkMTQ4NjBkNTJhMzZiNTQ3ZTFkZTcifQ=="/>
  </w:docVars>
  <w:rsids>
    <w:rsidRoot w:val="006507BF"/>
    <w:rsid w:val="006507BF"/>
    <w:rsid w:val="00814983"/>
    <w:rsid w:val="008F1BF0"/>
    <w:rsid w:val="01C05C60"/>
    <w:rsid w:val="01D66D4B"/>
    <w:rsid w:val="044B60A3"/>
    <w:rsid w:val="06781AB9"/>
    <w:rsid w:val="06942FD7"/>
    <w:rsid w:val="09D84D01"/>
    <w:rsid w:val="0A517A27"/>
    <w:rsid w:val="0A536647"/>
    <w:rsid w:val="0A5B7EB7"/>
    <w:rsid w:val="0AE5739C"/>
    <w:rsid w:val="0C291CFF"/>
    <w:rsid w:val="0DE031EA"/>
    <w:rsid w:val="0EE13D73"/>
    <w:rsid w:val="13BF26C8"/>
    <w:rsid w:val="15C26167"/>
    <w:rsid w:val="17AE026A"/>
    <w:rsid w:val="1CA5662B"/>
    <w:rsid w:val="1DCA07E6"/>
    <w:rsid w:val="21F164C8"/>
    <w:rsid w:val="227B5D82"/>
    <w:rsid w:val="231849DA"/>
    <w:rsid w:val="26B04822"/>
    <w:rsid w:val="2C1D7C0B"/>
    <w:rsid w:val="2C544747"/>
    <w:rsid w:val="2D0631EC"/>
    <w:rsid w:val="31E70023"/>
    <w:rsid w:val="32FE3FA1"/>
    <w:rsid w:val="36544F77"/>
    <w:rsid w:val="3C047191"/>
    <w:rsid w:val="3D085387"/>
    <w:rsid w:val="3F0531F8"/>
    <w:rsid w:val="3FD85B5A"/>
    <w:rsid w:val="411073A1"/>
    <w:rsid w:val="42C068F3"/>
    <w:rsid w:val="42E4591F"/>
    <w:rsid w:val="438C38B3"/>
    <w:rsid w:val="475B1F20"/>
    <w:rsid w:val="49B468FD"/>
    <w:rsid w:val="4A9350EE"/>
    <w:rsid w:val="507E7A08"/>
    <w:rsid w:val="52EE2CE6"/>
    <w:rsid w:val="537A4A06"/>
    <w:rsid w:val="553C572D"/>
    <w:rsid w:val="59044946"/>
    <w:rsid w:val="5A8F323C"/>
    <w:rsid w:val="5D7A6B48"/>
    <w:rsid w:val="5F09675A"/>
    <w:rsid w:val="5FDD3770"/>
    <w:rsid w:val="60C17D0A"/>
    <w:rsid w:val="617D2E90"/>
    <w:rsid w:val="61C73F4F"/>
    <w:rsid w:val="6255251B"/>
    <w:rsid w:val="649503F2"/>
    <w:rsid w:val="65075C9C"/>
    <w:rsid w:val="68294543"/>
    <w:rsid w:val="6BE15697"/>
    <w:rsid w:val="6CD07156"/>
    <w:rsid w:val="6DDC3DF8"/>
    <w:rsid w:val="74977DE0"/>
    <w:rsid w:val="75750114"/>
    <w:rsid w:val="75C74E9E"/>
    <w:rsid w:val="7A837291"/>
    <w:rsid w:val="7F4B5A88"/>
    <w:rsid w:val="7FA5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rPr>
  </w:style>
  <w:style w:type="paragraph" w:styleId="5">
    <w:name w:val="heading 3"/>
    <w:basedOn w:val="1"/>
    <w:next w:val="1"/>
    <w:link w:val="36"/>
    <w:unhideWhenUsed/>
    <w:qFormat/>
    <w:uiPriority w:val="9"/>
    <w:pPr>
      <w:keepNext/>
      <w:keepLines/>
      <w:spacing w:line="560" w:lineRule="exact"/>
      <w:ind w:firstLine="880" w:firstLineChars="200"/>
      <w:outlineLvl w:val="2"/>
    </w:pPr>
    <w:rPr>
      <w:b/>
      <w:bCs/>
      <w:szCs w:val="32"/>
    </w:rPr>
  </w:style>
  <w:style w:type="paragraph" w:styleId="6">
    <w:name w:val="heading 4"/>
    <w:basedOn w:val="1"/>
    <w:next w:val="1"/>
    <w:unhideWhenUsed/>
    <w:qFormat/>
    <w:uiPriority w:val="0"/>
    <w:pPr>
      <w:keepNext/>
      <w:keepLines/>
      <w:spacing w:beforeLines="0" w:beforeAutospacing="0" w:afterLines="0" w:afterAutospacing="0" w:line="600" w:lineRule="exact"/>
      <w:outlineLvl w:val="3"/>
    </w:pPr>
    <w:rPr>
      <w:rFonts w:ascii="Arial" w:hAnsi="Arial"/>
    </w:rPr>
  </w:style>
  <w:style w:type="paragraph" w:styleId="7">
    <w:name w:val="heading 5"/>
    <w:basedOn w:val="1"/>
    <w:next w:val="1"/>
    <w:semiHidden/>
    <w:unhideWhenUsed/>
    <w:qFormat/>
    <w:uiPriority w:val="0"/>
    <w:pPr>
      <w:keepNext/>
      <w:keepLines/>
      <w:spacing w:beforeLines="0" w:beforeAutospacing="0" w:afterLines="0" w:afterAutospacing="0" w:line="600" w:lineRule="exact"/>
      <w:outlineLvl w:val="4"/>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autoSpaceDE w:val="0"/>
      <w:autoSpaceDN w:val="0"/>
      <w:ind w:firstLine="200" w:firstLineChars="200"/>
      <w:jc w:val="left"/>
    </w:pPr>
    <w:rPr>
      <w:rFonts w:ascii="仿宋_GB2312" w:hAnsi="宋体" w:eastAsia="仿宋_GB2312" w:cs="宋体"/>
      <w:kern w:val="0"/>
      <w:sz w:val="22"/>
    </w:rPr>
  </w:style>
  <w:style w:type="paragraph" w:styleId="8">
    <w:name w:val="caption"/>
    <w:basedOn w:val="1"/>
    <w:next w:val="1"/>
    <w:semiHidden/>
    <w:unhideWhenUsed/>
    <w:qFormat/>
    <w:uiPriority w:val="0"/>
    <w:rPr>
      <w:rFonts w:ascii="Arial" w:hAnsi="Arial" w:eastAsia="黑体"/>
      <w:sz w:val="20"/>
    </w:rPr>
  </w:style>
  <w:style w:type="paragraph" w:styleId="9">
    <w:name w:val="annotation text"/>
    <w:basedOn w:val="1"/>
    <w:link w:val="34"/>
    <w:qFormat/>
    <w:uiPriority w:val="0"/>
    <w:pPr>
      <w:jc w:val="left"/>
    </w:pPr>
  </w:style>
  <w:style w:type="paragraph" w:styleId="10">
    <w:name w:val="Body Text Indent"/>
    <w:basedOn w:val="1"/>
    <w:qFormat/>
    <w:uiPriority w:val="0"/>
    <w:pPr>
      <w:spacing w:after="120"/>
      <w:ind w:left="420" w:leftChars="200"/>
    </w:pPr>
  </w:style>
  <w:style w:type="paragraph" w:styleId="11">
    <w:name w:val="endnote text"/>
    <w:basedOn w:val="1"/>
    <w:qFormat/>
    <w:uiPriority w:val="0"/>
    <w:pPr>
      <w:snapToGrid w:val="0"/>
      <w:jc w:val="left"/>
    </w:pPr>
  </w:style>
  <w:style w:type="paragraph" w:styleId="12">
    <w:name w:val="Balloon Text"/>
    <w:basedOn w:val="1"/>
    <w:link w:val="33"/>
    <w:qFormat/>
    <w:uiPriority w:val="0"/>
    <w:rPr>
      <w:sz w:val="18"/>
      <w:szCs w:val="18"/>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qFormat/>
    <w:uiPriority w:val="0"/>
    <w:pPr>
      <w:widowControl/>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9"/>
    <w:next w:val="9"/>
    <w:link w:val="35"/>
    <w:qFormat/>
    <w:uiPriority w:val="0"/>
    <w:rPr>
      <w:b/>
      <w:bCs/>
    </w:rPr>
  </w:style>
  <w:style w:type="paragraph" w:styleId="20">
    <w:name w:val="Body Text First Indent 2"/>
    <w:basedOn w:val="10"/>
    <w:qFormat/>
    <w:uiPriority w:val="0"/>
    <w:pPr>
      <w:ind w:firstLine="420" w:firstLineChars="200"/>
    </w:pPr>
    <w:rPr>
      <w:rFonts w:eastAsia="仿宋_GB2312" w:cs="Calibri"/>
      <w:sz w:val="32"/>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ndnote reference"/>
    <w:basedOn w:val="23"/>
    <w:qFormat/>
    <w:uiPriority w:val="0"/>
    <w:rPr>
      <w:vertAlign w:val="superscript"/>
    </w:rPr>
  </w:style>
  <w:style w:type="character" w:styleId="25">
    <w:name w:val="annotation reference"/>
    <w:basedOn w:val="23"/>
    <w:qFormat/>
    <w:uiPriority w:val="0"/>
    <w:rPr>
      <w:sz w:val="21"/>
      <w:szCs w:val="21"/>
    </w:rPr>
  </w:style>
  <w:style w:type="character" w:styleId="26">
    <w:name w:val="footnote reference"/>
    <w:basedOn w:val="23"/>
    <w:qFormat/>
    <w:uiPriority w:val="0"/>
    <w:rPr>
      <w:vertAlign w:val="superscript"/>
    </w:rPr>
  </w:style>
  <w:style w:type="paragraph" w:styleId="27">
    <w:name w:val="List Paragraph"/>
    <w:basedOn w:val="1"/>
    <w:qFormat/>
    <w:uiPriority w:val="34"/>
    <w:pPr>
      <w:ind w:firstLine="420" w:firstLineChars="200"/>
    </w:pPr>
  </w:style>
  <w:style w:type="paragraph" w:styleId="28">
    <w:name w:val="No Spacing"/>
    <w:qFormat/>
    <w:uiPriority w:val="1"/>
    <w:pPr>
      <w:widowControl w:val="0"/>
      <w:contextualSpacing/>
      <w:jc w:val="both"/>
    </w:pPr>
    <w:rPr>
      <w:rFonts w:eastAsia="宋体" w:asciiTheme="minorHAnsi" w:hAnsiTheme="minorHAnsi" w:cstheme="minorBidi"/>
      <w:kern w:val="2"/>
      <w:sz w:val="28"/>
      <w:szCs w:val="22"/>
      <w:lang w:val="en-US" w:eastAsia="zh-CN" w:bidi="ar-SA"/>
    </w:rPr>
  </w:style>
  <w:style w:type="paragraph" w:customStyle="1" w:styleId="29">
    <w:name w:val="段"/>
    <w:qFormat/>
    <w:uiPriority w:val="2"/>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二级无"/>
    <w:basedOn w:val="1"/>
    <w:qFormat/>
    <w:uiPriority w:val="0"/>
    <w:pPr>
      <w:widowControl/>
      <w:numPr>
        <w:ilvl w:val="2"/>
        <w:numId w:val="1"/>
      </w:numPr>
      <w:jc w:val="left"/>
      <w:outlineLvl w:val="3"/>
    </w:pPr>
    <w:rPr>
      <w:rFonts w:ascii="宋体"/>
      <w:kern w:val="0"/>
      <w:szCs w:val="21"/>
    </w:rPr>
  </w:style>
  <w:style w:type="character" w:customStyle="1" w:styleId="31">
    <w:name w:val="页眉 字符"/>
    <w:basedOn w:val="23"/>
    <w:link w:val="14"/>
    <w:qFormat/>
    <w:uiPriority w:val="0"/>
    <w:rPr>
      <w:rFonts w:ascii="Calibri" w:hAnsi="Calibri"/>
      <w:kern w:val="2"/>
      <w:sz w:val="18"/>
      <w:szCs w:val="18"/>
    </w:rPr>
  </w:style>
  <w:style w:type="character" w:customStyle="1" w:styleId="32">
    <w:name w:val="页脚 字符"/>
    <w:basedOn w:val="23"/>
    <w:link w:val="13"/>
    <w:qFormat/>
    <w:uiPriority w:val="0"/>
    <w:rPr>
      <w:rFonts w:ascii="Calibri" w:hAnsi="Calibri"/>
      <w:kern w:val="2"/>
      <w:sz w:val="18"/>
      <w:szCs w:val="18"/>
    </w:rPr>
  </w:style>
  <w:style w:type="character" w:customStyle="1" w:styleId="33">
    <w:name w:val="批注框文本 字符"/>
    <w:basedOn w:val="23"/>
    <w:link w:val="12"/>
    <w:qFormat/>
    <w:uiPriority w:val="0"/>
    <w:rPr>
      <w:rFonts w:ascii="Calibri" w:hAnsi="Calibri"/>
      <w:kern w:val="2"/>
      <w:sz w:val="18"/>
      <w:szCs w:val="18"/>
    </w:rPr>
  </w:style>
  <w:style w:type="character" w:customStyle="1" w:styleId="34">
    <w:name w:val="批注文字 字符"/>
    <w:basedOn w:val="23"/>
    <w:link w:val="9"/>
    <w:uiPriority w:val="0"/>
    <w:rPr>
      <w:rFonts w:ascii="Calibri" w:hAnsi="Calibri"/>
      <w:kern w:val="2"/>
      <w:sz w:val="21"/>
      <w:szCs w:val="24"/>
    </w:rPr>
  </w:style>
  <w:style w:type="character" w:customStyle="1" w:styleId="35">
    <w:name w:val="批注主题 字符"/>
    <w:basedOn w:val="34"/>
    <w:link w:val="19"/>
    <w:qFormat/>
    <w:uiPriority w:val="0"/>
    <w:rPr>
      <w:rFonts w:ascii="Calibri" w:hAnsi="Calibri"/>
      <w:b/>
      <w:bCs/>
      <w:kern w:val="2"/>
      <w:sz w:val="21"/>
      <w:szCs w:val="24"/>
    </w:rPr>
  </w:style>
  <w:style w:type="character" w:customStyle="1" w:styleId="36">
    <w:name w:val="标题 3 Char"/>
    <w:link w:val="5"/>
    <w:qFormat/>
    <w:uiPriority w:val="9"/>
    <w:rPr>
      <w:rFonts w:eastAsia="仿宋_GB2312"/>
      <w:b/>
      <w:bCs/>
      <w:szCs w:val="32"/>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10242</Words>
  <Characters>10774</Characters>
  <Lines>70</Lines>
  <Paragraphs>19</Paragraphs>
  <TotalTime>27</TotalTime>
  <ScaleCrop>false</ScaleCrop>
  <LinksUpToDate>false</LinksUpToDate>
  <CharactersWithSpaces>10896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2022-03-28T01:59:00Z</dcterms:created>
  <dc:creator>llnsyh</dc:creator>
  <cp:lastModifiedBy>124639-熊炼青</cp:lastModifiedBy>
  <cp:lastPrinted>2023-07-21T00:50:43Z</cp:lastPrinted>
  <dcterms:modified xsi:type="dcterms:W3CDTF">2023-07-21T00:53:11Z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19F0819119334201A9CF75C9B9C847EF</vt:lpwstr>
  </property>
</Properties>
</file>