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贵州瓮安农村商业银行股份有限公司</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Times New Roman" w:hAnsi="Times New Roman" w:eastAsia="方正小标宋简体"/>
          <w:sz w:val="44"/>
          <w:szCs w:val="44"/>
        </w:rPr>
        <w:t>2022</w:t>
      </w:r>
      <w:r>
        <w:rPr>
          <w:rFonts w:hint="eastAsia" w:ascii="方正小标宋简体" w:eastAsia="方正小标宋简体"/>
          <w:sz w:val="44"/>
          <w:szCs w:val="44"/>
        </w:rPr>
        <w:t>年度环境信息披露报告</w:t>
      </w:r>
    </w:p>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eastAsia="仿宋_GB2312"/>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 xml:space="preserve">年度概况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（一）瓮安农商银行概况</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瓮安农商银行的前身是有着</w:t>
      </w:r>
      <w:r>
        <w:rPr>
          <w:rFonts w:hint="eastAsia" w:ascii="Times New Roman" w:hAnsi="Times New Roman" w:eastAsia="仿宋_GB2312" w:cs="仿宋_GB2312"/>
          <w:sz w:val="32"/>
          <w:szCs w:val="32"/>
        </w:rPr>
        <w:t>60</w:t>
      </w:r>
      <w:r>
        <w:rPr>
          <w:rFonts w:hint="eastAsia" w:ascii="仿宋_GB2312" w:hAnsi="仿宋_GB2312" w:eastAsia="仿宋_GB2312" w:cs="仿宋_GB2312"/>
          <w:sz w:val="32"/>
          <w:szCs w:val="32"/>
        </w:rPr>
        <w:t>多年悠久历史的瓮安县农村信用社。于</w:t>
      </w:r>
      <w:r>
        <w:rPr>
          <w:rFonts w:hint="eastAsia" w:ascii="Times New Roman" w:hAnsi="Times New Roman" w:eastAsia="仿宋_GB2312" w:cs="仿宋_GB2312"/>
          <w:sz w:val="32"/>
          <w:szCs w:val="32"/>
        </w:rPr>
        <w:t>2013</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28</w:t>
      </w:r>
      <w:r>
        <w:rPr>
          <w:rFonts w:hint="eastAsia" w:ascii="仿宋_GB2312" w:hAnsi="仿宋_GB2312" w:eastAsia="仿宋_GB2312" w:cs="仿宋_GB2312"/>
          <w:sz w:val="32"/>
          <w:szCs w:val="32"/>
        </w:rPr>
        <w:t>日挂牌开业，实现了由农村信用社向现代商业银行的转变。现有在编职工</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79</w:t>
      </w:r>
      <w:r>
        <w:rPr>
          <w:rFonts w:hint="eastAsia" w:ascii="仿宋_GB2312" w:hAnsi="仿宋_GB2312" w:eastAsia="仿宋_GB2312" w:cs="仿宋_GB2312"/>
          <w:sz w:val="32"/>
          <w:szCs w:val="32"/>
        </w:rPr>
        <w:t>人，下辖</w:t>
      </w:r>
      <w:r>
        <w:rPr>
          <w:rFonts w:hint="eastAsia" w:ascii="Times New Roman" w:hAnsi="Times New Roman" w:eastAsia="仿宋_GB2312" w:cs="仿宋_GB2312"/>
          <w:sz w:val="32"/>
          <w:szCs w:val="32"/>
        </w:rPr>
        <w:t>26</w:t>
      </w:r>
      <w:r>
        <w:rPr>
          <w:rFonts w:hint="eastAsia" w:ascii="仿宋_GB2312" w:hAnsi="仿宋_GB2312" w:eastAsia="仿宋_GB2312" w:cs="仿宋_GB2312"/>
          <w:sz w:val="32"/>
          <w:szCs w:val="32"/>
        </w:rPr>
        <w:t>个营业网点，金融服务实现了全县</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个乡镇</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个街道办事处、</w:t>
      </w:r>
      <w:r>
        <w:rPr>
          <w:rFonts w:hint="eastAsia" w:ascii="Times New Roman" w:hAnsi="Times New Roman" w:eastAsia="仿宋_GB2312" w:cs="仿宋_GB2312"/>
          <w:sz w:val="32"/>
          <w:szCs w:val="32"/>
        </w:rPr>
        <w:t>82</w:t>
      </w:r>
      <w:r>
        <w:rPr>
          <w:rFonts w:hint="eastAsia" w:ascii="仿宋_GB2312" w:hAnsi="仿宋_GB2312" w:eastAsia="仿宋_GB2312" w:cs="仿宋_GB2312"/>
          <w:sz w:val="32"/>
          <w:szCs w:val="32"/>
        </w:rPr>
        <w:t>个行政村的全覆盖，是全县银行业金融机构中从业人员最多、机构覆盖面最广的银行。近年来，该行迎着改革的春风，各项业务经营实现了跨越式发展，存贷款均位居县域同业之首，已发展成为瓮安县域举足轻重的主流银行和“服务三农”的骨干银行。</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近年来，瓮安农商银行不断创新金融产品，在有效支持地方经济发展的同时壮大了自身实力。资产总量、存贷款余额、市场份额均居县域银行业机构</w:t>
      </w:r>
      <w:r>
        <w:rPr>
          <w:rFonts w:hint="eastAsia" w:ascii="仿宋_GB2312" w:hAnsi="仿宋_GB2312" w:eastAsia="仿宋_GB2312" w:cs="仿宋_GB2312"/>
          <w:sz w:val="32"/>
          <w:szCs w:val="32"/>
          <w:lang w:eastAsia="zh-CN"/>
        </w:rPr>
        <w:t>首</w:t>
      </w:r>
      <w:r>
        <w:rPr>
          <w:rFonts w:hint="eastAsia" w:ascii="仿宋_GB2312" w:hAnsi="仿宋_GB2312" w:eastAsia="仿宋_GB2312" w:cs="仿宋_GB2312"/>
          <w:sz w:val="32"/>
          <w:szCs w:val="32"/>
        </w:rPr>
        <w:t>位。同时，以承担社会责任为己任，为解决边远山区群众金融服务缺失问题，在</w:t>
      </w:r>
      <w:r>
        <w:rPr>
          <w:rFonts w:hint="eastAsia" w:ascii="Times New Roman" w:hAnsi="Times New Roman" w:eastAsia="仿宋_GB2312" w:cs="仿宋_GB2312"/>
          <w:sz w:val="32"/>
          <w:szCs w:val="32"/>
        </w:rPr>
        <w:t>82</w:t>
      </w:r>
      <w:r>
        <w:rPr>
          <w:rFonts w:hint="eastAsia" w:ascii="仿宋_GB2312" w:hAnsi="仿宋_GB2312" w:eastAsia="仿宋_GB2312" w:cs="仿宋_GB2312"/>
          <w:sz w:val="32"/>
          <w:szCs w:val="32"/>
        </w:rPr>
        <w:t>个行政村开通了</w:t>
      </w:r>
      <w:r>
        <w:rPr>
          <w:rFonts w:hint="eastAsia" w:ascii="Times New Roman" w:hAnsi="Times New Roman" w:eastAsia="仿宋_GB2312" w:cs="仿宋_GB2312"/>
          <w:sz w:val="32"/>
          <w:szCs w:val="32"/>
        </w:rPr>
        <w:t>88</w:t>
      </w:r>
      <w:r>
        <w:rPr>
          <w:rFonts w:hint="eastAsia" w:ascii="仿宋_GB2312" w:hAnsi="仿宋_GB2312" w:eastAsia="仿宋_GB2312" w:cs="仿宋_GB2312"/>
          <w:sz w:val="32"/>
          <w:szCs w:val="32"/>
        </w:rPr>
        <w:t>台“黔农村村通”，将金融服务延伸到乡村“最后一公里”，做到金融服务全覆盖。</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（二）绿色金融发展现状</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瓮安农商银行作为立足三农，发展三农的县域金融机构，通过绿色金融支持县域经济发展符合自身的立足定位，也符合国家大政方针。</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年末，瓮安农商银行绿色贷款余额</w:t>
      </w:r>
      <w:r>
        <w:rPr>
          <w:rFonts w:hint="eastAsia" w:ascii="Times New Roman" w:hAnsi="Times New Roman" w:eastAsia="宋体" w:cs="宋体"/>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Times New Roman" w:hAnsi="Times New Roman" w:eastAsia="宋体" w:cs="宋体"/>
          <w:color w:val="auto"/>
          <w:sz w:val="24"/>
          <w:szCs w:val="24"/>
          <w:lang w:val="en-US" w:eastAsia="zh-CN"/>
        </w:rPr>
        <w:t>45</w:t>
      </w:r>
      <w:r>
        <w:rPr>
          <w:rFonts w:hint="eastAsia" w:ascii="仿宋_GB2312" w:hAnsi="仿宋_GB2312" w:eastAsia="仿宋_GB2312" w:cs="仿宋_GB2312"/>
          <w:color w:val="auto"/>
          <w:sz w:val="32"/>
          <w:szCs w:val="32"/>
        </w:rPr>
        <w:t>亿元，较年初增</w:t>
      </w:r>
      <w:r>
        <w:rPr>
          <w:rFonts w:hint="eastAsia" w:ascii="Times New Roman" w:hAnsi="Times New Roman" w:eastAsia="仿宋_GB2312" w:cs="仿宋_GB2312"/>
          <w:color w:val="auto"/>
          <w:sz w:val="32"/>
          <w:szCs w:val="32"/>
          <w:lang w:val="en-US" w:eastAsia="zh-CN"/>
        </w:rPr>
        <w:t>2721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万元，增长率为</w:t>
      </w:r>
      <w:r>
        <w:rPr>
          <w:rFonts w:hint="eastAsia" w:ascii="Times New Roman" w:hAnsi="Times New Roman"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%，占各项贷款的</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%，较年初增加</w:t>
      </w:r>
      <w:r>
        <w:rPr>
          <w:rFonts w:hint="eastAsia" w:ascii="Times New Roman" w:hAnsi="Times New Roman"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个百分点，其绿色信贷资金主要投向于生态环境产业。近年来，瓮安农商银行明确将“两高一剩”及落后产能等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行业列入限制性准入行业，现有相关存量贷款</w:t>
      </w: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笔，贷款余额</w:t>
      </w:r>
      <w:r>
        <w:rPr>
          <w:rFonts w:hint="eastAsia" w:ascii="Times New Roman" w:hAnsi="Times New Roman" w:eastAsia="仿宋_GB2312" w:cs="仿宋_GB2312"/>
          <w:color w:val="auto"/>
          <w:sz w:val="32"/>
          <w:szCs w:val="32"/>
          <w:lang w:val="en-US" w:eastAsia="zh-CN"/>
        </w:rPr>
        <w:t>699</w:t>
      </w:r>
      <w:r>
        <w:rPr>
          <w:rFonts w:hint="eastAsia" w:ascii="仿宋_GB2312" w:hAnsi="仿宋_GB2312" w:eastAsia="仿宋_GB2312" w:cs="仿宋_GB2312"/>
          <w:color w:val="auto"/>
          <w:sz w:val="32"/>
          <w:szCs w:val="32"/>
        </w:rPr>
        <w:t>万元，近三年未发生相关产业新增贷款业务，暂不存在面临环境风险的资产。</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二、绿色金融政策制度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绿色金融是推动我国经济高质量发展的重要动力之一，近年来，我国相关监督机构纷纷出台政策文件，对绿色金融涵盖的行业、产业项目类型进行规范和管理，进一步明确了绿色金融的范畴。</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31</w:t>
      </w:r>
      <w:r>
        <w:rPr>
          <w:rFonts w:hint="eastAsia" w:ascii="仿宋_GB2312" w:hAnsi="仿宋_GB2312" w:eastAsia="仿宋_GB2312" w:cs="仿宋_GB2312"/>
          <w:sz w:val="32"/>
          <w:szCs w:val="32"/>
        </w:rPr>
        <w:t>日，中国人民银行等七部委联合发布了《关于构建绿色金融体系的指导意见》，标志着绿色金融纲领性文件的出台。通过“顶层设计”作为依循，凝聚绿色金融发展合力的推动模式，使我国绿色金融事业蓬勃进展，绿色金融市场活跃度迅速攀升。</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建立健全我行环境和社会风险管理体系，提升环境和社会表现，我行在全行范围内积极树立低碳金融和绿色信贷的理念，凝聚共识、先行先试，不断创新，促进绿色金融的快速发展，走出具有瓮安特色的绿色金融之路。通过加大对绿色经济、低碳经济、循环经济的支持，优化信贷结构，加大绿色金融产品创新力度，我行将持续加快推进绿色金融事业建设，以助力瓮安县的经济实现高质量可持续发展，旨在为建设美丽中国、实现中华民族永续发展贡献农商力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、绿色金融产品与服务</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根据人民银行、银保监会有关绿色信贷相关政策制度，我行大力发展绿色信贷、创新绿色信贷产品。</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年，我行推出了“振兴贷”</w:t>
      </w:r>
      <w:r>
        <w:rPr>
          <w:rFonts w:hint="eastAsia" w:ascii="仿宋_GB2312" w:hAnsi="仿宋_GB2312" w:eastAsia="仿宋_GB2312" w:cs="仿宋_GB2312"/>
          <w:sz w:val="32"/>
          <w:szCs w:val="32"/>
          <w:lang w:eastAsia="zh-CN"/>
        </w:rPr>
        <w:t>、“绿源贷”等</w:t>
      </w:r>
      <w:r>
        <w:rPr>
          <w:rFonts w:hint="eastAsia" w:ascii="仿宋_GB2312" w:hAnsi="仿宋_GB2312" w:eastAsia="仿宋_GB2312" w:cs="仿宋_GB2312"/>
          <w:sz w:val="32"/>
          <w:szCs w:val="32"/>
        </w:rPr>
        <w:t>信贷产品，以支持乡村振兴过程中绿色产业的大力发展。同时，我行与瓮安县农业农村局签订了乡村振兴战略合作协议，由瓮安县农业农村局提供产业主体名单，我行以“振兴贷”</w:t>
      </w:r>
      <w:r>
        <w:rPr>
          <w:rFonts w:hint="eastAsia" w:ascii="仿宋_GB2312" w:hAnsi="仿宋_GB2312" w:eastAsia="仿宋_GB2312" w:cs="仿宋_GB2312"/>
          <w:sz w:val="32"/>
          <w:szCs w:val="32"/>
          <w:lang w:eastAsia="zh-CN"/>
        </w:rPr>
        <w:t>、“绿源贷”等</w:t>
      </w:r>
      <w:r>
        <w:rPr>
          <w:rFonts w:hint="eastAsia" w:ascii="仿宋_GB2312" w:hAnsi="仿宋_GB2312" w:eastAsia="仿宋_GB2312" w:cs="仿宋_GB2312"/>
          <w:sz w:val="32"/>
          <w:szCs w:val="32"/>
        </w:rPr>
        <w:t>信贷产品作为金融信贷支持工具，配合支农及支小再贷款的政策，以申请人的经营收入作为还款来源，用于发展生产和经营周转，可为瓮安县辖内的农村合作社、农村经济组织、涉农类小微企业和家庭农场主提供精准高效的金融信贷服务。</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 w:val="28"/>
          <w:szCs w:val="28"/>
        </w:rPr>
      </w:pPr>
      <w:r>
        <w:rPr>
          <w:rFonts w:hint="eastAsia" w:ascii="Times New Roman" w:hAnsi="Times New Roman"/>
          <w:color w:val="auto"/>
          <w:sz w:val="28"/>
          <w:szCs w:val="28"/>
        </w:rPr>
        <w:t>2022</w:t>
      </w:r>
      <w:r>
        <w:rPr>
          <w:rFonts w:hint="eastAsia" w:asciiTheme="minorEastAsia" w:hAnsiTheme="minorEastAsia"/>
          <w:color w:val="auto"/>
          <w:sz w:val="28"/>
          <w:szCs w:val="28"/>
        </w:rPr>
        <w:t>年绿色贷款投放情况概览</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94"/>
        <w:gridCol w:w="2693"/>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asciiTheme="minorEastAsia" w:hAnsiTheme="minorEastAsia"/>
                <w:color w:val="auto"/>
                <w:szCs w:val="21"/>
              </w:rPr>
              <w:t>指标名称</w:t>
            </w:r>
          </w:p>
        </w:tc>
        <w:tc>
          <w:tcPr>
            <w:tcW w:w="2693"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hint="eastAsia" w:asciiTheme="minorEastAsia" w:hAnsiTheme="minorEastAsia"/>
                <w:color w:val="auto"/>
                <w:szCs w:val="21"/>
              </w:rPr>
              <w:t>指标</w:t>
            </w:r>
            <w:r>
              <w:rPr>
                <w:rFonts w:asciiTheme="minorEastAsia" w:hAnsiTheme="minorEastAsia"/>
                <w:color w:val="auto"/>
                <w:szCs w:val="21"/>
              </w:rPr>
              <w:t>值</w:t>
            </w:r>
          </w:p>
        </w:tc>
        <w:tc>
          <w:tcPr>
            <w:tcW w:w="2035"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asciiTheme="minorEastAsia" w:hAnsiTheme="minorEastAsia"/>
                <w:color w:val="auto"/>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heme="minorEastAsia" w:hAnsiTheme="minorEastAsia"/>
                <w:color w:val="auto"/>
                <w:szCs w:val="21"/>
              </w:rPr>
            </w:pPr>
            <w:r>
              <w:rPr>
                <w:rFonts w:asciiTheme="minorEastAsia" w:hAnsiTheme="minorEastAsia"/>
                <w:color w:val="auto"/>
                <w:szCs w:val="21"/>
              </w:rPr>
              <w:t>绿色贷款余额</w:t>
            </w:r>
          </w:p>
        </w:tc>
        <w:tc>
          <w:tcPr>
            <w:tcW w:w="2693" w:type="dxa"/>
            <w:vAlign w:val="top"/>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hint="eastAsia" w:ascii="Times New Roman" w:hAnsi="Times New Roman"/>
                <w:color w:val="auto"/>
                <w:szCs w:val="21"/>
                <w:lang w:val="en-US" w:eastAsia="zh-CN"/>
              </w:rPr>
              <w:t>1</w:t>
            </w:r>
            <w:r>
              <w:rPr>
                <w:rFonts w:hint="eastAsia" w:asciiTheme="minorEastAsia" w:hAnsiTheme="minorEastAsia"/>
                <w:color w:val="auto"/>
                <w:szCs w:val="21"/>
                <w:lang w:val="en-US" w:eastAsia="zh-CN"/>
              </w:rPr>
              <w:t>.</w:t>
            </w:r>
            <w:r>
              <w:rPr>
                <w:rFonts w:hint="eastAsia" w:ascii="Times New Roman" w:hAnsi="Times New Roman"/>
                <w:color w:val="auto"/>
                <w:szCs w:val="21"/>
                <w:lang w:val="en-US" w:eastAsia="zh-CN"/>
              </w:rPr>
              <w:t>45</w:t>
            </w:r>
          </w:p>
        </w:tc>
        <w:tc>
          <w:tcPr>
            <w:tcW w:w="2035"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asciiTheme="minorEastAsia" w:hAnsiTheme="minorEastAsia"/>
                <w:color w:val="auto"/>
                <w:szCs w:val="21"/>
              </w:rPr>
              <w:t>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heme="minorEastAsia" w:hAnsiTheme="minorEastAsia"/>
                <w:color w:val="auto"/>
                <w:szCs w:val="21"/>
              </w:rPr>
            </w:pPr>
            <w:r>
              <w:rPr>
                <w:rFonts w:asciiTheme="minorEastAsia" w:hAnsiTheme="minorEastAsia"/>
                <w:color w:val="auto"/>
                <w:szCs w:val="21"/>
              </w:rPr>
              <w:t>绿色贷款</w:t>
            </w:r>
            <w:r>
              <w:rPr>
                <w:rFonts w:hint="eastAsia" w:asciiTheme="minorEastAsia" w:hAnsiTheme="minorEastAsia"/>
                <w:color w:val="auto"/>
                <w:szCs w:val="21"/>
              </w:rPr>
              <w:t>占比</w:t>
            </w:r>
          </w:p>
        </w:tc>
        <w:tc>
          <w:tcPr>
            <w:tcW w:w="2693" w:type="dxa"/>
            <w:vAlign w:val="top"/>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hint="eastAsia" w:ascii="Times New Roman" w:hAnsi="Times New Roman"/>
                <w:color w:val="auto"/>
                <w:szCs w:val="21"/>
                <w:lang w:val="en-US" w:eastAsia="zh-CN"/>
              </w:rPr>
              <w:t>1</w:t>
            </w:r>
            <w:r>
              <w:rPr>
                <w:rFonts w:hint="eastAsia" w:asciiTheme="minorEastAsia" w:hAnsiTheme="minorEastAsia"/>
                <w:color w:val="auto"/>
                <w:szCs w:val="21"/>
                <w:lang w:val="en-US" w:eastAsia="zh-CN"/>
              </w:rPr>
              <w:t>.</w:t>
            </w:r>
            <w:r>
              <w:rPr>
                <w:rFonts w:hint="eastAsia" w:ascii="Times New Roman" w:hAnsi="Times New Roman"/>
                <w:color w:val="auto"/>
                <w:szCs w:val="21"/>
                <w:lang w:val="en-US" w:eastAsia="zh-CN"/>
              </w:rPr>
              <w:t>87</w:t>
            </w:r>
          </w:p>
        </w:tc>
        <w:tc>
          <w:tcPr>
            <w:tcW w:w="2035"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heme="minorEastAsia" w:hAnsiTheme="minorEastAsia"/>
                <w:color w:val="auto"/>
                <w:szCs w:val="21"/>
              </w:rPr>
            </w:pPr>
            <w:r>
              <w:rPr>
                <w:rFonts w:asciiTheme="minorEastAsia" w:hAnsiTheme="minorEastAsia"/>
                <w:color w:val="auto"/>
                <w:szCs w:val="21"/>
              </w:rPr>
              <w:t>绿色贷款客户数量</w:t>
            </w:r>
          </w:p>
        </w:tc>
        <w:tc>
          <w:tcPr>
            <w:tcW w:w="2693" w:type="dxa"/>
            <w:vAlign w:val="top"/>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hint="eastAsia" w:ascii="Times New Roman" w:hAnsi="Times New Roman"/>
                <w:color w:val="auto"/>
                <w:szCs w:val="21"/>
                <w:lang w:val="en-US" w:eastAsia="zh-CN"/>
              </w:rPr>
              <w:t>20</w:t>
            </w:r>
          </w:p>
        </w:tc>
        <w:tc>
          <w:tcPr>
            <w:tcW w:w="2035" w:type="dxa"/>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heme="minorEastAsia" w:hAnsiTheme="minorEastAsia"/>
                <w:color w:val="auto"/>
                <w:szCs w:val="21"/>
              </w:rPr>
            </w:pPr>
            <w:r>
              <w:rPr>
                <w:rFonts w:asciiTheme="minorEastAsia" w:hAnsiTheme="minorEastAsia"/>
                <w:color w:val="auto"/>
                <w:szCs w:val="21"/>
              </w:rPr>
              <w:t>户</w:t>
            </w:r>
          </w:p>
        </w:tc>
      </w:tr>
    </w:tbl>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、环境风险管理</w:t>
      </w:r>
      <w:r>
        <w:rPr>
          <w:rFonts w:hint="eastAsia" w:ascii="黑体" w:hAnsi="黑体" w:eastAsia="黑体"/>
          <w:sz w:val="32"/>
          <w:szCs w:val="32"/>
        </w:rPr>
        <w:t>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银行业金融机构而言，环境风险会通过影响企业产品销售降低企业营业收入，从而进一步影响企业的利润率、现金流和还款能力，使得企业的违规概率进一步增加，信用风险也随之提升；此外，作为抵押品的实物资产也可能受气候变化带来的物理冲击产生损毁、破坏的风险，项目贷款的风险缓释将大幅下降，违约损失率进一步提升。对此，我行制度上作出了严格的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制定科学合理的客户环境和社会风险评估标准，对客户的环境和社会风险作为其评级、信贷准入、管理和退出的依据。此外对工业和信息化部、国家能源局，以及省级主管部门所公布的淘汰落后产能企业名单内的企业或项目纳入重点关注对象，对于环境和社会风险表现不达标的客户实行一票否决。</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贷前调查、贷中审查、贷后检查等方面采取差别化的风险管理措施；对国家重点调控的限制类以及有重大环境和社会风险的行业，实行有差别、动态的授信政策和风险管理制度。对重点环境风险客户采取充分的风险缓释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、环境因素的影响。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近年来，环境风险日益表现出新的特征，各种风险之间的关联度持续上升等，给金融机构的资产和负债端都带来了较大影响。例如，慢性气候变化与极端天气事件带来的冲击，以及迈向低碳经济转型过程中的政策法规、市场需求、技术进步以及声誉形象等风险会影响金融机构自身资产的价值和客户偿还贷款的能力，从而加剧信用风险等。总行及各营业网点对重要票据清单进行电子备份，将库存现金及重要凭证储备在金库，防止洪水等极端天气的侵害，抵御环境风险对营业场所造成资产损失；对采矿、化工等受环境影响较大产业进行审慎信贷准入，加大绿色产业资金投放力度，有效控制环境风险和信贷可持续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自身</w:t>
      </w:r>
      <w:r>
        <w:rPr>
          <w:rFonts w:ascii="黑体" w:hAnsi="黑体" w:eastAsia="黑体"/>
          <w:sz w:val="32"/>
          <w:szCs w:val="32"/>
        </w:rPr>
        <w:t>运营的</w:t>
      </w:r>
      <w:r>
        <w:rPr>
          <w:rFonts w:hint="eastAsia" w:ascii="黑体" w:hAnsi="黑体" w:eastAsia="黑体"/>
          <w:sz w:val="32"/>
          <w:szCs w:val="32"/>
        </w:rPr>
        <w:t>环境影响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瓮安农商银行始终践行厉行节约的发展理念，通过对经营各个方面</w:t>
      </w:r>
      <w:r>
        <w:rPr>
          <w:rFonts w:hint="eastAsia" w:ascii="仿宋_GB2312" w:hAnsi="仿宋_GB2312" w:eastAsia="仿宋_GB2312" w:cs="仿宋_GB2312"/>
          <w:sz w:val="32"/>
          <w:szCs w:val="32"/>
        </w:rPr>
        <w:t>进行可持续性管理的过程，包括节能减排、循环利用、绿色金融等措施，以减少对环境的贡献和提高社会责任感。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（一）资源消耗情况。</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节电措施。</w:t>
      </w:r>
      <w:r>
        <w:rPr>
          <w:rFonts w:hint="eastAsia" w:ascii="仿宋_GB2312" w:hAnsi="仿宋_GB2312" w:eastAsia="仿宋_GB2312" w:cs="仿宋_GB2312"/>
          <w:sz w:val="32"/>
          <w:szCs w:val="32"/>
          <w:lang w:val="en-US" w:eastAsia="zh-CN"/>
        </w:rPr>
        <w:t>严格中央空调管理，引导集中办公区夏天空调设定温度不得低于</w:t>
      </w:r>
      <w:r>
        <w:rPr>
          <w:rFonts w:hint="eastAsia" w:ascii="Times New Roman" w:hAnsi="Times New Roman" w:eastAsia="仿宋_GB2312" w:cs="仿宋_GB2312"/>
          <w:sz w:val="32"/>
          <w:szCs w:val="32"/>
          <w:lang w:val="en-US" w:eastAsia="zh-CN"/>
        </w:rPr>
        <w:t>26</w:t>
      </w:r>
      <w:r>
        <w:rPr>
          <w:rFonts w:hint="eastAsia" w:ascii="仿宋_GB2312" w:hAnsi="仿宋_GB2312" w:eastAsia="仿宋_GB2312" w:cs="仿宋_GB2312"/>
          <w:sz w:val="32"/>
          <w:szCs w:val="32"/>
          <w:lang w:val="en-US" w:eastAsia="zh-CN"/>
        </w:rPr>
        <w:t>℃，冬天不高于</w:t>
      </w:r>
      <w:r>
        <w:rPr>
          <w:rFonts w:hint="eastAsia" w:ascii="Times New Roman" w:hAnsi="Times New Roman" w:eastAsia="仿宋_GB2312" w:cs="仿宋_GB2312"/>
          <w:sz w:val="32"/>
          <w:szCs w:val="32"/>
          <w:lang w:val="en-US" w:eastAsia="zh-CN"/>
        </w:rPr>
        <w:t>26</w:t>
      </w:r>
      <w:r>
        <w:rPr>
          <w:rFonts w:hint="eastAsia" w:ascii="仿宋_GB2312" w:hAnsi="仿宋_GB2312" w:eastAsia="仿宋_GB2312" w:cs="仿宋_GB2312"/>
          <w:sz w:val="32"/>
          <w:szCs w:val="32"/>
          <w:lang w:val="en-US" w:eastAsia="zh-CN"/>
        </w:rPr>
        <w:t>℃；加强公共场所照明管理，落实人员适时开关照明灯；长时间不用或下班后及时关闭用电设备，减少待机能耗。</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年全行用电量</w:t>
      </w:r>
      <w:r>
        <w:rPr>
          <w:rFonts w:hint="eastAsia" w:ascii="Times New Roman" w:hAnsi="Times New Roman" w:eastAsia="仿宋_GB2312" w:cs="仿宋_GB2312"/>
          <w:sz w:val="32"/>
          <w:szCs w:val="32"/>
          <w:lang w:val="en-US" w:eastAsia="zh-CN"/>
        </w:rPr>
        <w:t>310189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40</w:t>
      </w:r>
      <w:r>
        <w:rPr>
          <w:rFonts w:hint="eastAsia" w:ascii="仿宋_GB2312" w:hAnsi="仿宋_GB2312" w:eastAsia="仿宋_GB2312" w:cs="仿宋_GB2312"/>
          <w:sz w:val="32"/>
          <w:szCs w:val="32"/>
          <w:lang w:val="en-US" w:eastAsia="zh-CN"/>
        </w:rPr>
        <w:t>度。二是</w:t>
      </w:r>
      <w:r>
        <w:rPr>
          <w:rFonts w:hint="eastAsia" w:ascii="仿宋_GB2312" w:hAnsi="仿宋_GB2312" w:eastAsia="仿宋_GB2312" w:cs="仿宋_GB2312"/>
          <w:sz w:val="32"/>
          <w:szCs w:val="32"/>
        </w:rPr>
        <w:t>水资源管理。定期检修用水设备，防止跑、冒、滴、漏，做到随手关水龙头避免长流水。</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年全行用水量</w:t>
      </w:r>
      <w:r>
        <w:rPr>
          <w:rFonts w:hint="eastAsia" w:ascii="Times New Roman" w:hAnsi="Times New Roman" w:eastAsia="仿宋_GB2312" w:cs="仿宋_GB2312"/>
          <w:sz w:val="32"/>
          <w:szCs w:val="32"/>
          <w:lang w:val="en-US" w:eastAsia="zh-CN"/>
        </w:rPr>
        <w:t>26596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45</w:t>
      </w:r>
      <w:r>
        <w:rPr>
          <w:rFonts w:hint="eastAsia" w:ascii="仿宋_GB2312" w:hAnsi="仿宋_GB2312" w:eastAsia="仿宋_GB2312" w:cs="仿宋_GB2312"/>
          <w:sz w:val="32"/>
          <w:szCs w:val="32"/>
        </w:rPr>
        <w:t>吨</w:t>
      </w:r>
      <w:r>
        <w:rPr>
          <w:rFonts w:hint="eastAsia" w:ascii="仿宋_GB2312" w:hAnsi="仿宋_GB2312" w:eastAsia="仿宋_GB2312" w:cs="仿宋_GB2312"/>
          <w:sz w:val="32"/>
          <w:szCs w:val="32"/>
          <w:lang w:val="en-US" w:eastAsia="zh-CN"/>
        </w:rPr>
        <w:t>。三是燃油管理，对驾驶员定期开展安全和节油教育，倡导文明行车、节油行车，在驾驶员队伍中形成人人讲节油的良好氛围。</w:t>
      </w: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年全行公车用汽油</w:t>
      </w:r>
      <w:r>
        <w:rPr>
          <w:rFonts w:hint="eastAsia" w:ascii="Times New Roman" w:hAnsi="Times New Roman" w:eastAsia="仿宋_GB2312" w:cs="仿宋_GB2312"/>
          <w:sz w:val="32"/>
          <w:szCs w:val="32"/>
          <w:lang w:val="en-US" w:eastAsia="zh-CN"/>
        </w:rPr>
        <w:t>16277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77</w:t>
      </w:r>
      <w:r>
        <w:rPr>
          <w:rFonts w:hint="eastAsia" w:ascii="仿宋_GB2312" w:hAnsi="仿宋_GB2312" w:eastAsia="仿宋_GB2312" w:cs="仿宋_GB2312"/>
          <w:sz w:val="32"/>
          <w:szCs w:val="32"/>
          <w:lang w:val="en-US" w:eastAsia="zh-CN"/>
        </w:rPr>
        <w:t>升。四是办公用纸管理。教育引导干部职工坚持“不可印的坚决不印，可印可不印的尽量不印，必须印的尽量少印”的原则，大力推进</w:t>
      </w:r>
      <w:r>
        <w:rPr>
          <w:rFonts w:hint="eastAsia" w:ascii="仿宋_GB2312" w:hAnsi="仿宋_GB2312" w:eastAsia="仿宋_GB2312" w:cs="仿宋_GB2312"/>
          <w:sz w:val="32"/>
          <w:szCs w:val="32"/>
        </w:rPr>
        <w:t>无纸化移动办公，通过电脑端进行文件处理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（二）其他环保措施。</w:t>
      </w:r>
      <w:r>
        <w:rPr>
          <w:rFonts w:hint="eastAsia" w:ascii="仿宋_GB2312" w:hAnsi="仿宋_GB2312" w:eastAsia="仿宋_GB2312" w:cs="仿宋_GB2312"/>
          <w:sz w:val="32"/>
          <w:szCs w:val="32"/>
          <w:lang w:val="en-US" w:eastAsia="zh-CN"/>
        </w:rPr>
        <w:t>一是抓机关食堂节约。注重节约粮食。加强原材料的贮存和加工管理，防止腐烂变质；动态跟踪统计就餐人数，尽量减少剩余，对于剩余食品能回收利用的尽量回收利用。广泛开展“厉行节约、响应光盘”活动。在机关食堂明显位置张贴节约标识，对浪费行为予以提醒和制止，营造“节约食品光荣、浪费食品可耻”的氛围。二是大力倡导绿色低碳出行。坚持规范履职、科学管理，提倡近距离公务活动要“绿色出行”，非必要尽量不坐公车、不开私家车，以步行、自行车、公共交通、新能源汽车形式上下班，大力倡导低碳出行，为减少传统燃油车对大气环境造成的伤害贡献力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、数据梳理、校验及保护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数据的管理和保护，我行制定了信息系统数据安全管理实施细则，对数据的提取、备份、恢复、抽检、销毁、、传输以及存储介质的保管作出了相关要求，确保了各类数据的完整性、安全性及可靠性。同时，我行还制定了信息科技应急预案，并成立了信息科技领导小组，根据制定的应急流程，可以在第一时间内做出快速反应并采取有效措施进行应对处理，及时恢复业务及应用系统，保障各项业务正常运行。除此之外，科技信息部还制定了《贵州瓮安农村商业银行股份有限公司信息系统访问控制管理办法》、《贵州瓮安农村商业银行股份有限公司计算机病毒防治管理办法》、《贵州瓮安农村商业银行股份有限公司计算机设备管理办法》、《贵州瓮安农村商业银行股份有限公司信息科技安全管理办法》、《瓮安农村商业银行股份有限公司网络安全管理办法》等管理办法，并成立了信息安全领导小组，建立了贯穿各级机构、覆盖所有业务和全部流程的管理信息系统和业务操作系统，能够及时、准确地记录经营管理信息，确保信息的完整性、连续性、准确性和可追溯性。</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、绿色金融典型案例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实现节能减排、碳中和的目的，瓮安农商银行加强金融科技融入绿色生态发展的创新。在省联社、黔南审计中心及相关部门的指导下，依托大数据、大平台，探索发展全流程线上办理贷款，推广手机银行自助办理业务，减低相关流程碳排放，进一步推广便利的绿色金融服务。</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（一）创新绿色信贷产品。</w:t>
      </w:r>
      <w:r>
        <w:rPr>
          <w:rFonts w:hint="eastAsia" w:ascii="仿宋_GB2312" w:hAnsi="仿宋_GB2312" w:eastAsia="仿宋_GB2312" w:cs="仿宋_GB2312"/>
          <w:sz w:val="32"/>
          <w:szCs w:val="32"/>
        </w:rPr>
        <w:t>针对支持发展瓮安县辖内的农村合作社、农村经济组织、涉农类小微企业和家庭农场主的绿色产业，我行积极推进与瓮安县农业农村局的战略合作，创新“振兴贷”</w:t>
      </w:r>
      <w:r>
        <w:rPr>
          <w:rFonts w:hint="eastAsia" w:ascii="仿宋_GB2312" w:hAnsi="仿宋_GB2312" w:eastAsia="仿宋_GB2312" w:cs="仿宋_GB2312"/>
          <w:sz w:val="32"/>
          <w:szCs w:val="32"/>
          <w:lang w:eastAsia="zh-CN"/>
        </w:rPr>
        <w:t>、“绿源贷”等</w:t>
      </w:r>
      <w:r>
        <w:rPr>
          <w:rFonts w:hint="eastAsia" w:ascii="仿宋_GB2312" w:hAnsi="仿宋_GB2312" w:eastAsia="仿宋_GB2312" w:cs="仿宋_GB2312"/>
          <w:sz w:val="32"/>
          <w:szCs w:val="32"/>
        </w:rPr>
        <w:t>信贷产品为主要金融支持工具，配合支农及支小再贷款的优惠政策，既降低了总体的融资成本，也扩大金融支持的受众面，进一步加大了对辖内绿色产业的扶持力度，持续助力地方绿色经济稳步向好发展。</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（二）创新担保方式。</w:t>
      </w:r>
      <w:r>
        <w:rPr>
          <w:rFonts w:hint="eastAsia" w:ascii="仿宋_GB2312" w:hAnsi="仿宋_GB2312" w:eastAsia="仿宋_GB2312" w:cs="仿宋_GB2312"/>
          <w:sz w:val="32"/>
          <w:szCs w:val="32"/>
        </w:rPr>
        <w:t>针对绿色产业企业或个人资产少、规模小、实力弱的特点，我行除采取信用方式支持外，也积极探索并推广林权抵押、专利权质押、应收账款融资质押等方式，协同政府类融资担保公司扩展信贷业务，为企业解决融资难的问题，积极拓宽绿色企业融资渠道。</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（三）创新营销方式。</w:t>
      </w:r>
      <w:r>
        <w:rPr>
          <w:rFonts w:hint="eastAsia" w:ascii="仿宋_GB2312" w:hAnsi="仿宋_GB2312" w:eastAsia="仿宋_GB2312" w:cs="仿宋_GB2312"/>
          <w:sz w:val="32"/>
          <w:szCs w:val="32"/>
        </w:rPr>
        <w:t>我行通过改革内部考核机制，已经改变了传统的以网点为中心的获客思维，而是以客户为中心，通过网上预约、手机操作、促达有效、随即办理的方式，提供便捷、快速、准确的无纸化金融信贷服务，提高金融服务的科技感，也拉进了客户的距离，从而保证了我行的信贷渠道随时畅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both"/>
        <w:textAlignment w:val="auto"/>
        <w:rPr>
          <w:rFonts w:hint="default" w:ascii="仿宋_GB2312" w:eastAsia="仿宋_GB2312"/>
          <w:sz w:val="32"/>
          <w:szCs w:val="32"/>
          <w:lang w:val="en-US" w:eastAsia="zh-CN"/>
        </w:rPr>
      </w:pPr>
      <w:r>
        <w:rPr>
          <w:rFonts w:hint="eastAsia" w:ascii="Times New Roman" w:hAnsi="Times New Roman" w:eastAsia="仿宋_GB2312"/>
          <w:sz w:val="32"/>
          <w:szCs w:val="32"/>
          <w:lang w:val="en-US" w:eastAsia="zh-CN"/>
        </w:rPr>
        <w:t>2023</w:t>
      </w:r>
      <w:r>
        <w:rPr>
          <w:rFonts w:hint="eastAsia" w:ascii="仿宋_GB2312" w:eastAsia="仿宋_GB2312"/>
          <w:sz w:val="32"/>
          <w:szCs w:val="32"/>
          <w:lang w:val="en-US" w:eastAsia="zh-CN"/>
        </w:rPr>
        <w:t>年</w:t>
      </w:r>
      <w:r>
        <w:rPr>
          <w:rFonts w:hint="eastAsia" w:ascii="Times New Roman" w:hAnsi="Times New Roman" w:eastAsia="仿宋_GB2312"/>
          <w:sz w:val="32"/>
          <w:szCs w:val="32"/>
          <w:lang w:val="en-US" w:eastAsia="zh-CN"/>
        </w:rPr>
        <w:t>7</w:t>
      </w:r>
      <w:r>
        <w:rPr>
          <w:rFonts w:hint="eastAsia" w:ascii="仿宋_GB2312" w:eastAsia="仿宋_GB2312"/>
          <w:sz w:val="32"/>
          <w:szCs w:val="32"/>
          <w:lang w:val="en-US" w:eastAsia="zh-CN"/>
        </w:rPr>
        <w:t>月</w:t>
      </w:r>
      <w:r>
        <w:rPr>
          <w:rFonts w:hint="eastAsia" w:ascii="Times New Roman" w:hAnsi="Times New Roman" w:eastAsia="仿宋_GB2312"/>
          <w:sz w:val="32"/>
          <w:szCs w:val="32"/>
          <w:lang w:val="en-US" w:eastAsia="zh-CN"/>
        </w:rPr>
        <w:t>21</w:t>
      </w:r>
      <w:r>
        <w:rPr>
          <w:rFonts w:hint="eastAsia" w:ascii="仿宋_GB2312" w:eastAsia="仿宋_GB2312"/>
          <w:sz w:val="32"/>
          <w:szCs w:val="32"/>
          <w:lang w:val="en-US" w:eastAsia="zh-CN"/>
        </w:rPr>
        <w:t xml:space="preserve">日     </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A9"/>
    <w:rsid w:val="00063C66"/>
    <w:rsid w:val="0010607C"/>
    <w:rsid w:val="0011363F"/>
    <w:rsid w:val="00160144"/>
    <w:rsid w:val="00176D29"/>
    <w:rsid w:val="0018546C"/>
    <w:rsid w:val="001D2181"/>
    <w:rsid w:val="0023308B"/>
    <w:rsid w:val="00261D5A"/>
    <w:rsid w:val="002A6EA9"/>
    <w:rsid w:val="00321568"/>
    <w:rsid w:val="00342E1F"/>
    <w:rsid w:val="003769BD"/>
    <w:rsid w:val="003C141A"/>
    <w:rsid w:val="004139A7"/>
    <w:rsid w:val="00490C78"/>
    <w:rsid w:val="00503CC9"/>
    <w:rsid w:val="005268BD"/>
    <w:rsid w:val="00543446"/>
    <w:rsid w:val="00595D9E"/>
    <w:rsid w:val="005C51C3"/>
    <w:rsid w:val="00682BE8"/>
    <w:rsid w:val="006C4640"/>
    <w:rsid w:val="006D34DB"/>
    <w:rsid w:val="006E316A"/>
    <w:rsid w:val="00716023"/>
    <w:rsid w:val="007368C6"/>
    <w:rsid w:val="00747B11"/>
    <w:rsid w:val="008623D0"/>
    <w:rsid w:val="00870B8B"/>
    <w:rsid w:val="00896129"/>
    <w:rsid w:val="008B6015"/>
    <w:rsid w:val="00933523"/>
    <w:rsid w:val="00941B8D"/>
    <w:rsid w:val="00981670"/>
    <w:rsid w:val="00A57F88"/>
    <w:rsid w:val="00A6246E"/>
    <w:rsid w:val="00B308EA"/>
    <w:rsid w:val="00B31053"/>
    <w:rsid w:val="00B57A3C"/>
    <w:rsid w:val="00B73C16"/>
    <w:rsid w:val="00BC14A5"/>
    <w:rsid w:val="00BF412D"/>
    <w:rsid w:val="00C2076B"/>
    <w:rsid w:val="00C419AF"/>
    <w:rsid w:val="00C93B77"/>
    <w:rsid w:val="00C94241"/>
    <w:rsid w:val="00CB1CC1"/>
    <w:rsid w:val="00E81A51"/>
    <w:rsid w:val="00E84A67"/>
    <w:rsid w:val="00EE1014"/>
    <w:rsid w:val="00F22161"/>
    <w:rsid w:val="00F53880"/>
    <w:rsid w:val="00FB1328"/>
    <w:rsid w:val="17C3133F"/>
    <w:rsid w:val="3751609F"/>
    <w:rsid w:val="49082EE6"/>
    <w:rsid w:val="4B52329D"/>
    <w:rsid w:val="52380B5E"/>
    <w:rsid w:val="59E23E24"/>
    <w:rsid w:val="62B5700B"/>
    <w:rsid w:val="6784648F"/>
    <w:rsid w:val="67F5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970</Characters>
  <Lines>8</Lines>
  <Paragraphs>2</Paragraphs>
  <TotalTime>343</TotalTime>
  <ScaleCrop>false</ScaleCrop>
  <LinksUpToDate>false</LinksUpToDate>
  <CharactersWithSpaces>1138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2023-06-06T06:59:00Z</dcterms:created>
  <dc:creator>Phoenix</dc:creator>
  <cp:lastModifiedBy>101860-胡渝昕</cp:lastModifiedBy>
  <dcterms:modified xsi:type="dcterms:W3CDTF">2023-07-21T10:20:10Z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