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center"/>
        <w:textAlignment w:val="auto"/>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贵州兴义</w:t>
      </w:r>
      <w:r>
        <w:rPr>
          <w:rFonts w:hint="eastAsia" w:ascii="方正小标宋简体" w:eastAsia="方正小标宋简体"/>
          <w:sz w:val="44"/>
          <w:szCs w:val="44"/>
        </w:rPr>
        <w:t>农村商业银行</w:t>
      </w:r>
      <w:r>
        <w:rPr>
          <w:rFonts w:hint="eastAsia" w:ascii="方正小标宋简体" w:eastAsia="方正小标宋简体"/>
          <w:sz w:val="44"/>
          <w:szCs w:val="44"/>
          <w:lang w:val="en-US" w:eastAsia="zh-CN"/>
        </w:rPr>
        <w:t>股份有限公司</w:t>
      </w:r>
    </w:p>
    <w:p>
      <w:pPr>
        <w:keepNext w:val="0"/>
        <w:keepLines w:val="0"/>
        <w:pageBreakBefore w:val="0"/>
        <w:kinsoku/>
        <w:wordWrap/>
        <w:overflowPunct/>
        <w:topLinePunct w:val="0"/>
        <w:bidi w:val="0"/>
        <w:snapToGrid/>
        <w:spacing w:line="560" w:lineRule="exact"/>
        <w:jc w:val="center"/>
        <w:textAlignment w:val="auto"/>
        <w:rPr>
          <w:rFonts w:ascii="方正小标宋简体" w:eastAsia="方正小标宋简体"/>
          <w:sz w:val="44"/>
          <w:szCs w:val="44"/>
        </w:rPr>
      </w:pPr>
      <w:bookmarkStart w:id="0" w:name="_GoBack"/>
      <w:bookmarkEnd w:id="0"/>
      <w:r>
        <w:rPr>
          <w:rFonts w:hint="eastAsia" w:ascii="方正小标宋简体" w:eastAsia="方正小标宋简体"/>
          <w:sz w:val="44"/>
          <w:szCs w:val="44"/>
        </w:rPr>
        <w:t>2022年度环境信息披露报告</w:t>
      </w:r>
    </w:p>
    <w:p>
      <w:pPr>
        <w:keepNext w:val="0"/>
        <w:keepLines w:val="0"/>
        <w:pageBreakBefore w:val="0"/>
        <w:kinsoku/>
        <w:wordWrap/>
        <w:overflowPunct/>
        <w:topLinePunct w:val="0"/>
        <w:bidi w:val="0"/>
        <w:snapToGrid/>
        <w:spacing w:line="560" w:lineRule="exact"/>
        <w:textAlignment w:val="auto"/>
        <w:rPr>
          <w:rFonts w:ascii="仿宋_GB2312" w:eastAsia="仿宋_GB2312"/>
          <w:sz w:val="32"/>
          <w:szCs w:val="32"/>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sz w:val="28"/>
          <w:szCs w:val="28"/>
        </w:rPr>
      </w:pPr>
      <w:r>
        <w:rPr>
          <w:rFonts w:hint="eastAsia" w:ascii="黑体" w:hAnsi="黑体" w:eastAsia="黑体" w:cs="黑体"/>
          <w:sz w:val="28"/>
          <w:szCs w:val="28"/>
        </w:rPr>
        <w:t>关于本报告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报告时间：</w:t>
      </w:r>
      <w:r>
        <w:rPr>
          <w:rFonts w:hint="eastAsia" w:ascii="仿宋_GB2312" w:hAnsi="仿宋_GB2312" w:eastAsia="仿宋_GB2312" w:cs="仿宋_GB2312"/>
          <w:sz w:val="28"/>
          <w:szCs w:val="28"/>
        </w:rPr>
        <w:t>2022年1月1日至2022年12月31日</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报告周期：</w:t>
      </w:r>
      <w:r>
        <w:rPr>
          <w:rFonts w:hint="eastAsia" w:ascii="仿宋_GB2312" w:hAnsi="仿宋_GB2312" w:eastAsia="仿宋_GB2312" w:cs="仿宋_GB2312"/>
          <w:sz w:val="28"/>
          <w:szCs w:val="28"/>
        </w:rPr>
        <w:t>年度报告</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hint="default" w:ascii="仿宋_GB2312" w:hAnsi="仿宋_GB2312" w:eastAsia="黑体" w:cs="仿宋_GB2312"/>
          <w:sz w:val="28"/>
          <w:szCs w:val="28"/>
          <w:lang w:val="en-US" w:eastAsia="zh-CN"/>
        </w:rPr>
      </w:pPr>
      <w:r>
        <w:rPr>
          <w:rFonts w:hint="eastAsia" w:ascii="黑体" w:hAnsi="黑体" w:eastAsia="黑体" w:cs="黑体"/>
          <w:sz w:val="28"/>
          <w:szCs w:val="28"/>
        </w:rPr>
        <w:t>编制单位：</w:t>
      </w:r>
      <w:r>
        <w:rPr>
          <w:rFonts w:hint="eastAsia" w:ascii="仿宋_GB2312" w:hAnsi="仿宋_GB2312" w:eastAsia="仿宋_GB2312" w:cs="仿宋_GB2312"/>
          <w:sz w:val="28"/>
          <w:szCs w:val="28"/>
          <w:lang w:val="en-US" w:eastAsia="zh-CN"/>
        </w:rPr>
        <w:t>贵州兴义农村商业银行股份有限公司</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default" w:ascii="仿宋_GB2312" w:hAnsi="仿宋_GB2312" w:eastAsia="仿宋_GB2312" w:cs="仿宋_GB2312"/>
          <w:sz w:val="28"/>
          <w:szCs w:val="28"/>
          <w:lang w:val="en-US" w:eastAsia="zh-CN"/>
        </w:rPr>
      </w:pPr>
      <w:r>
        <w:rPr>
          <w:rFonts w:hint="eastAsia" w:ascii="黑体" w:hAnsi="黑体" w:eastAsia="黑体" w:cs="黑体"/>
          <w:sz w:val="28"/>
          <w:szCs w:val="28"/>
        </w:rPr>
        <w:t>报告范围：</w:t>
      </w:r>
      <w:r>
        <w:rPr>
          <w:rFonts w:hint="eastAsia" w:ascii="仿宋_GB2312" w:hAnsi="仿宋_GB2312" w:eastAsia="仿宋_GB2312" w:cs="仿宋_GB2312"/>
          <w:sz w:val="28"/>
          <w:szCs w:val="28"/>
        </w:rPr>
        <w:t>本报告以</w:t>
      </w:r>
      <w:r>
        <w:rPr>
          <w:rFonts w:hint="eastAsia" w:ascii="仿宋_GB2312" w:hAnsi="仿宋_GB2312" w:eastAsia="仿宋_GB2312" w:cs="仿宋_GB2312"/>
          <w:sz w:val="28"/>
          <w:szCs w:val="28"/>
          <w:lang w:val="en-US" w:eastAsia="zh-CN"/>
        </w:rPr>
        <w:t>贵州兴义农村商业银行股份有限公司</w:t>
      </w:r>
      <w:r>
        <w:rPr>
          <w:rFonts w:hint="eastAsia" w:ascii="仿宋_GB2312" w:hAnsi="仿宋_GB2312" w:eastAsia="仿宋_GB2312" w:cs="仿宋_GB2312"/>
          <w:sz w:val="28"/>
          <w:szCs w:val="28"/>
        </w:rPr>
        <w:t>为主体，内容涉及</w:t>
      </w:r>
      <w:r>
        <w:rPr>
          <w:rFonts w:hint="eastAsia" w:ascii="仿宋_GB2312" w:hAnsi="仿宋_GB2312" w:eastAsia="仿宋_GB2312" w:cs="仿宋_GB2312"/>
          <w:sz w:val="28"/>
          <w:szCs w:val="28"/>
          <w:lang w:val="en-US" w:eastAsia="zh-CN"/>
        </w:rPr>
        <w:t>2022年各项业务指标、绿色环境治理、绿色金融制度等。</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both"/>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数据说明：</w:t>
      </w:r>
      <w:r>
        <w:rPr>
          <w:rFonts w:hint="eastAsia" w:ascii="仿宋_GB2312" w:hAnsi="仿宋_GB2312" w:eastAsia="仿宋_GB2312" w:cs="仿宋_GB2312"/>
          <w:sz w:val="28"/>
          <w:szCs w:val="28"/>
        </w:rPr>
        <w:t>本报告数据以截至2022年12月31日</w:t>
      </w:r>
      <w:r>
        <w:rPr>
          <w:rFonts w:hint="eastAsia" w:ascii="仿宋_GB2312" w:hAnsi="仿宋_GB2312" w:eastAsia="仿宋_GB2312" w:cs="仿宋_GB2312"/>
          <w:sz w:val="28"/>
          <w:szCs w:val="28"/>
          <w:lang w:val="en-US" w:eastAsia="zh-CN"/>
        </w:rPr>
        <w:t>贵州兴义农村商业银行股份有限公司</w:t>
      </w:r>
      <w:r>
        <w:rPr>
          <w:rFonts w:hint="eastAsia" w:ascii="仿宋_GB2312" w:hAnsi="仿宋_GB2312" w:eastAsia="仿宋_GB2312" w:cs="仿宋_GB2312"/>
          <w:sz w:val="28"/>
          <w:szCs w:val="28"/>
        </w:rPr>
        <w:t>数据为主。数据主要来自内部文件和相关统计。如无特别说明，报告中涉及货币金额均以人民币列示。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编制依据：</w:t>
      </w:r>
      <w:r>
        <w:rPr>
          <w:rFonts w:hint="eastAsia" w:ascii="仿宋_GB2312" w:hAnsi="仿宋_GB2312" w:eastAsia="仿宋_GB2312" w:cs="仿宋_GB2312"/>
          <w:sz w:val="28"/>
          <w:szCs w:val="28"/>
        </w:rPr>
        <w:t>本报告根据中华人民共和国金融行业标准（JR/T 0227—2021）《金融机构环境信息披露指南》等有关要求进行编制。</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textAlignment w:val="auto"/>
        <w:rPr>
          <w:rFonts w:hint="eastAsia" w:ascii="仿宋_GB2312" w:hAnsi="仿宋_GB2312" w:eastAsia="仿宋_GB2312" w:cs="仿宋_GB2312"/>
          <w:sz w:val="28"/>
          <w:szCs w:val="28"/>
        </w:rPr>
      </w:pPr>
      <w:r>
        <w:rPr>
          <w:rFonts w:hint="eastAsia" w:ascii="黑体" w:hAnsi="黑体" w:eastAsia="黑体" w:cs="黑体"/>
          <w:sz w:val="28"/>
          <w:szCs w:val="28"/>
        </w:rPr>
        <w:t>指代说明：</w:t>
      </w:r>
      <w:r>
        <w:rPr>
          <w:rFonts w:hint="eastAsia" w:ascii="仿宋_GB2312" w:hAnsi="仿宋_GB2312" w:eastAsia="仿宋_GB2312" w:cs="仿宋_GB2312"/>
          <w:b w:val="0"/>
          <w:bCs w:val="0"/>
          <w:sz w:val="28"/>
          <w:szCs w:val="28"/>
          <w:lang w:val="en-US" w:eastAsia="zh-CN"/>
        </w:rPr>
        <w:t>为便于表达，在报告中“贵州兴义农村商业银行股份有限公司”以“兴义农商银行”或“本行”表示。</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560" w:firstLineChars="200"/>
        <w:jc w:val="left"/>
        <w:textAlignment w:val="auto"/>
        <w:rPr>
          <w:rFonts w:hint="eastAsia" w:ascii="仿宋_GB2312" w:hAnsi="仿宋_GB2312" w:eastAsia="仿宋_GB2312" w:cs="仿宋_GB2312"/>
          <w:sz w:val="28"/>
          <w:szCs w:val="28"/>
        </w:rPr>
      </w:pPr>
      <w:r>
        <w:rPr>
          <w:rFonts w:hint="eastAsia" w:ascii="黑体" w:hAnsi="黑体" w:eastAsia="黑体" w:cs="黑体"/>
          <w:sz w:val="28"/>
          <w:szCs w:val="28"/>
        </w:rPr>
        <w:t>发布形式：</w:t>
      </w:r>
      <w:r>
        <w:rPr>
          <w:rFonts w:hint="eastAsia" w:ascii="仿宋_GB2312" w:hAnsi="仿宋_GB2312" w:eastAsia="仿宋_GB2312" w:cs="仿宋_GB2312"/>
          <w:sz w:val="28"/>
          <w:szCs w:val="28"/>
        </w:rPr>
        <w:t>本报告采用网络电子版形式，发布于</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https://www.gznxbank.com/html/2880000/index.html</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网络平台。</w:t>
      </w:r>
    </w:p>
    <w:tbl>
      <w:tblPr>
        <w:tblStyle w:val="11"/>
        <w:tblpPr w:leftFromText="180" w:rightFromText="180" w:vertAnchor="text" w:horzAnchor="page" w:tblpX="2380"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78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sz w:val="21"/>
                <w:szCs w:val="21"/>
                <w:lang w:val="en-US" w:eastAsia="zh-CN"/>
              </w:rPr>
            </w:pPr>
            <w:r>
              <w:rPr>
                <w:rFonts w:hint="eastAsia" w:ascii="彩虹小标宋" w:hAnsi="彩虹小标宋" w:eastAsia="彩虹小标宋" w:cs="彩虹小标宋"/>
                <w:sz w:val="21"/>
                <w:szCs w:val="21"/>
                <w:vertAlign w:val="baseline"/>
                <w:lang w:val="en-US" w:eastAsia="zh-CN"/>
              </w:rPr>
              <w:t>联系方式：</w:t>
            </w:r>
            <w:r>
              <w:rPr>
                <w:rFonts w:hint="eastAsia" w:ascii="仿宋_GB2312" w:hAnsi="仿宋_GB2312" w:eastAsia="仿宋_GB2312" w:cs="仿宋_GB2312"/>
                <w:b w:val="0"/>
                <w:bCs w:val="0"/>
                <w:sz w:val="21"/>
                <w:szCs w:val="21"/>
                <w:lang w:val="en-US" w:eastAsia="zh-CN"/>
              </w:rPr>
              <w:t>贵州兴义农村商业银行股份有限公司</w:t>
            </w:r>
          </w:p>
          <w:p>
            <w:pPr>
              <w:pageBreakBefore w:val="0"/>
              <w:kinsoku/>
              <w:wordWrap/>
              <w:overflowPunct/>
              <w:topLinePunct w:val="0"/>
              <w:bidi w:val="0"/>
              <w:spacing w:line="560" w:lineRule="exact"/>
              <w:jc w:val="left"/>
              <w:rPr>
                <w:rFonts w:hint="eastAsia" w:ascii="仿宋_GB2312" w:hAnsi="仿宋_GB2312" w:eastAsia="仿宋_GB2312" w:cs="仿宋_GB2312"/>
                <w:sz w:val="21"/>
                <w:szCs w:val="21"/>
                <w:vertAlign w:val="baseline"/>
                <w:lang w:val="en-US" w:eastAsia="zh-CN"/>
              </w:rPr>
            </w:pPr>
            <w:r>
              <w:rPr>
                <w:rFonts w:hint="eastAsia" w:ascii="彩虹小标宋" w:hAnsi="彩虹小标宋" w:eastAsia="彩虹小标宋" w:cs="彩虹小标宋"/>
                <w:sz w:val="21"/>
                <w:szCs w:val="21"/>
                <w:vertAlign w:val="baseline"/>
                <w:lang w:val="en-US" w:eastAsia="zh-CN"/>
              </w:rPr>
              <w:t>联系地址：</w:t>
            </w:r>
            <w:r>
              <w:rPr>
                <w:rFonts w:hint="eastAsia" w:ascii="仿宋_GB2312" w:hAnsi="仿宋_GB2312" w:eastAsia="仿宋_GB2312" w:cs="仿宋_GB2312"/>
                <w:sz w:val="21"/>
                <w:szCs w:val="21"/>
                <w:vertAlign w:val="baseline"/>
                <w:lang w:val="en-US" w:eastAsia="zh-CN"/>
              </w:rPr>
              <w:t>贵州省兴义市桔山街道办事处峡谷村（桔山大道侧）</w:t>
            </w:r>
          </w:p>
          <w:p>
            <w:pPr>
              <w:pageBreakBefore w:val="0"/>
              <w:kinsoku/>
              <w:wordWrap/>
              <w:overflowPunct/>
              <w:topLinePunct w:val="0"/>
              <w:bidi w:val="0"/>
              <w:spacing w:line="560" w:lineRule="exact"/>
              <w:jc w:val="left"/>
              <w:rPr>
                <w:rFonts w:hint="eastAsia" w:ascii="彩虹小标宋" w:hAnsi="彩虹小标宋" w:eastAsia="彩虹小标宋" w:cs="彩虹小标宋"/>
                <w:sz w:val="21"/>
                <w:szCs w:val="21"/>
                <w:vertAlign w:val="baseline"/>
                <w:lang w:val="en-US" w:eastAsia="zh-CN"/>
              </w:rPr>
            </w:pPr>
            <w:r>
              <w:rPr>
                <w:rFonts w:hint="eastAsia" w:ascii="彩虹小标宋" w:hAnsi="彩虹小标宋" w:eastAsia="彩虹小标宋" w:cs="彩虹小标宋"/>
                <w:sz w:val="21"/>
                <w:szCs w:val="21"/>
                <w:vertAlign w:val="baseline"/>
                <w:lang w:val="en-US" w:eastAsia="zh-CN"/>
              </w:rPr>
              <w:t>联系电话：0859-3221400</w:t>
            </w:r>
          </w:p>
          <w:p>
            <w:pPr>
              <w:pageBreakBefore w:val="0"/>
              <w:kinsoku/>
              <w:wordWrap/>
              <w:overflowPunct/>
              <w:topLinePunct w:val="0"/>
              <w:bidi w:val="0"/>
              <w:spacing w:line="560" w:lineRule="exact"/>
              <w:jc w:val="left"/>
              <w:rPr>
                <w:rFonts w:hint="eastAsia" w:ascii="彩虹小标宋" w:hAnsi="彩虹小标宋" w:eastAsia="彩虹小标宋" w:cs="彩虹小标宋"/>
                <w:sz w:val="21"/>
                <w:szCs w:val="21"/>
                <w:vertAlign w:val="baseline"/>
                <w:lang w:val="en-US" w:eastAsia="zh-CN"/>
              </w:rPr>
            </w:pPr>
            <w:r>
              <w:rPr>
                <w:rFonts w:hint="eastAsia" w:ascii="彩虹小标宋" w:hAnsi="彩虹小标宋" w:eastAsia="彩虹小标宋" w:cs="彩虹小标宋"/>
                <w:sz w:val="21"/>
                <w:szCs w:val="21"/>
                <w:vertAlign w:val="baseline"/>
                <w:lang w:val="en-US" w:eastAsia="zh-CN"/>
              </w:rPr>
              <w:t>邮编：562400</w:t>
            </w:r>
          </w:p>
        </w:tc>
      </w:tr>
    </w:tbl>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sz w:val="28"/>
          <w:szCs w:val="28"/>
          <w:lang w:val="en-US" w:eastAsia="zh-CN"/>
        </w:rPr>
        <w:t>编制单位</w:t>
      </w:r>
      <w:r>
        <w:rPr>
          <w:rFonts w:hint="eastAsia" w:ascii="黑体" w:hAnsi="黑体" w:eastAsia="黑体" w:cs="黑体"/>
          <w:sz w:val="28"/>
          <w:szCs w:val="28"/>
        </w:rPr>
        <w:t>：</w:t>
      </w:r>
      <w:r>
        <w:rPr>
          <w:rFonts w:hint="eastAsia" w:ascii="仿宋_GB2312" w:hAnsi="仿宋_GB2312" w:eastAsia="仿宋_GB2312" w:cs="仿宋_GB2312"/>
          <w:b w:val="0"/>
          <w:bCs w:val="0"/>
          <w:sz w:val="28"/>
          <w:szCs w:val="28"/>
          <w:lang w:val="en-US" w:eastAsia="zh-CN"/>
        </w:rPr>
        <w:t>贵州兴义农村商业银行股份有限公司</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sz w:val="28"/>
          <w:szCs w:val="28"/>
        </w:rPr>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textAlignment w:val="auto"/>
        <w:rPr>
          <w:rFonts w:hint="eastAsia" w:ascii="黑体" w:hAnsi="黑体" w:eastAsia="黑体" w:cs="黑体"/>
          <w:sz w:val="28"/>
          <w:szCs w:val="28"/>
        </w:rPr>
      </w:pPr>
      <w:r>
        <w:rPr>
          <w:rFonts w:hint="eastAsia" w:ascii="黑体" w:hAnsi="黑体" w:eastAsia="黑体" w:cs="黑体"/>
          <w:sz w:val="28"/>
          <w:szCs w:val="28"/>
        </w:rPr>
        <w:t>目录</w:t>
      </w:r>
      <w:r>
        <w:rPr>
          <w:rFonts w:hint="default" w:ascii="黑体" w:hAnsi="黑体" w:eastAsia="黑体" w:cs="黑体"/>
          <w:sz w:val="28"/>
          <w:szCs w:val="28"/>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jc w:val="left"/>
        <w:textAlignment w:val="auto"/>
        <w:outlineLvl w:val="9"/>
        <w:rPr>
          <w:rFonts w:hint="eastAsia" w:ascii="彩虹小标宋" w:hAnsi="彩虹小标宋" w:eastAsia="彩虹小标宋" w:cs="彩虹小标宋"/>
          <w:sz w:val="28"/>
          <w:szCs w:val="28"/>
          <w:lang w:val="en-US" w:eastAsia="zh-CN"/>
        </w:rPr>
      </w:pPr>
      <w:r>
        <w:rPr>
          <w:rFonts w:hint="eastAsia" w:ascii="彩虹小标宋" w:hAnsi="彩虹小标宋" w:eastAsia="彩虹小标宋" w:cs="彩虹小标宋"/>
          <w:sz w:val="28"/>
          <w:szCs w:val="28"/>
          <w:lang w:val="en-US" w:eastAsia="zh-CN"/>
        </w:rPr>
        <w:t>年度概况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1.1兴义农商银行总体概况</w:t>
      </w:r>
    </w:p>
    <w:p>
      <w:pPr>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彩虹小标宋" w:hAnsi="彩虹小标宋" w:eastAsia="彩虹小标宋" w:cs="彩虹小标宋"/>
          <w:sz w:val="28"/>
          <w:szCs w:val="28"/>
          <w:lang w:val="en-US" w:eastAsia="zh-CN"/>
        </w:rPr>
      </w:pPr>
      <w:r>
        <w:rPr>
          <w:rFonts w:hint="eastAsia" w:ascii="彩虹小标宋" w:hAnsi="彩虹小标宋" w:eastAsia="彩虹小标宋" w:cs="彩虹小标宋"/>
          <w:sz w:val="28"/>
          <w:szCs w:val="28"/>
          <w:lang w:val="en-US" w:eastAsia="zh-CN"/>
        </w:rPr>
        <w:t>环境相关治理结构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2.1董事会（理事会）层面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2.2高管层层面</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2.3专业部门层面</w:t>
      </w:r>
    </w:p>
    <w:p>
      <w:pPr>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default" w:ascii="彩虹小标宋" w:hAnsi="彩虹小标宋" w:eastAsia="彩虹小标宋" w:cs="彩虹小标宋"/>
          <w:sz w:val="28"/>
          <w:szCs w:val="28"/>
          <w:lang w:val="en-US" w:eastAsia="zh-CN"/>
        </w:rPr>
      </w:pPr>
      <w:r>
        <w:rPr>
          <w:rFonts w:hint="eastAsia" w:ascii="彩虹小标宋" w:hAnsi="彩虹小标宋" w:eastAsia="彩虹小标宋" w:cs="彩虹小标宋"/>
          <w:sz w:val="28"/>
          <w:szCs w:val="28"/>
          <w:lang w:val="en-US" w:eastAsia="zh-CN"/>
        </w:rPr>
        <w:t>绿色金融政策制度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3.1本行制度制定情况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3.2政策贯彻落实情况</w:t>
      </w:r>
    </w:p>
    <w:p>
      <w:pPr>
        <w:keepNext w:val="0"/>
        <w:keepLines w:val="0"/>
        <w:pageBreakBefore w:val="0"/>
        <w:widowControl w:val="0"/>
        <w:numPr>
          <w:ilvl w:val="0"/>
          <w:numId w:val="1"/>
        </w:numPr>
        <w:tabs>
          <w:tab w:val="clear" w:pos="312"/>
        </w:tabs>
        <w:kinsoku/>
        <w:wordWrap/>
        <w:overflowPunct/>
        <w:topLinePunct w:val="0"/>
        <w:autoSpaceDE/>
        <w:autoSpaceDN/>
        <w:bidi w:val="0"/>
        <w:adjustRightInd/>
        <w:snapToGrid/>
        <w:spacing w:line="520" w:lineRule="exact"/>
        <w:ind w:left="0" w:leftChars="0" w:firstLine="0" w:firstLineChars="0"/>
        <w:jc w:val="left"/>
        <w:textAlignment w:val="auto"/>
        <w:outlineLvl w:val="9"/>
        <w:rPr>
          <w:rFonts w:hint="eastAsia" w:ascii="彩虹小标宋" w:hAnsi="彩虹小标宋" w:eastAsia="彩虹小标宋" w:cs="彩虹小标宋"/>
          <w:sz w:val="28"/>
          <w:szCs w:val="28"/>
          <w:lang w:val="en-US" w:eastAsia="zh-CN"/>
        </w:rPr>
      </w:pPr>
      <w:r>
        <w:rPr>
          <w:rFonts w:hint="eastAsia" w:ascii="仿宋_GB2312" w:hAnsi="仿宋_GB2312" w:eastAsia="仿宋_GB2312" w:cs="仿宋_GB2312"/>
          <w:b/>
          <w:bCs/>
          <w:sz w:val="32"/>
          <w:szCs w:val="32"/>
          <w:lang w:val="en-US" w:eastAsia="zh-CN"/>
        </w:rPr>
        <w:t>环境相关产品与创新</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4.1调结构，加大绿色信贷投放力度</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4.2创产品，加大绿色信贷产品创新</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4.3强考核，加大绿色信贷约束激励</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5.环境风险管理措施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5.1全面尽调、及时预警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5.2分类识别、差异管理</w:t>
      </w:r>
    </w:p>
    <w:p>
      <w:pPr>
        <w:pStyle w:val="2"/>
        <w:ind w:left="0" w:leftChars="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5.3准入管理</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6.环境因素的影响及机遇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6.1气候与环境相关风险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lang w:val="en-US" w:eastAsia="zh-CN"/>
        </w:rPr>
      </w:pPr>
      <w:r>
        <w:rPr>
          <w:rFonts w:hint="eastAsia" w:ascii="仿宋_GB2312" w:hAnsi="仿宋_GB2312" w:eastAsia="仿宋_GB2312" w:cs="仿宋_GB2312"/>
          <w:b w:val="0"/>
          <w:bCs w:val="0"/>
          <w:sz w:val="28"/>
          <w:szCs w:val="28"/>
          <w:lang w:val="en-US" w:eastAsia="zh-CN"/>
        </w:rPr>
        <w:t>6.2绿色发展方的机遇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7.本行环保措施</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7.1推行绿色服务</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7.2秉承绿色办公理念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outlineLvl w:val="9"/>
        <w:rPr>
          <w:rFonts w:hint="eastAsia" w:ascii="彩虹小标宋" w:hAnsi="彩虹小标宋" w:eastAsia="彩虹小标宋" w:cs="彩虹小标宋"/>
          <w:sz w:val="28"/>
          <w:szCs w:val="28"/>
          <w:lang w:val="en-US" w:eastAsia="zh-CN"/>
        </w:rPr>
      </w:pPr>
      <w:r>
        <w:rPr>
          <w:rFonts w:hint="eastAsia" w:ascii="彩虹小标宋" w:hAnsi="彩虹小标宋" w:eastAsia="彩虹小标宋" w:cs="彩虹小标宋"/>
          <w:sz w:val="28"/>
          <w:szCs w:val="28"/>
          <w:lang w:val="en-US" w:eastAsia="zh-CN"/>
        </w:rPr>
        <w:t>8.数据梳理、校验及保护</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8.1建立数据管理系统及流程，保证数据质量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lang w:val="en-US" w:eastAsia="zh-CN"/>
        </w:rPr>
      </w:pPr>
      <w:r>
        <w:rPr>
          <w:rFonts w:hint="eastAsia" w:ascii="仿宋_GB2312" w:hAnsi="仿宋_GB2312" w:eastAsia="仿宋_GB2312" w:cs="仿宋_GB2312"/>
          <w:b w:val="0"/>
          <w:bCs w:val="0"/>
          <w:kern w:val="2"/>
          <w:sz w:val="28"/>
          <w:szCs w:val="28"/>
          <w:lang w:val="en-US" w:eastAsia="zh-CN" w:bidi="ar-SA"/>
        </w:rPr>
        <w:t>8.2强化重要信息系统应急预案管理，提高信息系统突发事件处置能力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彩虹小标宋" w:hAnsi="彩虹小标宋" w:eastAsia="彩虹小标宋" w:cs="彩虹小标宋"/>
          <w:sz w:val="28"/>
          <w:szCs w:val="28"/>
          <w:lang w:val="en-US" w:eastAsia="zh-CN"/>
        </w:rPr>
      </w:pPr>
      <w:r>
        <w:rPr>
          <w:rFonts w:hint="eastAsia" w:ascii="彩虹小标宋" w:hAnsi="彩虹小标宋" w:eastAsia="彩虹小标宋" w:cs="彩虹小标宋"/>
          <w:sz w:val="28"/>
          <w:szCs w:val="28"/>
          <w:lang w:val="en-US" w:eastAsia="zh-CN"/>
        </w:rPr>
        <w:t xml:space="preserve">9.绿色金融创新及研究成果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9.1探索绿色金融“新实践”，促进绿色产业优化发展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jc w:val="left"/>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9.2 绿色金融未来展望</w:t>
      </w:r>
    </w:p>
    <w:p>
      <w:pPr>
        <w:keepNext w:val="0"/>
        <w:keepLines w:val="0"/>
        <w:pageBreakBefore w:val="0"/>
        <w:kinsoku/>
        <w:wordWrap/>
        <w:overflowPunct/>
        <w:topLinePunct w:val="0"/>
        <w:bidi w:val="0"/>
        <w:snapToGrid/>
        <w:spacing w:line="560" w:lineRule="exact"/>
        <w:textAlignment w:val="auto"/>
        <w:rPr>
          <w:rFonts w:ascii="黑体" w:hAnsi="黑体" w:eastAsia="黑体"/>
          <w:color w:val="auto"/>
          <w:sz w:val="32"/>
          <w:szCs w:val="32"/>
        </w:rPr>
      </w:pPr>
      <w:r>
        <w:rPr>
          <w:rFonts w:hint="eastAsia" w:ascii="黑体" w:hAnsi="黑体" w:eastAsia="黑体"/>
          <w:color w:val="auto"/>
          <w:sz w:val="32"/>
          <w:szCs w:val="32"/>
          <w:lang w:val="en-US" w:eastAsia="zh-CN"/>
        </w:rPr>
        <w:t>10.</w:t>
      </w:r>
      <w:r>
        <w:rPr>
          <w:rFonts w:hint="eastAsia" w:ascii="黑体" w:hAnsi="黑体" w:eastAsia="黑体"/>
          <w:color w:val="auto"/>
          <w:sz w:val="32"/>
          <w:szCs w:val="32"/>
        </w:rPr>
        <w:t>其他环境相关信息</w:t>
      </w:r>
    </w:p>
    <w:p>
      <w:pPr>
        <w:pStyle w:val="2"/>
        <w:ind w:left="0" w:leftChars="0" w:firstLine="0" w:firstLineChars="0"/>
        <w:rPr>
          <w:rFonts w:hint="eastAsia"/>
          <w:lang w:val="en-US" w:eastAsia="zh-CN"/>
        </w:rPr>
      </w:pPr>
    </w:p>
    <w:p>
      <w:pPr>
        <w:pStyle w:val="13"/>
      </w:pP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Times New Roman" w:hAnsi="Times New Roman"/>
          <w:b/>
          <w:bCs/>
          <w:sz w:val="32"/>
          <w:szCs w:val="32"/>
          <w:lang w:val="en-US" w:eastAsia="zh-CN"/>
        </w:rPr>
      </w:pPr>
      <w:r>
        <w:rPr>
          <w:rFonts w:hint="eastAsia" w:ascii="Times New Roman" w:hAnsi="Times New Roman"/>
          <w:b/>
          <w:bCs/>
          <w:sz w:val="32"/>
          <w:szCs w:val="32"/>
          <w:lang w:val="en-US" w:eastAsia="zh-CN"/>
        </w:rPr>
        <w:t>1.年度概况</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 xml:space="preserve">1.1兴义农商银行基本情况 </w:t>
      </w:r>
    </w:p>
    <w:p>
      <w:pPr>
        <w:keepNext w:val="0"/>
        <w:keepLines w:val="0"/>
        <w:pageBreakBefore w:val="0"/>
        <w:kinsoku/>
        <w:wordWrap/>
        <w:overflowPunct/>
        <w:topLinePunct w:val="0"/>
        <w:bidi w:val="0"/>
        <w:snapToGrid/>
        <w:spacing w:line="560" w:lineRule="exact"/>
        <w:ind w:firstLine="640" w:firstLineChars="200"/>
        <w:textAlignment w:val="auto"/>
        <w:rPr>
          <w:rFonts w:hint="default"/>
          <w:color w:val="auto"/>
          <w:lang w:val="en-US" w:eastAsia="zh-CN"/>
        </w:rPr>
      </w:pPr>
      <w:r>
        <w:rPr>
          <w:rFonts w:hint="eastAsia" w:ascii="仿宋_GB2312" w:hAnsi="仿宋_GB2312" w:eastAsia="仿宋_GB2312" w:cs="仿宋_GB2312"/>
          <w:color w:val="auto"/>
          <w:sz w:val="32"/>
          <w:szCs w:val="32"/>
          <w:lang w:val="en-US" w:eastAsia="zh-CN"/>
        </w:rPr>
        <w:t>2022年，兴义农商银行坚守服务“三农”、服务小微实体经济定位，结合政策导向，积极支持和促进低碳经济、战略性新兴产业及科技自主创新产业发展，不断探索绿色发展与支农惠农深度融合，通过加大全行绿色金融知识学习培训及产品创新力度，让员工更好掌握环保法律法规及国家产业政策，准确把握信贷投向。在日常运营管理中，全行持续推进绿色运营、绿色办公文化建设，将无纸化办公、低碳出行、线上金融服务纳入常态化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实现了绿色金融文化建设有提升、制度体系有保障、产品能覆盖、人才队伍有支撑的目标。截止2022年末，本</w:t>
      </w:r>
      <w:r>
        <w:rPr>
          <w:rFonts w:ascii="仿宋_GB2312" w:hAnsi="仿宋_GB2312" w:eastAsia="仿宋_GB2312" w:cs="仿宋_GB2312"/>
          <w:color w:val="auto"/>
          <w:sz w:val="32"/>
          <w:szCs w:val="32"/>
        </w:rPr>
        <w:t>行各项存款231.67亿元，较年初增加6.46亿元，增速2.87%。各项贷款180.01亿元，较年初增加13.46亿元，增速8.08%；其中</w:t>
      </w:r>
      <w:r>
        <w:rPr>
          <w:rFonts w:ascii="仿宋_GB2312" w:hAnsi="仿宋_GB2312" w:eastAsia="仿宋_GB2312" w:cs="仿宋_GB2312"/>
          <w:bCs/>
          <w:color w:val="auto"/>
          <w:sz w:val="32"/>
          <w:szCs w:val="32"/>
        </w:rPr>
        <w:t>绿色贷款余额2</w:t>
      </w:r>
      <w:r>
        <w:rPr>
          <w:rFonts w:hint="eastAsia" w:ascii="仿宋_GB2312" w:hAnsi="仿宋_GB2312" w:eastAsia="仿宋_GB2312" w:cs="仿宋_GB2312"/>
          <w:bCs/>
          <w:color w:val="auto"/>
          <w:sz w:val="32"/>
          <w:szCs w:val="32"/>
          <w:lang w:val="en-US" w:eastAsia="zh-CN"/>
        </w:rPr>
        <w:t>.</w:t>
      </w:r>
      <w:r>
        <w:rPr>
          <w:rFonts w:ascii="仿宋_GB2312" w:hAnsi="仿宋_GB2312" w:eastAsia="仿宋_GB2312" w:cs="仿宋_GB2312"/>
          <w:bCs/>
          <w:color w:val="auto"/>
          <w:sz w:val="32"/>
          <w:szCs w:val="32"/>
        </w:rPr>
        <w:t>05</w:t>
      </w:r>
      <w:r>
        <w:rPr>
          <w:rFonts w:hint="eastAsia" w:ascii="仿宋_GB2312" w:hAnsi="仿宋_GB2312" w:eastAsia="仿宋_GB2312" w:cs="仿宋_GB2312"/>
          <w:bCs/>
          <w:color w:val="auto"/>
          <w:sz w:val="32"/>
          <w:szCs w:val="32"/>
          <w:lang w:val="en-US" w:eastAsia="zh-CN"/>
        </w:rPr>
        <w:t>亿</w:t>
      </w:r>
      <w:r>
        <w:rPr>
          <w:rFonts w:ascii="仿宋_GB2312" w:hAnsi="仿宋_GB2312" w:eastAsia="仿宋_GB2312" w:cs="仿宋_GB2312"/>
          <w:bCs/>
          <w:color w:val="auto"/>
          <w:sz w:val="32"/>
          <w:szCs w:val="32"/>
        </w:rPr>
        <w:t>元，较年初增加10550.51万元，增幅105.75%,高于各项贷款增速。</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2.</w:t>
      </w:r>
      <w:r>
        <w:rPr>
          <w:rFonts w:hint="eastAsia" w:ascii="黑体" w:hAnsi="黑体" w:eastAsia="黑体"/>
          <w:color w:val="auto"/>
          <w:sz w:val="32"/>
          <w:szCs w:val="32"/>
        </w:rPr>
        <w:t>绿色金融</w:t>
      </w:r>
      <w:r>
        <w:rPr>
          <w:rFonts w:ascii="黑体" w:hAnsi="黑体" w:eastAsia="黑体"/>
          <w:color w:val="auto"/>
          <w:sz w:val="32"/>
          <w:szCs w:val="32"/>
        </w:rPr>
        <w:t>治理结构</w:t>
      </w:r>
    </w:p>
    <w:p>
      <w:pPr>
        <w:pStyle w:val="2"/>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eastAsia="仿宋_GB2312"/>
          <w:color w:val="auto"/>
          <w:sz w:val="32"/>
          <w:szCs w:val="32"/>
        </w:rPr>
      </w:pPr>
      <w:r>
        <w:rPr>
          <w:rFonts w:hint="eastAsia" w:ascii="楷体_GB2312" w:hAnsi="楷体_GB2312" w:eastAsia="楷体_GB2312" w:cs="楷体_GB2312"/>
          <w:color w:val="auto"/>
          <w:sz w:val="32"/>
          <w:szCs w:val="32"/>
          <w:lang w:val="en-US" w:eastAsia="zh-CN"/>
        </w:rPr>
        <w:t>2.1</w:t>
      </w:r>
      <w:r>
        <w:rPr>
          <w:rFonts w:hint="eastAsia" w:ascii="楷体_GB2312" w:hAnsi="楷体_GB2312" w:eastAsia="楷体_GB2312" w:cs="楷体_GB2312"/>
          <w:color w:val="auto"/>
          <w:sz w:val="32"/>
          <w:szCs w:val="32"/>
        </w:rPr>
        <w:t>董事会（理事会）</w:t>
      </w:r>
      <w:r>
        <w:rPr>
          <w:rFonts w:hint="eastAsia" w:ascii="楷体_GB2312" w:hAnsi="楷体_GB2312" w:eastAsia="楷体_GB2312" w:cs="楷体_GB2312"/>
          <w:color w:val="auto"/>
          <w:sz w:val="32"/>
          <w:szCs w:val="32"/>
          <w:lang w:val="en-US" w:eastAsia="zh-CN"/>
        </w:rPr>
        <w:t>层面</w:t>
      </w:r>
    </w:p>
    <w:p>
      <w:pPr>
        <w:pStyle w:val="2"/>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董事会牵头制定“十四五战略规划”，明确“十四五”期间，坚持以高质量发展为统揽，围绕“打造贴身服务、体验一流、贡献共享的绿色普惠银行”发展愿景，推进兴义农商银行绿色金融战略规划落地见效。同时，经营层每年向董事会报告绿色金融服务情况，董事会结合规划目标和完成情况对经营层提出工作建议；监事会负责监督高级管理层绿色信贷执行情况，定期审阅绿色信贷情况报告。</w:t>
      </w:r>
    </w:p>
    <w:p>
      <w:pPr>
        <w:keepNext w:val="0"/>
        <w:keepLines w:val="0"/>
        <w:pageBreakBefore w:val="0"/>
        <w:numPr>
          <w:ilvl w:val="0"/>
          <w:numId w:val="0"/>
        </w:numPr>
        <w:kinsoku/>
        <w:wordWrap/>
        <w:overflowPunct/>
        <w:topLinePunct w:val="0"/>
        <w:bidi w:val="0"/>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2.2</w:t>
      </w:r>
      <w:r>
        <w:rPr>
          <w:rFonts w:hint="eastAsia" w:ascii="楷体_GB2312" w:hAnsi="楷体_GB2312" w:eastAsia="楷体_GB2312" w:cs="楷体_GB2312"/>
          <w:color w:val="auto"/>
          <w:sz w:val="32"/>
          <w:szCs w:val="32"/>
        </w:rPr>
        <w:t>高管层层面</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为确保本行绿色金融制度切实有效执行，各级机构明确了相关职责。高级管理层根据董事会要求开展绿色信贷工作，负责制定绿色信贷目标，建立机制、流程及职责分工。设立明确总行业务发展部为绿色信贷业务管理部门，营业部为绿色信贷专营机构，通过优化绿色金融服务流程管理、健全制度产品体系等措施，促进绿色金融服务宣传，加强绿色经济、低碳经济、循环经济的支持力度。</w:t>
      </w:r>
    </w:p>
    <w:p>
      <w:pPr>
        <w:keepNext w:val="0"/>
        <w:keepLines w:val="0"/>
        <w:pageBreakBefore w:val="0"/>
        <w:numPr>
          <w:ilvl w:val="0"/>
          <w:numId w:val="0"/>
        </w:numPr>
        <w:kinsoku/>
        <w:wordWrap/>
        <w:overflowPunct/>
        <w:topLinePunct w:val="0"/>
        <w:bidi w:val="0"/>
        <w:snapToGrid/>
        <w:spacing w:line="560" w:lineRule="exact"/>
        <w:ind w:left="630" w:leftChars="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2.3专业部门层面</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Times New Roman" w:hAnsi="Times New Roman" w:eastAsia="仿宋_GB2312"/>
          <w:sz w:val="32"/>
          <w:szCs w:val="32"/>
        </w:rPr>
        <w:t>业务发展部下设</w:t>
      </w:r>
      <w:r>
        <w:rPr>
          <w:rFonts w:hint="eastAsia" w:ascii="Times New Roman" w:hAnsi="Times New Roman" w:eastAsia="仿宋_GB2312"/>
          <w:sz w:val="32"/>
          <w:szCs w:val="32"/>
          <w:lang w:val="en-US" w:eastAsia="zh-CN"/>
        </w:rPr>
        <w:t>发展创新中心，主要负责</w:t>
      </w:r>
      <w:r>
        <w:rPr>
          <w:rFonts w:ascii="Times New Roman" w:hAnsi="Times New Roman" w:eastAsia="仿宋_GB2312"/>
          <w:sz w:val="32"/>
          <w:szCs w:val="32"/>
        </w:rPr>
        <w:t>绿色及普惠金融</w:t>
      </w:r>
      <w:r>
        <w:rPr>
          <w:rFonts w:hint="eastAsia" w:ascii="Times New Roman" w:hAnsi="Times New Roman" w:eastAsia="仿宋_GB2312"/>
          <w:sz w:val="32"/>
          <w:szCs w:val="32"/>
          <w:lang w:val="en-US" w:eastAsia="zh-CN"/>
        </w:rPr>
        <w:t>创新及推广</w:t>
      </w:r>
      <w:r>
        <w:rPr>
          <w:rFonts w:hint="eastAsia" w:ascii="Times New Roman" w:hAnsi="Times New Roman" w:eastAsia="仿宋_GB2312"/>
          <w:sz w:val="32"/>
          <w:szCs w:val="32"/>
          <w:lang w:eastAsia="zh-CN"/>
        </w:rPr>
        <w:t>，</w:t>
      </w:r>
      <w:r>
        <w:rPr>
          <w:rFonts w:ascii="Times New Roman" w:hAnsi="Times New Roman" w:eastAsia="仿宋_GB2312"/>
          <w:sz w:val="32"/>
          <w:szCs w:val="32"/>
        </w:rPr>
        <w:t>以国家生态文明建设及中国人民银行、银保监会等监管部门的绿色金融政策为导向，充分结合</w:t>
      </w:r>
      <w:r>
        <w:rPr>
          <w:rFonts w:hint="eastAsia" w:ascii="Times New Roman" w:hAnsi="Times New Roman" w:eastAsia="仿宋_GB2312"/>
          <w:sz w:val="32"/>
          <w:szCs w:val="32"/>
          <w:lang w:val="en-US" w:eastAsia="zh-CN"/>
        </w:rPr>
        <w:t>兴义农商银行</w:t>
      </w:r>
      <w:r>
        <w:rPr>
          <w:rFonts w:ascii="Times New Roman" w:hAnsi="Times New Roman" w:eastAsia="仿宋_GB2312"/>
          <w:sz w:val="32"/>
          <w:szCs w:val="32"/>
        </w:rPr>
        <w:t>支农支小市场定位和普惠金融主力军地位，探索</w:t>
      </w:r>
      <w:r>
        <w:rPr>
          <w:rFonts w:hint="eastAsia" w:ascii="Times New Roman" w:hAnsi="Times New Roman" w:eastAsia="仿宋_GB2312"/>
          <w:sz w:val="32"/>
          <w:szCs w:val="32"/>
          <w:lang w:val="en-US" w:eastAsia="zh-CN"/>
        </w:rPr>
        <w:t>本行</w:t>
      </w:r>
      <w:r>
        <w:rPr>
          <w:rFonts w:ascii="Times New Roman" w:hAnsi="Times New Roman" w:eastAsia="仿宋_GB2312"/>
          <w:sz w:val="32"/>
          <w:szCs w:val="32"/>
        </w:rPr>
        <w:t>绿色普惠金融发展路径，制定绿色普惠金融相关制度文件，</w:t>
      </w:r>
      <w:r>
        <w:rPr>
          <w:rFonts w:hint="eastAsia" w:ascii="Times New Roman" w:hAnsi="Times New Roman" w:eastAsia="仿宋_GB2312"/>
          <w:sz w:val="32"/>
          <w:szCs w:val="32"/>
          <w:lang w:val="en-US" w:eastAsia="zh-CN"/>
        </w:rPr>
        <w:t>创新</w:t>
      </w:r>
      <w:r>
        <w:rPr>
          <w:rFonts w:ascii="Times New Roman" w:hAnsi="Times New Roman" w:eastAsia="仿宋_GB2312"/>
          <w:sz w:val="32"/>
          <w:szCs w:val="32"/>
        </w:rPr>
        <w:t>绿色普惠金融产品和服务模式</w:t>
      </w:r>
      <w:r>
        <w:rPr>
          <w:rFonts w:hint="eastAsia" w:ascii="Times New Roman" w:hAnsi="Times New Roman" w:eastAsia="仿宋_GB2312"/>
          <w:sz w:val="32"/>
          <w:szCs w:val="32"/>
          <w:lang w:eastAsia="zh-CN"/>
        </w:rPr>
        <w:t>、</w:t>
      </w:r>
      <w:r>
        <w:rPr>
          <w:rFonts w:hint="eastAsia" w:ascii="仿宋_GB2312" w:hAnsi="仿宋_GB2312" w:eastAsia="仿宋_GB2312" w:cs="仿宋_GB2312"/>
          <w:sz w:val="32"/>
          <w:szCs w:val="32"/>
          <w:lang w:val="en-US" w:eastAsia="zh-CN"/>
        </w:rPr>
        <w:t>优化绿色金融服务流程管理、丰富产品体系，加强绿色信贷宣传，</w:t>
      </w:r>
      <w:r>
        <w:rPr>
          <w:rFonts w:ascii="Times New Roman" w:hAnsi="Times New Roman" w:eastAsia="仿宋_GB2312"/>
          <w:sz w:val="32"/>
          <w:szCs w:val="32"/>
        </w:rPr>
        <w:t>积极开展环境信息披露等绿色金融相关工作</w:t>
      </w:r>
      <w:r>
        <w:rPr>
          <w:rFonts w:hint="eastAsia" w:ascii="Times New Roman" w:hAnsi="Times New Roman" w:eastAsia="仿宋_GB2312"/>
          <w:sz w:val="32"/>
          <w:szCs w:val="32"/>
          <w:lang w:eastAsia="zh-CN"/>
        </w:rPr>
        <w:t>。</w:t>
      </w:r>
    </w:p>
    <w:p>
      <w:pPr>
        <w:keepNext w:val="0"/>
        <w:keepLines w:val="0"/>
        <w:pageBreakBefore w:val="0"/>
        <w:numPr>
          <w:ilvl w:val="0"/>
          <w:numId w:val="0"/>
        </w:numPr>
        <w:kinsoku/>
        <w:wordWrap/>
        <w:overflowPunct/>
        <w:topLinePunct w:val="0"/>
        <w:bidi w:val="0"/>
        <w:snapToGrid/>
        <w:spacing w:line="560" w:lineRule="exact"/>
        <w:ind w:left="525" w:leftChars="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3.</w:t>
      </w:r>
      <w:r>
        <w:rPr>
          <w:rFonts w:hint="eastAsia" w:ascii="黑体" w:hAnsi="黑体" w:eastAsia="黑体"/>
          <w:color w:val="auto"/>
          <w:sz w:val="32"/>
          <w:szCs w:val="32"/>
        </w:rPr>
        <w:t>绿色金融政策制度</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3.1本行制度制定情况</w:t>
      </w:r>
    </w:p>
    <w:p>
      <w:pPr>
        <w:keepNext w:val="0"/>
        <w:keepLines w:val="0"/>
        <w:pageBreakBefore w:val="0"/>
        <w:kinsoku/>
        <w:wordWrap/>
        <w:overflowPunct/>
        <w:topLinePunct w:val="0"/>
        <w:bidi w:val="0"/>
        <w:snapToGrid/>
        <w:spacing w:line="560" w:lineRule="exact"/>
        <w:ind w:firstLine="422" w:firstLineChars="200"/>
        <w:jc w:val="center"/>
        <w:textAlignment w:val="auto"/>
        <w:rPr>
          <w:rFonts w:ascii="Times New Roman" w:hAnsi="Times New Roman"/>
          <w:b/>
          <w:bCs/>
        </w:rPr>
      </w:pPr>
      <w:r>
        <w:rPr>
          <w:rFonts w:hint="eastAsia" w:ascii="Times New Roman" w:hAnsi="Times New Roman"/>
          <w:b/>
          <w:bCs/>
          <w:lang w:val="en-US" w:eastAsia="zh-CN"/>
        </w:rPr>
        <w:t>兴义农商银行</w:t>
      </w:r>
      <w:r>
        <w:rPr>
          <w:rFonts w:ascii="Times New Roman" w:hAnsi="Times New Roman"/>
          <w:b/>
          <w:bCs/>
        </w:rPr>
        <w:t>印发的绿色金融</w:t>
      </w:r>
      <w:r>
        <w:rPr>
          <w:rFonts w:hint="eastAsia" w:ascii="Times New Roman" w:hAnsi="Times New Roman"/>
          <w:b/>
          <w:bCs/>
        </w:rPr>
        <w:t>重要</w:t>
      </w:r>
      <w:r>
        <w:rPr>
          <w:rFonts w:ascii="Times New Roman" w:hAnsi="Times New Roman"/>
          <w:b/>
          <w:bCs/>
        </w:rPr>
        <w:t>政策清单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7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pStyle w:val="9"/>
              <w:widowControl/>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序号</w:t>
            </w:r>
          </w:p>
        </w:tc>
        <w:tc>
          <w:tcPr>
            <w:tcW w:w="7823" w:type="dxa"/>
          </w:tcPr>
          <w:p>
            <w:pPr>
              <w:pStyle w:val="9"/>
              <w:widowControl/>
              <w:spacing w:before="0" w:beforeAutospacing="0" w:after="0" w:afterAutospacing="0"/>
              <w:jc w:val="center"/>
              <w:rPr>
                <w:rFonts w:ascii="Times New Roman" w:hAnsi="Times New Roman" w:eastAsiaTheme="minorEastAsia"/>
                <w:sz w:val="21"/>
                <w:szCs w:val="21"/>
              </w:rPr>
            </w:pPr>
            <w:r>
              <w:rPr>
                <w:rFonts w:ascii="Times New Roman" w:hAnsi="Times New Roman" w:eastAsiaTheme="minorEastAsia"/>
                <w:sz w:val="21"/>
                <w:szCs w:val="21"/>
              </w:rPr>
              <w:t>文件名称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9"/>
              <w:widowControl/>
              <w:spacing w:before="0" w:beforeAutospacing="0" w:after="0" w:afterAutospacing="0"/>
              <w:jc w:val="both"/>
              <w:rPr>
                <w:rFonts w:ascii="Times New Roman" w:hAnsi="Times New Roman" w:eastAsiaTheme="minorEastAsia"/>
                <w:sz w:val="21"/>
                <w:szCs w:val="21"/>
              </w:rPr>
            </w:pPr>
            <w:r>
              <w:rPr>
                <w:rFonts w:ascii="Times New Roman" w:hAnsi="Times New Roman" w:eastAsiaTheme="minorEastAsia"/>
                <w:sz w:val="21"/>
                <w:szCs w:val="21"/>
              </w:rPr>
              <w:t>1</w:t>
            </w:r>
          </w:p>
        </w:tc>
        <w:tc>
          <w:tcPr>
            <w:tcW w:w="7823" w:type="dxa"/>
          </w:tcPr>
          <w:p>
            <w:pPr>
              <w:pStyle w:val="9"/>
              <w:widowControl/>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w:t>
            </w:r>
            <w:r>
              <w:rPr>
                <w:rFonts w:hint="eastAsia" w:ascii="Times New Roman" w:hAnsi="Times New Roman" w:eastAsiaTheme="minorEastAsia"/>
                <w:sz w:val="21"/>
                <w:szCs w:val="21"/>
                <w:lang w:val="en-US" w:eastAsia="zh-CN"/>
              </w:rPr>
              <w:t>兴义农商银行关于印发贵州兴义农村商业银行绿色信贷管理办法的通知</w:t>
            </w:r>
            <w:r>
              <w:rPr>
                <w:rFonts w:ascii="Times New Roman" w:hAnsi="Times New Roman" w:eastAsiaTheme="minorEastAsia"/>
                <w:sz w:val="21"/>
                <w:szCs w:val="21"/>
              </w:rPr>
              <w:t>》（</w:t>
            </w:r>
            <w:r>
              <w:rPr>
                <w:rFonts w:hint="eastAsia" w:ascii="Times New Roman" w:hAnsi="Times New Roman" w:eastAsiaTheme="minorEastAsia"/>
                <w:sz w:val="21"/>
                <w:szCs w:val="21"/>
              </w:rPr>
              <w:t>兴农商银发〔2020〕176号</w:t>
            </w:r>
            <w:r>
              <w:rPr>
                <w:rFonts w:ascii="Times New Roman" w:hAnsi="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9"/>
              <w:widowControl/>
              <w:spacing w:before="0" w:beforeAutospacing="0" w:after="0" w:afterAutospacing="0"/>
              <w:jc w:val="both"/>
              <w:rPr>
                <w:rFonts w:ascii="Times New Roman" w:hAnsi="Times New Roman" w:eastAsiaTheme="minorEastAsia"/>
                <w:sz w:val="21"/>
                <w:szCs w:val="21"/>
              </w:rPr>
            </w:pPr>
            <w:r>
              <w:rPr>
                <w:rFonts w:ascii="Times New Roman" w:hAnsi="Times New Roman" w:eastAsiaTheme="minorEastAsia"/>
                <w:sz w:val="21"/>
                <w:szCs w:val="21"/>
              </w:rPr>
              <w:t>2</w:t>
            </w:r>
          </w:p>
        </w:tc>
        <w:tc>
          <w:tcPr>
            <w:tcW w:w="7823" w:type="dxa"/>
          </w:tcPr>
          <w:p>
            <w:pPr>
              <w:pStyle w:val="9"/>
              <w:widowControl/>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w:t>
            </w:r>
            <w:r>
              <w:rPr>
                <w:rFonts w:hint="eastAsia" w:ascii="Times New Roman" w:hAnsi="Times New Roman" w:eastAsiaTheme="minorEastAsia"/>
                <w:sz w:val="21"/>
                <w:szCs w:val="21"/>
              </w:rPr>
              <w:t>兴义农商银行关于印发贵州兴义农村商业银行绿色信贷管理办法的通知</w:t>
            </w:r>
            <w:r>
              <w:rPr>
                <w:rFonts w:ascii="Times New Roman" w:hAnsi="Times New Roman" w:eastAsiaTheme="minorEastAsia"/>
                <w:sz w:val="21"/>
                <w:szCs w:val="21"/>
              </w:rPr>
              <w:t>》（</w:t>
            </w:r>
            <w:r>
              <w:rPr>
                <w:rFonts w:hint="eastAsia" w:ascii="Times New Roman" w:hAnsi="Times New Roman" w:eastAsiaTheme="minorEastAsia"/>
                <w:sz w:val="21"/>
                <w:szCs w:val="21"/>
              </w:rPr>
              <w:t>兴农商银发〔202</w:t>
            </w:r>
            <w:r>
              <w:rPr>
                <w:rFonts w:hint="eastAsia" w:ascii="Times New Roman" w:hAnsi="Times New Roman"/>
                <w:sz w:val="21"/>
                <w:szCs w:val="21"/>
                <w:lang w:val="en-US" w:eastAsia="zh-CN"/>
              </w:rPr>
              <w:t>1</w:t>
            </w:r>
            <w:r>
              <w:rPr>
                <w:rFonts w:hint="eastAsia" w:ascii="Times New Roman" w:hAnsi="Times New Roman" w:eastAsiaTheme="minorEastAsia"/>
                <w:sz w:val="21"/>
                <w:szCs w:val="21"/>
              </w:rPr>
              <w:t>〕</w:t>
            </w:r>
            <w:r>
              <w:rPr>
                <w:rFonts w:hint="eastAsia" w:ascii="Times New Roman" w:hAnsi="Times New Roman"/>
                <w:sz w:val="21"/>
                <w:szCs w:val="21"/>
                <w:lang w:val="en-US" w:eastAsia="zh-CN"/>
              </w:rPr>
              <w:t>303</w:t>
            </w:r>
            <w:r>
              <w:rPr>
                <w:rFonts w:hint="eastAsia" w:ascii="Times New Roman" w:hAnsi="Times New Roman" w:eastAsiaTheme="minorEastAsia"/>
                <w:sz w:val="21"/>
                <w:szCs w:val="21"/>
              </w:rPr>
              <w:t>号</w:t>
            </w:r>
            <w:r>
              <w:rPr>
                <w:rFonts w:ascii="Times New Roman" w:hAnsi="Times New Roman"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9"/>
              <w:widowControl/>
              <w:spacing w:before="0" w:beforeAutospacing="0" w:after="0" w:afterAutospacing="0"/>
              <w:jc w:val="both"/>
              <w:rPr>
                <w:rFonts w:ascii="Times New Roman" w:hAnsi="Times New Roman" w:eastAsiaTheme="minorEastAsia"/>
                <w:sz w:val="21"/>
                <w:szCs w:val="21"/>
              </w:rPr>
            </w:pPr>
            <w:r>
              <w:rPr>
                <w:rFonts w:ascii="Times New Roman" w:hAnsi="Times New Roman" w:eastAsiaTheme="minorEastAsia"/>
                <w:sz w:val="21"/>
                <w:szCs w:val="21"/>
              </w:rPr>
              <w:t>3</w:t>
            </w:r>
          </w:p>
        </w:tc>
        <w:tc>
          <w:tcPr>
            <w:tcW w:w="7823" w:type="dxa"/>
          </w:tcPr>
          <w:p>
            <w:pPr>
              <w:pStyle w:val="9"/>
              <w:widowControl/>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w:t>
            </w:r>
            <w:r>
              <w:rPr>
                <w:rFonts w:hint="eastAsia" w:ascii="Times New Roman" w:hAnsi="Times New Roman" w:eastAsiaTheme="minorEastAsia"/>
                <w:sz w:val="21"/>
                <w:szCs w:val="21"/>
              </w:rPr>
              <w:t>兴义农商银行关于印发贵州兴义农村商业银行2022年绿色信贷投放政策指引的通知</w:t>
            </w:r>
            <w:r>
              <w:rPr>
                <w:rFonts w:ascii="Times New Roman" w:hAnsi="Times New Roman" w:eastAsiaTheme="minorEastAsia"/>
                <w:sz w:val="21"/>
                <w:szCs w:val="21"/>
              </w:rPr>
              <w:t>》</w:t>
            </w:r>
            <w:r>
              <w:rPr>
                <w:rFonts w:hint="eastAsia" w:ascii="Times New Roman" w:hAnsi="Times New Roman" w:eastAsiaTheme="minorEastAsia"/>
                <w:sz w:val="21"/>
                <w:szCs w:val="21"/>
              </w:rPr>
              <w:t>（兴农商银发〔2021〕371号）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Align w:val="center"/>
          </w:tcPr>
          <w:p>
            <w:pPr>
              <w:pStyle w:val="9"/>
              <w:widowControl/>
              <w:spacing w:before="0" w:beforeAutospacing="0" w:after="0" w:afterAutospacing="0"/>
              <w:jc w:val="both"/>
              <w:rPr>
                <w:rFonts w:ascii="Times New Roman" w:hAnsi="Times New Roman" w:eastAsiaTheme="minorEastAsia"/>
                <w:sz w:val="21"/>
                <w:szCs w:val="21"/>
              </w:rPr>
            </w:pPr>
            <w:r>
              <w:rPr>
                <w:rFonts w:hint="eastAsia" w:ascii="Times New Roman" w:hAnsi="Times New Roman" w:eastAsiaTheme="minorEastAsia"/>
                <w:sz w:val="21"/>
                <w:szCs w:val="21"/>
              </w:rPr>
              <w:t>4</w:t>
            </w:r>
          </w:p>
        </w:tc>
        <w:tc>
          <w:tcPr>
            <w:tcW w:w="7823" w:type="dxa"/>
          </w:tcPr>
          <w:p>
            <w:pPr>
              <w:pStyle w:val="9"/>
              <w:widowControl/>
              <w:spacing w:before="0" w:beforeAutospacing="0" w:after="0" w:afterAutospacing="0"/>
              <w:rPr>
                <w:rFonts w:ascii="Times New Roman" w:hAnsi="Times New Roman" w:eastAsiaTheme="minorEastAsia"/>
                <w:sz w:val="21"/>
                <w:szCs w:val="21"/>
              </w:rPr>
            </w:pPr>
            <w:r>
              <w:rPr>
                <w:rFonts w:ascii="Times New Roman" w:hAnsi="Times New Roman" w:eastAsiaTheme="minorEastAsia"/>
                <w:sz w:val="21"/>
                <w:szCs w:val="21"/>
              </w:rPr>
              <w:t>《</w:t>
            </w:r>
            <w:r>
              <w:rPr>
                <w:rFonts w:hint="eastAsia" w:ascii="Times New Roman" w:hAnsi="Times New Roman" w:eastAsiaTheme="minorEastAsia"/>
                <w:sz w:val="21"/>
                <w:szCs w:val="21"/>
              </w:rPr>
              <w:t>兴义农商银行关于印发2022年金融服务创新年活动工作方案的通知</w:t>
            </w:r>
            <w:r>
              <w:rPr>
                <w:rFonts w:ascii="Times New Roman" w:hAnsi="Times New Roman" w:eastAsiaTheme="minorEastAsia"/>
                <w:sz w:val="21"/>
                <w:szCs w:val="21"/>
              </w:rPr>
              <w:t>》（</w:t>
            </w:r>
            <w:r>
              <w:rPr>
                <w:rFonts w:hint="eastAsia" w:ascii="Times New Roman" w:hAnsi="Times New Roman" w:eastAsiaTheme="minorEastAsia"/>
                <w:sz w:val="21"/>
                <w:szCs w:val="21"/>
              </w:rPr>
              <w:t>兴农商银发〔2022〕104号</w:t>
            </w:r>
            <w:r>
              <w:rPr>
                <w:rFonts w:ascii="Times New Roman" w:hAnsi="Times New Roman" w:eastAsiaTheme="minorEastAsia"/>
                <w:sz w:val="21"/>
                <w:szCs w:val="21"/>
              </w:rPr>
              <w:t>）</w:t>
            </w:r>
          </w:p>
        </w:tc>
      </w:tr>
    </w:tbl>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Times New Roman" w:hAnsi="Times New Roman" w:eastAsia="仿宋_GB2312"/>
          <w:sz w:val="32"/>
          <w:szCs w:val="32"/>
          <w:highlight w:val="none"/>
        </w:rPr>
        <w:t>通过印发上述文件，</w:t>
      </w:r>
      <w:r>
        <w:rPr>
          <w:rFonts w:hint="eastAsia" w:ascii="仿宋_GB2312" w:eastAsia="仿宋_GB2312"/>
          <w:color w:val="auto"/>
          <w:sz w:val="32"/>
          <w:szCs w:val="32"/>
          <w:lang w:eastAsia="zh-CN"/>
        </w:rPr>
        <w:t>以绿色发展理念为引领，</w:t>
      </w:r>
      <w:r>
        <w:rPr>
          <w:rFonts w:hint="eastAsia" w:ascii="仿宋_GB2312" w:hAnsi="仿宋_GB2312" w:eastAsia="仿宋_GB2312" w:cs="仿宋_GB2312"/>
          <w:color w:val="auto"/>
          <w:sz w:val="32"/>
          <w:szCs w:val="32"/>
          <w:lang w:val="en-US" w:eastAsia="zh-CN"/>
        </w:rPr>
        <w:t>明确通过加大对绿色经济、低碳经济、循环经济支持，贯彻落实好国家环境保护、节能减排等宏观调控政策；明确对</w:t>
      </w:r>
      <w:r>
        <w:rPr>
          <w:rFonts w:hint="eastAsia" w:ascii="仿宋_GB2312" w:hAnsi="仿宋_GB2312" w:eastAsia="仿宋_GB2312" w:cs="仿宋_GB2312"/>
          <w:color w:val="auto"/>
          <w:kern w:val="2"/>
          <w:sz w:val="32"/>
          <w:szCs w:val="32"/>
          <w:lang w:val="en-US" w:eastAsia="zh-CN" w:bidi="ar-SA"/>
        </w:rPr>
        <w:t>绿色信贷重点领域的投向，具体为</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1.加大绿色农业投入。包括绿色有机农业、绿色渔业、林下种植和林下养殖、植树种草及林木种苗花卉、森林康养产业、美丽乡村、获得绿色食品、有机食品证书的产品生产等项目。</w:t>
      </w:r>
    </w:p>
    <w:p>
      <w:pPr>
        <w:pStyle w:val="1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2.加大园林绿化投入。包括公园绿地建设、道路绿化建设、区域绿化建设、绿化建设等。</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3.加大环境基础设施投入。包括污水处理、污泥处理、生活垃圾处理、污水管道疏浚、维修等。</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4.加大新能源汽车的销售和使用投入。包括个人或企业购置新能源车或清洁能源汽车，购置或租赁绿色交通装备、设施、产品制造等。 </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3.2政策</w:t>
      </w:r>
      <w:r>
        <w:rPr>
          <w:rFonts w:hint="eastAsia" w:ascii="楷体_GB2312" w:hAnsi="楷体_GB2312" w:eastAsia="楷体_GB2312" w:cs="楷体_GB2312"/>
          <w:color w:val="auto"/>
          <w:sz w:val="32"/>
          <w:szCs w:val="32"/>
        </w:rPr>
        <w:t>贯彻落实</w:t>
      </w:r>
      <w:r>
        <w:rPr>
          <w:rFonts w:hint="eastAsia" w:ascii="楷体_GB2312" w:hAnsi="楷体_GB2312" w:eastAsia="楷体_GB2312" w:cs="楷体_GB2312"/>
          <w:color w:val="auto"/>
          <w:sz w:val="32"/>
          <w:szCs w:val="32"/>
          <w:lang w:val="en-US" w:eastAsia="zh-CN"/>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1.科学分类，实施差异管理</w:t>
      </w:r>
    </w:p>
    <w:p>
      <w:pPr>
        <w:pStyle w:val="2"/>
        <w:keepNext w:val="0"/>
        <w:keepLines w:val="0"/>
        <w:pageBreakBefore w:val="0"/>
        <w:kinsoku/>
        <w:wordWrap/>
        <w:overflowPunct/>
        <w:topLinePunct w:val="0"/>
        <w:bidi w:val="0"/>
        <w:snapToGrid/>
        <w:spacing w:line="56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根据国家环保法律法规、产业政策、区域环境、市场定位、风控水平等，围绕乡村振兴、大数据、大生态、大文旅、大健康、新能源、新材料、生态农业、节能环保、低碳减排等绿色产业，引导信贷资金投向绿色环保领域，加大对绿色经济、低碳经济、循环经济的支持，推进建设可持续发展的资源节约型、环境友好型社会。全行在信贷准入方面，加入对客户所属环境和社会风险性质进行分析评估，对有违法违规、污染严重、社会负面影响较大等情况的客群，严禁准入授信，审慎准入高耗能、高污染和过剩产能等行业，对因环境因素影响导致有潜在风险客群，实行有针对性贷后管理措施；在国家产业政策、行业政策、环保政策等作出调整影响客户生产经营时，及时调整该类客群贷款风险分类，加强贷后风险预警。</w:t>
      </w:r>
    </w:p>
    <w:p>
      <w:pPr>
        <w:pStyle w:val="16"/>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outlineLvl w:val="9"/>
        <w:rPr>
          <w:rFonts w:hint="eastAsia" w:ascii="仿宋_GB2312" w:eastAsia="仿宋_GB2312"/>
          <w:b/>
          <w:bCs/>
          <w:color w:val="auto"/>
          <w:sz w:val="32"/>
          <w:szCs w:val="32"/>
          <w:lang w:eastAsia="zh-CN"/>
        </w:rPr>
      </w:pP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rPr>
        <w:t>做好去产能金融服务</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b/>
          <w:bCs/>
          <w:color w:val="auto"/>
          <w:sz w:val="32"/>
          <w:szCs w:val="32"/>
          <w:lang w:eastAsia="zh-CN"/>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对煤炭、钢铁、电解铝、水泥、化工等产能严重过剩行业未取得合法手续的新增产能建设项目，不</w:t>
      </w:r>
      <w:r>
        <w:rPr>
          <w:rFonts w:hint="eastAsia" w:ascii="仿宋_GB2312" w:eastAsia="仿宋_GB2312"/>
          <w:color w:val="auto"/>
          <w:sz w:val="32"/>
          <w:szCs w:val="32"/>
          <w:lang w:val="en-US" w:eastAsia="zh-CN"/>
        </w:rPr>
        <w:t>给予</w:t>
      </w:r>
      <w:r>
        <w:rPr>
          <w:rFonts w:hint="eastAsia" w:ascii="仿宋_GB2312" w:eastAsia="仿宋_GB2312"/>
          <w:color w:val="auto"/>
          <w:sz w:val="32"/>
          <w:szCs w:val="32"/>
        </w:rPr>
        <w:t>新增授信。</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color w:val="auto"/>
          <w:sz w:val="32"/>
          <w:szCs w:val="32"/>
        </w:rPr>
      </w:pPr>
      <w:r>
        <w:rPr>
          <w:rFonts w:hint="eastAsia" w:ascii="仿宋_GB2312" w:eastAsia="仿宋_GB2312"/>
          <w:bCs/>
          <w:color w:val="auto"/>
          <w:sz w:val="32"/>
          <w:szCs w:val="32"/>
          <w:lang w:eastAsia="zh-CN"/>
        </w:rPr>
        <w:t>（</w:t>
      </w:r>
      <w:r>
        <w:rPr>
          <w:rFonts w:hint="eastAsia" w:ascii="仿宋_GB2312" w:eastAsia="仿宋_GB2312"/>
          <w:bCs/>
          <w:color w:val="auto"/>
          <w:sz w:val="32"/>
          <w:szCs w:val="32"/>
          <w:lang w:val="en-US" w:eastAsia="zh-CN"/>
        </w:rPr>
        <w:t>2</w:t>
      </w:r>
      <w:r>
        <w:rPr>
          <w:rFonts w:hint="eastAsia" w:ascii="仿宋_GB2312" w:eastAsia="仿宋_GB2312"/>
          <w:bCs/>
          <w:color w:val="auto"/>
          <w:sz w:val="32"/>
          <w:szCs w:val="32"/>
          <w:lang w:eastAsia="zh-CN"/>
        </w:rPr>
        <w:t>）</w:t>
      </w:r>
      <w:r>
        <w:rPr>
          <w:rFonts w:hint="eastAsia" w:ascii="仿宋_GB2312" w:eastAsia="仿宋_GB2312"/>
          <w:color w:val="auto"/>
          <w:sz w:val="32"/>
          <w:szCs w:val="32"/>
        </w:rPr>
        <w:t>对环保、安全生产不达标且整改无望的企业及落后产能，制定压缩计划，稳步退出</w:t>
      </w:r>
      <w:r>
        <w:rPr>
          <w:rFonts w:hint="eastAsia" w:ascii="仿宋_GB2312" w:eastAsia="仿宋_GB2312"/>
          <w:color w:val="auto"/>
          <w:sz w:val="32"/>
          <w:szCs w:val="32"/>
          <w:lang w:eastAsia="zh-CN"/>
        </w:rPr>
        <w:t>，</w:t>
      </w:r>
      <w:r>
        <w:rPr>
          <w:rFonts w:hint="eastAsia" w:ascii="仿宋_GB2312" w:eastAsia="仿宋_GB2312"/>
          <w:color w:val="auto"/>
          <w:sz w:val="32"/>
          <w:szCs w:val="32"/>
          <w:lang w:eastAsia="zh-CN" w:bidi="en-US"/>
        </w:rPr>
        <w:t>促进企业保持合理负债水平，防止再次形成新的过剩产能</w:t>
      </w:r>
      <w:r>
        <w:rPr>
          <w:rFonts w:hint="eastAsia" w:ascii="仿宋_GB2312" w:eastAsia="仿宋_GB2312"/>
          <w:color w:val="auto"/>
          <w:sz w:val="32"/>
          <w:szCs w:val="32"/>
        </w:rPr>
        <w:t>。</w:t>
      </w:r>
    </w:p>
    <w:p>
      <w:pPr>
        <w:pStyle w:val="16"/>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color w:val="auto"/>
        </w:rPr>
      </w:pPr>
      <w:r>
        <w:rPr>
          <w:rFonts w:hint="eastAsia" w:ascii="仿宋_GB2312" w:eastAsia="仿宋_GB2312"/>
          <w:b w:val="0"/>
          <w:bCs/>
          <w:color w:val="auto"/>
          <w:sz w:val="32"/>
          <w:szCs w:val="32"/>
          <w:lang w:eastAsia="zh-CN"/>
        </w:rPr>
        <w:t>（</w:t>
      </w:r>
      <w:r>
        <w:rPr>
          <w:rFonts w:hint="eastAsia" w:ascii="仿宋_GB2312" w:eastAsia="仿宋_GB2312"/>
          <w:b w:val="0"/>
          <w:bCs/>
          <w:color w:val="auto"/>
          <w:sz w:val="32"/>
          <w:szCs w:val="32"/>
          <w:lang w:val="en-US" w:eastAsia="zh-CN"/>
        </w:rPr>
        <w:t>3</w:t>
      </w:r>
      <w:r>
        <w:rPr>
          <w:rFonts w:hint="eastAsia" w:ascii="仿宋_GB2312" w:eastAsia="仿宋_GB2312"/>
          <w:b w:val="0"/>
          <w:bCs/>
          <w:color w:val="auto"/>
          <w:sz w:val="32"/>
          <w:szCs w:val="32"/>
          <w:lang w:eastAsia="zh-CN"/>
        </w:rPr>
        <w:t>）</w:t>
      </w:r>
      <w:r>
        <w:rPr>
          <w:rFonts w:hint="eastAsia" w:ascii="仿宋_GB2312" w:eastAsia="仿宋_GB2312"/>
          <w:color w:val="auto"/>
          <w:sz w:val="32"/>
          <w:szCs w:val="32"/>
        </w:rPr>
        <w:t>稳妥处置“僵尸企业”债务问题</w:t>
      </w:r>
      <w:r>
        <w:rPr>
          <w:rFonts w:hint="eastAsia" w:ascii="仿宋_GB2312" w:eastAsia="仿宋_GB2312"/>
          <w:color w:val="auto"/>
          <w:sz w:val="32"/>
          <w:szCs w:val="32"/>
          <w:lang w:eastAsia="zh-CN"/>
        </w:rPr>
        <w:t>。</w:t>
      </w:r>
      <w:r>
        <w:rPr>
          <w:rFonts w:hint="eastAsia" w:ascii="仿宋_GB2312" w:eastAsia="仿宋_GB2312"/>
          <w:color w:val="auto"/>
          <w:sz w:val="32"/>
          <w:szCs w:val="32"/>
        </w:rPr>
        <w:t>对长期亏损、失去清偿能力和市场竞争力的“僵尸企业”，依据市场化、法治化原则，通过破产重</w:t>
      </w:r>
      <w:r>
        <w:rPr>
          <w:rFonts w:hint="eastAsia" w:ascii="仿宋_GB2312" w:eastAsia="仿宋_GB2312"/>
          <w:color w:val="auto"/>
          <w:sz w:val="32"/>
          <w:szCs w:val="32"/>
          <w:lang w:eastAsia="zh-CN"/>
        </w:rPr>
        <w:t>组、</w:t>
      </w:r>
      <w:r>
        <w:rPr>
          <w:rFonts w:hint="eastAsia" w:ascii="仿宋_GB2312" w:eastAsia="仿宋_GB2312"/>
          <w:color w:val="auto"/>
          <w:sz w:val="32"/>
          <w:szCs w:val="32"/>
        </w:rPr>
        <w:t>债务重组</w:t>
      </w:r>
      <w:r>
        <w:rPr>
          <w:rFonts w:hint="eastAsia" w:ascii="仿宋_GB2312" w:eastAsia="仿宋_GB2312"/>
          <w:color w:val="auto"/>
          <w:sz w:val="32"/>
          <w:szCs w:val="32"/>
          <w:lang w:eastAsia="zh-CN"/>
        </w:rPr>
        <w:t>、</w:t>
      </w:r>
      <w:r>
        <w:rPr>
          <w:rFonts w:hint="eastAsia" w:ascii="仿宋_GB2312" w:eastAsia="仿宋_GB2312"/>
          <w:color w:val="auto"/>
          <w:sz w:val="32"/>
          <w:szCs w:val="32"/>
        </w:rPr>
        <w:t>兼并重组</w:t>
      </w:r>
      <w:r>
        <w:rPr>
          <w:rFonts w:hint="eastAsia" w:ascii="仿宋_GB2312" w:eastAsia="仿宋_GB2312"/>
          <w:color w:val="auto"/>
          <w:sz w:val="32"/>
          <w:szCs w:val="32"/>
          <w:lang w:eastAsia="zh-CN"/>
        </w:rPr>
        <w:t>、</w:t>
      </w:r>
      <w:r>
        <w:rPr>
          <w:rFonts w:hint="eastAsia" w:ascii="仿宋_GB2312" w:eastAsia="仿宋_GB2312"/>
          <w:color w:val="auto"/>
          <w:sz w:val="32"/>
          <w:szCs w:val="32"/>
        </w:rPr>
        <w:t>破产清算等多种方式</w:t>
      </w:r>
      <w:r>
        <w:rPr>
          <w:rFonts w:hint="eastAsia" w:ascii="仿宋_GB2312" w:eastAsia="仿宋_GB2312"/>
          <w:color w:val="auto"/>
          <w:sz w:val="32"/>
          <w:szCs w:val="32"/>
          <w:lang w:eastAsia="zh-CN"/>
        </w:rPr>
        <w:t>，</w:t>
      </w:r>
      <w:r>
        <w:rPr>
          <w:rFonts w:hint="eastAsia" w:ascii="仿宋_GB2312" w:eastAsia="仿宋_GB2312"/>
          <w:color w:val="auto"/>
          <w:sz w:val="32"/>
          <w:szCs w:val="32"/>
        </w:rPr>
        <w:t>分类施策妥善处置企业债务问题</w:t>
      </w:r>
      <w:r>
        <w:rPr>
          <w:rFonts w:hint="eastAsia" w:ascii="仿宋_GB2312" w:eastAsia="仿宋_GB2312"/>
          <w:color w:val="auto"/>
          <w:sz w:val="32"/>
          <w:szCs w:val="32"/>
          <w:lang w:eastAsia="zh-CN"/>
        </w:rPr>
        <w:t>，避免发生“处置风险</w:t>
      </w:r>
      <w:r>
        <w:rPr>
          <w:rFonts w:hint="eastAsia" w:ascii="仿宋_GB2312" w:eastAsia="仿宋_GB2312"/>
          <w:color w:val="auto"/>
          <w:sz w:val="32"/>
          <w:szCs w:val="32"/>
          <w:lang w:val="en-US" w:eastAsia="zh-CN"/>
        </w:rPr>
        <w:t>的风险</w:t>
      </w:r>
      <w:r>
        <w:rPr>
          <w:rFonts w:hint="eastAsia" w:ascii="仿宋_GB2312" w:eastAsia="仿宋_GB2312"/>
          <w:color w:val="auto"/>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olor w:val="auto"/>
          <w:sz w:val="32"/>
          <w:szCs w:val="32"/>
        </w:rPr>
      </w:pPr>
      <w:r>
        <w:rPr>
          <w:rFonts w:hint="eastAsia" w:ascii="黑体" w:hAnsi="黑体" w:eastAsia="黑体"/>
          <w:color w:val="auto"/>
          <w:sz w:val="32"/>
          <w:szCs w:val="32"/>
          <w:lang w:val="en-US" w:eastAsia="zh-CN"/>
        </w:rPr>
        <w:t>4.</w:t>
      </w:r>
      <w:r>
        <w:rPr>
          <w:rFonts w:hint="eastAsia" w:ascii="黑体" w:hAnsi="黑体" w:eastAsia="黑体"/>
          <w:color w:val="auto"/>
          <w:sz w:val="32"/>
          <w:szCs w:val="32"/>
        </w:rPr>
        <w:t>环境相关产品与创新</w:t>
      </w:r>
    </w:p>
    <w:p>
      <w:pPr>
        <w:keepNext w:val="0"/>
        <w:keepLines w:val="0"/>
        <w:pageBreakBefore w:val="0"/>
        <w:kinsoku/>
        <w:wordWrap/>
        <w:overflowPunct/>
        <w:topLinePunct w:val="0"/>
        <w:bidi w:val="0"/>
        <w:snapToGrid/>
        <w:spacing w:line="560" w:lineRule="exact"/>
        <w:ind w:firstLine="624" w:firstLineChars="200"/>
        <w:textAlignment w:val="auto"/>
        <w:rPr>
          <w:rFonts w:ascii="楷体_GB2312" w:hAnsi="楷体_GB2312" w:eastAsia="楷体_GB2312" w:cs="楷体_GB2312"/>
          <w:color w:val="auto"/>
          <w:spacing w:val="-4"/>
          <w:sz w:val="32"/>
          <w:szCs w:val="32"/>
          <w:shd w:val="clear" w:color="auto" w:fill="FFFFFF"/>
        </w:rPr>
      </w:pPr>
      <w:r>
        <w:rPr>
          <w:rFonts w:hint="eastAsia" w:ascii="楷体_GB2312" w:hAnsi="楷体_GB2312" w:eastAsia="楷体_GB2312" w:cs="楷体_GB2312"/>
          <w:color w:val="auto"/>
          <w:spacing w:val="-4"/>
          <w:sz w:val="32"/>
          <w:szCs w:val="32"/>
          <w:shd w:val="clear" w:color="auto" w:fill="FFFFFF"/>
          <w:lang w:val="en-US" w:eastAsia="zh-CN"/>
        </w:rPr>
        <w:t>4.1</w:t>
      </w:r>
      <w:r>
        <w:rPr>
          <w:rFonts w:ascii="楷体_GB2312" w:hAnsi="楷体_GB2312" w:eastAsia="楷体_GB2312" w:cs="楷体_GB2312"/>
          <w:color w:val="auto"/>
          <w:spacing w:val="-4"/>
          <w:sz w:val="32"/>
          <w:szCs w:val="32"/>
          <w:shd w:val="clear" w:color="auto" w:fill="FFFFFF"/>
        </w:rPr>
        <w:t>调结构，加大绿色信贷投放力度</w:t>
      </w:r>
    </w:p>
    <w:p>
      <w:pPr>
        <w:keepNext w:val="0"/>
        <w:keepLines w:val="0"/>
        <w:pageBreakBefore w:val="0"/>
        <w:kinsoku/>
        <w:wordWrap/>
        <w:overflowPunct/>
        <w:topLinePunct w:val="0"/>
        <w:bidi w:val="0"/>
        <w:snapToGrid/>
        <w:spacing w:line="560" w:lineRule="exact"/>
        <w:ind w:firstLine="640" w:firstLineChars="200"/>
        <w:textAlignment w:val="auto"/>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rPr>
        <w:t>作为服务地方经济社会发展</w:t>
      </w:r>
      <w:r>
        <w:rPr>
          <w:rFonts w:hint="eastAsia" w:ascii="仿宋_GB2312" w:hAnsi="仿宋_GB2312" w:eastAsia="仿宋_GB2312" w:cs="仿宋_GB2312"/>
          <w:color w:val="auto"/>
          <w:sz w:val="32"/>
          <w:szCs w:val="32"/>
          <w:lang w:val="en-US" w:eastAsia="zh-CN"/>
        </w:rPr>
        <w:t>的</w:t>
      </w:r>
      <w:r>
        <w:rPr>
          <w:rFonts w:ascii="仿宋_GB2312" w:hAnsi="仿宋_GB2312" w:eastAsia="仿宋_GB2312" w:cs="仿宋_GB2312"/>
          <w:color w:val="auto"/>
          <w:sz w:val="32"/>
          <w:szCs w:val="32"/>
        </w:rPr>
        <w:t>金融主力军，近年来，结合市场</w:t>
      </w:r>
      <w:r>
        <w:rPr>
          <w:rFonts w:hint="eastAsia" w:ascii="仿宋_GB2312" w:hAnsi="仿宋_GB2312" w:eastAsia="仿宋_GB2312" w:cs="仿宋_GB2312"/>
          <w:color w:val="auto"/>
          <w:sz w:val="32"/>
          <w:szCs w:val="32"/>
          <w:lang w:val="en-US" w:eastAsia="zh-CN"/>
        </w:rPr>
        <w:t>和</w:t>
      </w:r>
      <w:r>
        <w:rPr>
          <w:rFonts w:ascii="仿宋_GB2312" w:hAnsi="仿宋_GB2312" w:eastAsia="仿宋_GB2312" w:cs="仿宋_GB2312"/>
          <w:color w:val="auto"/>
          <w:sz w:val="32"/>
          <w:szCs w:val="32"/>
        </w:rPr>
        <w:t>地方经济发展需要，为更好支持绿色产业发展，</w:t>
      </w:r>
      <w:r>
        <w:rPr>
          <w:rFonts w:hint="eastAsia" w:ascii="仿宋_GB2312" w:hAnsi="仿宋_GB2312" w:eastAsia="仿宋_GB2312" w:cs="仿宋_GB2312"/>
          <w:color w:val="auto"/>
          <w:sz w:val="32"/>
          <w:szCs w:val="32"/>
          <w:lang w:val="en-US" w:eastAsia="zh-CN"/>
        </w:rPr>
        <w:t>本</w:t>
      </w:r>
      <w:r>
        <w:rPr>
          <w:rFonts w:ascii="仿宋_GB2312" w:hAnsi="仿宋_GB2312" w:eastAsia="仿宋_GB2312" w:cs="仿宋_GB2312"/>
          <w:color w:val="auto"/>
          <w:sz w:val="32"/>
          <w:szCs w:val="32"/>
        </w:rPr>
        <w:t>行专门制定印发了《贵州兴义农村商业银行2022年绿色信贷投放政策指引》、《兴义农商银行2022年金融服务创新年活动工作方案》，明确以绿色发展理念为引领，加大绿色信贷有效投入，积极支持污染防治、资源节约与循环利用、清洁交通、清洁能源、生态农业、生态保护等领域的绿色企业项目发展。积极支持工业转型升级，合理调整信贷投向，加大对新能源等战略性新兴产业、传统产业技术改造</w:t>
      </w:r>
      <w:r>
        <w:rPr>
          <w:rFonts w:hint="eastAsia" w:ascii="仿宋_GB2312" w:hAnsi="仿宋_GB2312" w:eastAsia="仿宋_GB2312" w:cs="仿宋_GB2312"/>
          <w:color w:val="auto"/>
          <w:sz w:val="32"/>
          <w:szCs w:val="32"/>
          <w:lang w:val="en-US" w:eastAsia="zh-CN"/>
        </w:rPr>
        <w:t>及</w:t>
      </w:r>
      <w:r>
        <w:rPr>
          <w:rFonts w:ascii="仿宋_GB2312" w:hAnsi="仿宋_GB2312" w:eastAsia="仿宋_GB2312" w:cs="仿宋_GB2312"/>
          <w:color w:val="auto"/>
          <w:sz w:val="32"/>
          <w:szCs w:val="32"/>
        </w:rPr>
        <w:t>转型升级的支持力度。</w:t>
      </w:r>
    </w:p>
    <w:p>
      <w:pPr>
        <w:keepNext w:val="0"/>
        <w:keepLines w:val="0"/>
        <w:pageBreakBefore w:val="0"/>
        <w:kinsoku/>
        <w:wordWrap/>
        <w:overflowPunct/>
        <w:topLinePunct w:val="0"/>
        <w:bidi w:val="0"/>
        <w:snapToGrid/>
        <w:spacing w:line="560" w:lineRule="exact"/>
        <w:ind w:firstLine="624" w:firstLineChars="200"/>
        <w:textAlignment w:val="auto"/>
        <w:rPr>
          <w:rFonts w:ascii="楷体_GB2312" w:hAnsi="楷体_GB2312" w:eastAsia="楷体_GB2312" w:cs="楷体_GB2312"/>
          <w:color w:val="auto"/>
          <w:spacing w:val="-4"/>
          <w:sz w:val="32"/>
          <w:szCs w:val="32"/>
          <w:shd w:val="clear" w:color="auto" w:fill="FFFFFF"/>
        </w:rPr>
      </w:pPr>
      <w:r>
        <w:rPr>
          <w:rFonts w:hint="eastAsia" w:ascii="楷体_GB2312" w:hAnsi="楷体_GB2312" w:eastAsia="楷体_GB2312" w:cs="楷体_GB2312"/>
          <w:color w:val="auto"/>
          <w:spacing w:val="-4"/>
          <w:sz w:val="32"/>
          <w:szCs w:val="32"/>
          <w:shd w:val="clear" w:color="auto" w:fill="FFFFFF"/>
          <w:lang w:val="en-US" w:eastAsia="zh-CN"/>
        </w:rPr>
        <w:t>4.2</w:t>
      </w:r>
      <w:r>
        <w:rPr>
          <w:rFonts w:ascii="楷体_GB2312" w:hAnsi="楷体_GB2312" w:eastAsia="楷体_GB2312" w:cs="楷体_GB2312"/>
          <w:color w:val="auto"/>
          <w:spacing w:val="-4"/>
          <w:sz w:val="32"/>
          <w:szCs w:val="32"/>
          <w:shd w:val="clear" w:color="auto" w:fill="FFFFFF"/>
        </w:rPr>
        <w:t>创产品，加大绿色信贷产品创新</w:t>
      </w:r>
    </w:p>
    <w:p>
      <w:pPr>
        <w:keepNext w:val="0"/>
        <w:keepLines w:val="0"/>
        <w:pageBreakBefore w:val="0"/>
        <w:kinsoku/>
        <w:wordWrap/>
        <w:overflowPunct/>
        <w:topLinePunct w:val="0"/>
        <w:bidi w:val="0"/>
        <w:snapToGrid/>
        <w:spacing w:line="560" w:lineRule="exact"/>
        <w:ind w:firstLine="624" w:firstLineChars="200"/>
        <w:textAlignment w:val="auto"/>
        <w:rPr>
          <w:rFonts w:hint="default" w:ascii="仿宋_GB2312" w:hAnsi="仿宋_GB2312" w:eastAsia="仿宋_GB2312" w:cs="仿宋_GB2312"/>
          <w:color w:val="auto"/>
          <w:spacing w:val="-4"/>
          <w:sz w:val="32"/>
          <w:szCs w:val="32"/>
          <w:shd w:val="clear" w:color="auto" w:fill="FFFFFF"/>
        </w:rPr>
      </w:pPr>
      <w:r>
        <w:rPr>
          <w:rFonts w:ascii="仿宋_GB2312" w:hAnsi="仿宋_GB2312" w:eastAsia="仿宋_GB2312" w:cs="仿宋_GB2312"/>
          <w:color w:val="auto"/>
          <w:spacing w:val="-4"/>
          <w:sz w:val="32"/>
          <w:szCs w:val="32"/>
          <w:shd w:val="clear" w:color="auto" w:fill="FFFFFF"/>
        </w:rPr>
        <w:t>加强信贷产品创新，满足客户需求。受地域及行业发展影响，</w:t>
      </w:r>
      <w:r>
        <w:rPr>
          <w:rFonts w:hint="eastAsia" w:ascii="仿宋_GB2312" w:hAnsi="仿宋_GB2312" w:eastAsia="仿宋_GB2312" w:cs="仿宋_GB2312"/>
          <w:color w:val="auto"/>
          <w:spacing w:val="-4"/>
          <w:sz w:val="32"/>
          <w:szCs w:val="32"/>
          <w:shd w:val="clear" w:color="auto" w:fill="FFFFFF"/>
          <w:lang w:val="en-US" w:eastAsia="zh-CN"/>
        </w:rPr>
        <w:t>本</w:t>
      </w:r>
      <w:r>
        <w:rPr>
          <w:rFonts w:ascii="仿宋_GB2312" w:hAnsi="仿宋_GB2312" w:eastAsia="仿宋_GB2312" w:cs="仿宋_GB2312"/>
          <w:color w:val="auto"/>
          <w:spacing w:val="-4"/>
          <w:sz w:val="32"/>
          <w:szCs w:val="32"/>
          <w:shd w:val="clear" w:color="auto" w:fill="FFFFFF"/>
        </w:rPr>
        <w:t>行辖区内有信贷需求</w:t>
      </w:r>
      <w:r>
        <w:rPr>
          <w:rFonts w:hint="eastAsia" w:ascii="仿宋_GB2312" w:hAnsi="仿宋_GB2312" w:eastAsia="仿宋_GB2312" w:cs="仿宋_GB2312"/>
          <w:color w:val="auto"/>
          <w:spacing w:val="-4"/>
          <w:sz w:val="32"/>
          <w:szCs w:val="32"/>
          <w:shd w:val="clear" w:color="auto" w:fill="FFFFFF"/>
          <w:lang w:val="en-US" w:eastAsia="zh-CN"/>
        </w:rPr>
        <w:t>且</w:t>
      </w:r>
      <w:r>
        <w:rPr>
          <w:rFonts w:ascii="仿宋_GB2312" w:hAnsi="仿宋_GB2312" w:eastAsia="仿宋_GB2312" w:cs="仿宋_GB2312"/>
          <w:color w:val="auto"/>
          <w:spacing w:val="-4"/>
          <w:sz w:val="32"/>
          <w:szCs w:val="32"/>
          <w:shd w:val="clear" w:color="auto" w:fill="FFFFFF"/>
        </w:rPr>
        <w:t>符合绿色信贷标准企业数量较少，为做好绿色金融服务，2022年</w:t>
      </w:r>
      <w:r>
        <w:rPr>
          <w:rFonts w:hint="eastAsia" w:ascii="仿宋_GB2312" w:hAnsi="仿宋_GB2312" w:eastAsia="仿宋_GB2312" w:cs="仿宋_GB2312"/>
          <w:color w:val="auto"/>
          <w:spacing w:val="-4"/>
          <w:sz w:val="32"/>
          <w:szCs w:val="32"/>
          <w:shd w:val="clear" w:color="auto" w:fill="FFFFFF"/>
          <w:lang w:eastAsia="zh-CN"/>
        </w:rPr>
        <w:t>本行</w:t>
      </w:r>
      <w:r>
        <w:rPr>
          <w:rFonts w:ascii="仿宋_GB2312" w:hAnsi="仿宋_GB2312" w:eastAsia="仿宋_GB2312" w:cs="仿宋_GB2312"/>
          <w:color w:val="auto"/>
          <w:spacing w:val="-4"/>
          <w:sz w:val="32"/>
          <w:szCs w:val="32"/>
          <w:shd w:val="clear" w:color="auto" w:fill="FFFFFF"/>
        </w:rPr>
        <w:t>制定《贵州兴义农村商业银行“易贷通·绿车贷”新能源车按揭贷款管理办法(暂行）》，主要</w:t>
      </w:r>
      <w:r>
        <w:rPr>
          <w:rFonts w:hint="eastAsia" w:ascii="仿宋_GB2312" w:hAnsi="仿宋_GB2312" w:eastAsia="仿宋_GB2312" w:cs="仿宋_GB2312"/>
          <w:color w:val="auto"/>
          <w:spacing w:val="-4"/>
          <w:sz w:val="32"/>
          <w:szCs w:val="32"/>
          <w:shd w:val="clear" w:color="auto" w:fill="FFFFFF"/>
          <w:lang w:val="en-US" w:eastAsia="zh-CN"/>
        </w:rPr>
        <w:t>用途是</w:t>
      </w:r>
      <w:r>
        <w:rPr>
          <w:rFonts w:ascii="仿宋_GB2312" w:hAnsi="仿宋_GB2312" w:eastAsia="仿宋_GB2312" w:cs="仿宋_GB2312"/>
          <w:color w:val="auto"/>
          <w:spacing w:val="-4"/>
          <w:sz w:val="32"/>
          <w:szCs w:val="32"/>
          <w:shd w:val="clear" w:color="auto" w:fill="FFFFFF"/>
        </w:rPr>
        <w:t>向符合条件</w:t>
      </w:r>
      <w:r>
        <w:rPr>
          <w:rFonts w:hint="eastAsia" w:ascii="仿宋_GB2312" w:hAnsi="仿宋_GB2312" w:eastAsia="仿宋_GB2312" w:cs="仿宋_GB2312"/>
          <w:color w:val="auto"/>
          <w:spacing w:val="-4"/>
          <w:sz w:val="32"/>
          <w:szCs w:val="32"/>
          <w:shd w:val="clear" w:color="auto" w:fill="FFFFFF"/>
          <w:lang w:val="en-US" w:eastAsia="zh-CN"/>
        </w:rPr>
        <w:t>的</w:t>
      </w:r>
      <w:r>
        <w:rPr>
          <w:rFonts w:ascii="仿宋_GB2312" w:hAnsi="仿宋_GB2312" w:eastAsia="仿宋_GB2312" w:cs="仿宋_GB2312"/>
          <w:color w:val="auto"/>
          <w:spacing w:val="-4"/>
          <w:sz w:val="32"/>
          <w:szCs w:val="32"/>
          <w:shd w:val="clear" w:color="auto" w:fill="FFFFFF"/>
        </w:rPr>
        <w:t>自然人发放</w:t>
      </w:r>
      <w:r>
        <w:rPr>
          <w:rFonts w:hint="eastAsia" w:ascii="仿宋_GB2312" w:hAnsi="仿宋_GB2312" w:eastAsia="仿宋_GB2312" w:cs="仿宋_GB2312"/>
          <w:color w:val="auto"/>
          <w:spacing w:val="-4"/>
          <w:sz w:val="32"/>
          <w:szCs w:val="32"/>
          <w:shd w:val="clear" w:color="auto" w:fill="FFFFFF"/>
          <w:lang w:val="en-US" w:eastAsia="zh-CN"/>
        </w:rPr>
        <w:t>贷款</w:t>
      </w:r>
      <w:r>
        <w:rPr>
          <w:rFonts w:ascii="仿宋_GB2312" w:hAnsi="仿宋_GB2312" w:eastAsia="仿宋_GB2312" w:cs="仿宋_GB2312"/>
          <w:color w:val="auto"/>
          <w:spacing w:val="-4"/>
          <w:sz w:val="32"/>
          <w:szCs w:val="32"/>
          <w:shd w:val="clear" w:color="auto" w:fill="FFFFFF"/>
        </w:rPr>
        <w:t>用于购买新能源自用车</w:t>
      </w:r>
      <w:r>
        <w:rPr>
          <w:rFonts w:hint="eastAsia" w:ascii="仿宋_GB2312" w:hAnsi="仿宋_GB2312" w:eastAsia="仿宋_GB2312" w:cs="仿宋_GB2312"/>
          <w:color w:val="auto"/>
          <w:spacing w:val="-4"/>
          <w:sz w:val="32"/>
          <w:szCs w:val="32"/>
          <w:shd w:val="clear" w:color="auto" w:fill="FFFFFF"/>
          <w:lang w:val="en-US" w:eastAsia="zh-CN"/>
        </w:rPr>
        <w:t>或</w:t>
      </w:r>
      <w:r>
        <w:rPr>
          <w:rFonts w:ascii="仿宋_GB2312" w:hAnsi="仿宋_GB2312" w:eastAsia="仿宋_GB2312" w:cs="仿宋_GB2312"/>
          <w:color w:val="auto"/>
          <w:spacing w:val="-4"/>
          <w:sz w:val="32"/>
          <w:szCs w:val="32"/>
          <w:shd w:val="clear" w:color="auto" w:fill="FFFFFF"/>
        </w:rPr>
        <w:t>新能源商用车，贷款最高额度不超50万元，最长期限5年，贷款执行利率5.2%。</w:t>
      </w:r>
    </w:p>
    <w:p>
      <w:pPr>
        <w:keepNext w:val="0"/>
        <w:keepLines w:val="0"/>
        <w:pageBreakBefore w:val="0"/>
        <w:kinsoku/>
        <w:wordWrap/>
        <w:overflowPunct/>
        <w:topLinePunct w:val="0"/>
        <w:bidi w:val="0"/>
        <w:snapToGrid/>
        <w:spacing w:line="560" w:lineRule="exact"/>
        <w:ind w:firstLine="624" w:firstLineChars="200"/>
        <w:textAlignment w:val="auto"/>
        <w:rPr>
          <w:rFonts w:ascii="楷体_GB2312" w:hAnsi="楷体_GB2312" w:eastAsia="楷体_GB2312" w:cs="楷体_GB2312"/>
          <w:color w:val="auto"/>
          <w:spacing w:val="-4"/>
          <w:sz w:val="32"/>
          <w:szCs w:val="32"/>
          <w:shd w:val="clear" w:color="auto" w:fill="FFFFFF"/>
        </w:rPr>
      </w:pPr>
      <w:r>
        <w:rPr>
          <w:rFonts w:hint="eastAsia" w:ascii="楷体_GB2312" w:hAnsi="楷体_GB2312" w:eastAsia="楷体_GB2312" w:cs="楷体_GB2312"/>
          <w:color w:val="auto"/>
          <w:spacing w:val="-4"/>
          <w:sz w:val="32"/>
          <w:szCs w:val="32"/>
          <w:shd w:val="clear" w:color="auto" w:fill="FFFFFF"/>
          <w:lang w:val="en-US" w:eastAsia="zh-CN"/>
        </w:rPr>
        <w:t>4.3</w:t>
      </w:r>
      <w:r>
        <w:rPr>
          <w:rFonts w:ascii="楷体_GB2312" w:hAnsi="楷体_GB2312" w:eastAsia="楷体_GB2312" w:cs="楷体_GB2312"/>
          <w:color w:val="auto"/>
          <w:spacing w:val="-4"/>
          <w:sz w:val="32"/>
          <w:szCs w:val="32"/>
          <w:shd w:val="clear" w:color="auto" w:fill="FFFFFF"/>
        </w:rPr>
        <w:t>强考核，加大绿色信贷约束激励</w:t>
      </w:r>
    </w:p>
    <w:p>
      <w:pPr>
        <w:keepNext w:val="0"/>
        <w:keepLines w:val="0"/>
        <w:pageBreakBefore w:val="0"/>
        <w:kinsoku/>
        <w:wordWrap/>
        <w:overflowPunct/>
        <w:topLinePunct w:val="0"/>
        <w:bidi w:val="0"/>
        <w:snapToGrid/>
        <w:spacing w:line="560" w:lineRule="exact"/>
        <w:ind w:firstLine="640" w:firstLineChars="200"/>
        <w:textAlignment w:val="auto"/>
        <w:rPr>
          <w:rFonts w:ascii="仿宋_GB2312" w:hAnsi="仿宋_GB2312" w:eastAsia="仿宋_GB2312" w:cs="仿宋_GB2312"/>
          <w:color w:val="auto"/>
          <w:kern w:val="2"/>
          <w:sz w:val="32"/>
          <w:szCs w:val="32"/>
          <w:lang w:val="en-US" w:eastAsia="zh-CN" w:bidi="ar-SA"/>
        </w:rPr>
      </w:pP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本行高质量</w:t>
      </w:r>
      <w:r>
        <w:rPr>
          <w:rFonts w:ascii="仿宋_GB2312" w:hAnsi="仿宋_GB2312" w:eastAsia="仿宋_GB2312" w:cs="仿宋_GB2312"/>
          <w:color w:val="auto"/>
          <w:sz w:val="32"/>
          <w:szCs w:val="32"/>
        </w:rPr>
        <w:t>考核方案中设置绿色金融指标扣分项</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加强考核管理，保障绿色贷款余额稳步增加。绿色</w:t>
      </w:r>
      <w:r>
        <w:rPr>
          <w:rFonts w:hint="eastAsia" w:ascii="仿宋_GB2312" w:hAnsi="仿宋_GB2312" w:eastAsia="仿宋_GB2312" w:cs="仿宋_GB2312"/>
          <w:color w:val="auto"/>
          <w:sz w:val="32"/>
          <w:szCs w:val="32"/>
          <w:lang w:val="en-US" w:eastAsia="zh-CN"/>
        </w:rPr>
        <w:t>信贷政策优惠上</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本行</w:t>
      </w:r>
      <w:r>
        <w:rPr>
          <w:rFonts w:ascii="仿宋_GB2312" w:hAnsi="仿宋_GB2312" w:eastAsia="仿宋_GB2312" w:cs="仿宋_GB2312"/>
          <w:color w:val="auto"/>
          <w:sz w:val="32"/>
          <w:szCs w:val="32"/>
        </w:rPr>
        <w:t>发放的绿色贷款，在通过利率测算表</w:t>
      </w:r>
      <w:r>
        <w:rPr>
          <w:rFonts w:hint="eastAsia" w:ascii="仿宋_GB2312" w:hAnsi="仿宋_GB2312" w:eastAsia="仿宋_GB2312" w:cs="仿宋_GB2312"/>
          <w:color w:val="auto"/>
          <w:sz w:val="32"/>
          <w:szCs w:val="32"/>
          <w:lang w:val="en-US" w:eastAsia="zh-CN"/>
        </w:rPr>
        <w:t>正常测算</w:t>
      </w:r>
      <w:r>
        <w:rPr>
          <w:rFonts w:ascii="仿宋_GB2312" w:hAnsi="仿宋_GB2312" w:eastAsia="仿宋_GB2312" w:cs="仿宋_GB2312"/>
          <w:color w:val="auto"/>
          <w:sz w:val="32"/>
          <w:szCs w:val="32"/>
        </w:rPr>
        <w:t>利率</w:t>
      </w:r>
      <w:r>
        <w:rPr>
          <w:rFonts w:hint="eastAsia" w:ascii="仿宋_GB2312" w:hAnsi="仿宋_GB2312" w:eastAsia="仿宋_GB2312" w:cs="仿宋_GB2312"/>
          <w:color w:val="auto"/>
          <w:sz w:val="32"/>
          <w:szCs w:val="32"/>
          <w:lang w:val="en-US" w:eastAsia="zh-CN"/>
        </w:rPr>
        <w:t>后，再给予下调</w:t>
      </w:r>
      <w:r>
        <w:rPr>
          <w:rFonts w:ascii="仿宋_GB2312" w:hAnsi="仿宋_GB2312" w:eastAsia="仿宋_GB2312" w:cs="仿宋_GB2312"/>
          <w:color w:val="auto"/>
          <w:sz w:val="32"/>
          <w:szCs w:val="32"/>
        </w:rPr>
        <w:t>6-8BP</w:t>
      </w:r>
      <w:r>
        <w:rPr>
          <w:rFonts w:hint="eastAsia" w:ascii="仿宋_GB2312" w:hAnsi="仿宋_GB2312" w:eastAsia="仿宋_GB2312" w:cs="仿宋_GB2312"/>
          <w:color w:val="auto"/>
          <w:sz w:val="32"/>
          <w:szCs w:val="32"/>
          <w:lang w:val="en-US" w:eastAsia="zh-CN"/>
        </w:rPr>
        <w:t>进行优惠</w:t>
      </w:r>
      <w:r>
        <w:rPr>
          <w:rFonts w:ascii="仿宋_GB2312" w:hAnsi="仿宋_GB2312" w:eastAsia="仿宋_GB2312" w:cs="仿宋_GB2312"/>
          <w:color w:val="auto"/>
          <w:sz w:val="32"/>
          <w:szCs w:val="32"/>
        </w:rPr>
        <w:t>。截至</w:t>
      </w:r>
      <w:r>
        <w:rPr>
          <w:rFonts w:hint="eastAsia" w:ascii="仿宋_GB2312" w:hAnsi="仿宋_GB2312" w:eastAsia="仿宋_GB2312" w:cs="仿宋_GB2312"/>
          <w:color w:val="auto"/>
          <w:sz w:val="32"/>
          <w:szCs w:val="32"/>
          <w:lang w:val="en-US" w:eastAsia="zh-CN"/>
        </w:rPr>
        <w:t>2022年</w:t>
      </w:r>
      <w:r>
        <w:rPr>
          <w:rFonts w:ascii="仿宋_GB2312" w:hAnsi="仿宋_GB2312" w:eastAsia="仿宋_GB2312" w:cs="仿宋_GB2312"/>
          <w:color w:val="auto"/>
          <w:sz w:val="32"/>
          <w:szCs w:val="32"/>
        </w:rPr>
        <w:t>12月末，</w:t>
      </w:r>
      <w:r>
        <w:rPr>
          <w:rFonts w:hint="eastAsia" w:ascii="仿宋_GB2312" w:hAnsi="仿宋_GB2312" w:eastAsia="仿宋_GB2312" w:cs="仿宋_GB2312"/>
          <w:color w:val="auto"/>
          <w:sz w:val="32"/>
          <w:szCs w:val="32"/>
          <w:lang w:eastAsia="zh-CN"/>
        </w:rPr>
        <w:t>本行</w:t>
      </w:r>
      <w:r>
        <w:rPr>
          <w:rFonts w:ascii="仿宋_GB2312" w:hAnsi="仿宋_GB2312" w:eastAsia="仿宋_GB2312" w:cs="仿宋_GB2312"/>
          <w:color w:val="auto"/>
          <w:sz w:val="32"/>
          <w:szCs w:val="32"/>
        </w:rPr>
        <w:t>成功获得人行专项绿色支农再贷款1700万元，</w:t>
      </w:r>
      <w:r>
        <w:rPr>
          <w:rFonts w:hint="eastAsia" w:ascii="仿宋_GB2312" w:hAnsi="仿宋_GB2312" w:eastAsia="仿宋_GB2312" w:cs="仿宋_GB2312"/>
          <w:color w:val="auto"/>
          <w:sz w:val="32"/>
          <w:szCs w:val="32"/>
          <w:lang w:val="en-US" w:eastAsia="zh-CN"/>
        </w:rPr>
        <w:t>绿色信贷</w:t>
      </w:r>
      <w:r>
        <w:rPr>
          <w:rFonts w:ascii="仿宋_GB2312" w:hAnsi="仿宋_GB2312" w:eastAsia="仿宋_GB2312" w:cs="仿宋_GB2312"/>
          <w:color w:val="auto"/>
          <w:sz w:val="32"/>
          <w:szCs w:val="32"/>
        </w:rPr>
        <w:t>占比达8.</w:t>
      </w:r>
      <w:r>
        <w:rPr>
          <w:rFonts w:hint="default" w:ascii="仿宋_GB2312" w:hAnsi="仿宋_GB2312" w:eastAsia="仿宋_GB2312" w:cs="仿宋_GB2312"/>
          <w:color w:val="auto"/>
          <w:sz w:val="32"/>
          <w:szCs w:val="32"/>
        </w:rPr>
        <w:t>28</w:t>
      </w:r>
      <w:r>
        <w:rPr>
          <w:rFonts w:ascii="仿宋_GB2312" w:hAnsi="仿宋_GB2312" w:eastAsia="仿宋_GB2312" w:cs="仿宋_GB2312"/>
          <w:color w:val="auto"/>
          <w:sz w:val="32"/>
          <w:szCs w:val="32"/>
        </w:rPr>
        <w:t>%。</w:t>
      </w:r>
    </w:p>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 w:val="28"/>
          <w:szCs w:val="28"/>
        </w:rPr>
      </w:pPr>
      <w:r>
        <w:rPr>
          <w:rFonts w:hint="eastAsia" w:asciiTheme="minorEastAsia" w:hAnsiTheme="minorEastAsia"/>
          <w:color w:val="auto"/>
          <w:sz w:val="28"/>
          <w:szCs w:val="28"/>
        </w:rPr>
        <w:t>2022年绿色贷款投放情况概览</w:t>
      </w:r>
    </w:p>
    <w:tbl>
      <w:tblPr>
        <w:tblStyle w:val="11"/>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794"/>
        <w:gridCol w:w="2693"/>
        <w:gridCol w:w="203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794" w:type="dxa"/>
          </w:tcPr>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Cs w:val="21"/>
              </w:rPr>
            </w:pPr>
            <w:r>
              <w:rPr>
                <w:rFonts w:asciiTheme="minorEastAsia" w:hAnsiTheme="minorEastAsia"/>
                <w:color w:val="auto"/>
                <w:szCs w:val="21"/>
              </w:rPr>
              <w:t>指标名称</w:t>
            </w:r>
          </w:p>
        </w:tc>
        <w:tc>
          <w:tcPr>
            <w:tcW w:w="2693" w:type="dxa"/>
          </w:tcPr>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Cs w:val="21"/>
              </w:rPr>
            </w:pPr>
            <w:r>
              <w:rPr>
                <w:rFonts w:hint="eastAsia" w:asciiTheme="minorEastAsia" w:hAnsiTheme="minorEastAsia"/>
                <w:color w:val="auto"/>
                <w:szCs w:val="21"/>
              </w:rPr>
              <w:t>指标</w:t>
            </w:r>
            <w:r>
              <w:rPr>
                <w:rFonts w:asciiTheme="minorEastAsia" w:hAnsiTheme="minorEastAsia"/>
                <w:color w:val="auto"/>
                <w:szCs w:val="21"/>
              </w:rPr>
              <w:t>值</w:t>
            </w:r>
          </w:p>
        </w:tc>
        <w:tc>
          <w:tcPr>
            <w:tcW w:w="2035" w:type="dxa"/>
          </w:tcPr>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Cs w:val="21"/>
              </w:rPr>
            </w:pPr>
            <w:r>
              <w:rPr>
                <w:rFonts w:asciiTheme="minorEastAsia" w:hAnsiTheme="minorEastAsia"/>
                <w:color w:val="auto"/>
                <w:szCs w:val="21"/>
              </w:rPr>
              <w:t>单位</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794" w:type="dxa"/>
          </w:tcPr>
          <w:p>
            <w:pPr>
              <w:keepNext w:val="0"/>
              <w:keepLines w:val="0"/>
              <w:pageBreakBefore w:val="0"/>
              <w:kinsoku/>
              <w:wordWrap/>
              <w:overflowPunct/>
              <w:topLinePunct w:val="0"/>
              <w:bidi w:val="0"/>
              <w:snapToGrid/>
              <w:spacing w:line="560" w:lineRule="exact"/>
              <w:jc w:val="left"/>
              <w:textAlignment w:val="auto"/>
              <w:rPr>
                <w:rFonts w:asciiTheme="minorEastAsia" w:hAnsiTheme="minorEastAsia"/>
                <w:color w:val="auto"/>
                <w:szCs w:val="21"/>
              </w:rPr>
            </w:pPr>
            <w:r>
              <w:rPr>
                <w:rFonts w:asciiTheme="minorEastAsia" w:hAnsiTheme="minorEastAsia"/>
                <w:color w:val="auto"/>
                <w:szCs w:val="21"/>
              </w:rPr>
              <w:t>绿色贷款余额</w:t>
            </w:r>
          </w:p>
        </w:tc>
        <w:tc>
          <w:tcPr>
            <w:tcW w:w="2693" w:type="dxa"/>
          </w:tcPr>
          <w:p>
            <w:pPr>
              <w:keepNext w:val="0"/>
              <w:keepLines w:val="0"/>
              <w:pageBreakBefore w:val="0"/>
              <w:kinsoku/>
              <w:wordWrap/>
              <w:overflowPunct/>
              <w:topLinePunct w:val="0"/>
              <w:bidi w:val="0"/>
              <w:snapToGrid/>
              <w:spacing w:line="56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2.05</w:t>
            </w:r>
          </w:p>
        </w:tc>
        <w:tc>
          <w:tcPr>
            <w:tcW w:w="2035" w:type="dxa"/>
          </w:tcPr>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Cs w:val="21"/>
              </w:rPr>
            </w:pPr>
            <w:r>
              <w:rPr>
                <w:rFonts w:asciiTheme="minorEastAsia" w:hAnsiTheme="minorEastAsia"/>
                <w:color w:val="auto"/>
                <w:szCs w:val="21"/>
              </w:rPr>
              <w:t>亿元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pPr>
              <w:keepNext w:val="0"/>
              <w:keepLines w:val="0"/>
              <w:pageBreakBefore w:val="0"/>
              <w:kinsoku/>
              <w:wordWrap/>
              <w:overflowPunct/>
              <w:topLinePunct w:val="0"/>
              <w:bidi w:val="0"/>
              <w:snapToGrid/>
              <w:spacing w:line="560" w:lineRule="exact"/>
              <w:jc w:val="left"/>
              <w:textAlignment w:val="auto"/>
              <w:rPr>
                <w:rFonts w:asciiTheme="minorEastAsia" w:hAnsiTheme="minorEastAsia"/>
                <w:color w:val="auto"/>
                <w:szCs w:val="21"/>
              </w:rPr>
            </w:pPr>
            <w:r>
              <w:rPr>
                <w:rFonts w:asciiTheme="minorEastAsia" w:hAnsiTheme="minorEastAsia"/>
                <w:color w:val="auto"/>
                <w:szCs w:val="21"/>
              </w:rPr>
              <w:t>绿色贷款</w:t>
            </w:r>
            <w:r>
              <w:rPr>
                <w:rFonts w:hint="eastAsia" w:asciiTheme="minorEastAsia" w:hAnsiTheme="minorEastAsia"/>
                <w:color w:val="auto"/>
                <w:szCs w:val="21"/>
              </w:rPr>
              <w:t>占比</w:t>
            </w:r>
          </w:p>
        </w:tc>
        <w:tc>
          <w:tcPr>
            <w:tcW w:w="2693" w:type="dxa"/>
          </w:tcPr>
          <w:p>
            <w:pPr>
              <w:keepNext w:val="0"/>
              <w:keepLines w:val="0"/>
              <w:pageBreakBefore w:val="0"/>
              <w:kinsoku/>
              <w:wordWrap/>
              <w:overflowPunct/>
              <w:topLinePunct w:val="0"/>
              <w:bidi w:val="0"/>
              <w:snapToGrid/>
              <w:spacing w:line="56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1.14</w:t>
            </w:r>
          </w:p>
        </w:tc>
        <w:tc>
          <w:tcPr>
            <w:tcW w:w="2035" w:type="dxa"/>
          </w:tcPr>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Cs w:val="21"/>
              </w:rPr>
            </w:pPr>
            <w:r>
              <w:rPr>
                <w:rFonts w:hint="eastAsia" w:asciiTheme="minorEastAsia" w:hAnsiTheme="minorEastAsia"/>
                <w:color w:val="auto"/>
                <w:szCs w:val="21"/>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tcPr>
          <w:p>
            <w:pPr>
              <w:keepNext w:val="0"/>
              <w:keepLines w:val="0"/>
              <w:pageBreakBefore w:val="0"/>
              <w:kinsoku/>
              <w:wordWrap/>
              <w:overflowPunct/>
              <w:topLinePunct w:val="0"/>
              <w:bidi w:val="0"/>
              <w:snapToGrid/>
              <w:spacing w:line="560" w:lineRule="exact"/>
              <w:jc w:val="left"/>
              <w:textAlignment w:val="auto"/>
              <w:rPr>
                <w:rFonts w:asciiTheme="minorEastAsia" w:hAnsiTheme="minorEastAsia"/>
                <w:color w:val="auto"/>
                <w:szCs w:val="21"/>
              </w:rPr>
            </w:pPr>
            <w:r>
              <w:rPr>
                <w:rFonts w:asciiTheme="minorEastAsia" w:hAnsiTheme="minorEastAsia"/>
                <w:color w:val="auto"/>
                <w:szCs w:val="21"/>
              </w:rPr>
              <w:t>绿色贷款客户数量</w:t>
            </w:r>
          </w:p>
        </w:tc>
        <w:tc>
          <w:tcPr>
            <w:tcW w:w="2693" w:type="dxa"/>
          </w:tcPr>
          <w:p>
            <w:pPr>
              <w:keepNext w:val="0"/>
              <w:keepLines w:val="0"/>
              <w:pageBreakBefore w:val="0"/>
              <w:kinsoku/>
              <w:wordWrap/>
              <w:overflowPunct/>
              <w:topLinePunct w:val="0"/>
              <w:bidi w:val="0"/>
              <w:snapToGrid/>
              <w:spacing w:line="560" w:lineRule="exact"/>
              <w:jc w:val="center"/>
              <w:textAlignment w:val="auto"/>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384</w:t>
            </w:r>
          </w:p>
        </w:tc>
        <w:tc>
          <w:tcPr>
            <w:tcW w:w="2035" w:type="dxa"/>
          </w:tcPr>
          <w:p>
            <w:pPr>
              <w:keepNext w:val="0"/>
              <w:keepLines w:val="0"/>
              <w:pageBreakBefore w:val="0"/>
              <w:kinsoku/>
              <w:wordWrap/>
              <w:overflowPunct/>
              <w:topLinePunct w:val="0"/>
              <w:bidi w:val="0"/>
              <w:snapToGrid/>
              <w:spacing w:line="560" w:lineRule="exact"/>
              <w:jc w:val="center"/>
              <w:textAlignment w:val="auto"/>
              <w:rPr>
                <w:rFonts w:asciiTheme="minorEastAsia" w:hAnsiTheme="minorEastAsia"/>
                <w:color w:val="auto"/>
                <w:szCs w:val="21"/>
              </w:rPr>
            </w:pPr>
            <w:r>
              <w:rPr>
                <w:rFonts w:asciiTheme="minorEastAsia" w:hAnsiTheme="minorEastAsia"/>
                <w:color w:val="auto"/>
                <w:szCs w:val="21"/>
              </w:rPr>
              <w:t>户</w:t>
            </w:r>
          </w:p>
        </w:tc>
      </w:tr>
    </w:tbl>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5.</w:t>
      </w:r>
      <w:r>
        <w:rPr>
          <w:rFonts w:ascii="黑体" w:hAnsi="黑体" w:eastAsia="黑体"/>
          <w:color w:val="auto"/>
          <w:sz w:val="32"/>
          <w:szCs w:val="32"/>
        </w:rPr>
        <w:t>环境风险管理</w:t>
      </w:r>
      <w:r>
        <w:rPr>
          <w:rFonts w:hint="eastAsia" w:ascii="黑体" w:hAnsi="黑体" w:eastAsia="黑体"/>
          <w:color w:val="auto"/>
          <w:sz w:val="32"/>
          <w:szCs w:val="32"/>
        </w:rPr>
        <w:t>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微软雅黑" w:eastAsia="仿宋_GB2312" w:cs="宋体"/>
          <w:color w:val="auto"/>
          <w:kern w:val="0"/>
          <w:sz w:val="32"/>
          <w:szCs w:val="32"/>
        </w:rPr>
        <w:t>引导信贷</w:t>
      </w:r>
      <w:r>
        <w:rPr>
          <w:rFonts w:hint="eastAsia" w:ascii="仿宋_GB2312" w:hAnsi="微软雅黑" w:eastAsia="仿宋_GB2312" w:cs="宋体"/>
          <w:color w:val="auto"/>
          <w:kern w:val="0"/>
          <w:sz w:val="32"/>
          <w:szCs w:val="32"/>
          <w:lang w:val="en-US" w:eastAsia="zh-CN"/>
        </w:rPr>
        <w:t>投放</w:t>
      </w:r>
      <w:r>
        <w:rPr>
          <w:rFonts w:hint="eastAsia" w:ascii="仿宋_GB2312" w:hAnsi="微软雅黑" w:eastAsia="仿宋_GB2312" w:cs="宋体"/>
          <w:color w:val="auto"/>
          <w:kern w:val="0"/>
          <w:sz w:val="32"/>
          <w:szCs w:val="32"/>
        </w:rPr>
        <w:t>向绿色发展领域倾斜，解决最大排放环节投融资排放管控力度。</w:t>
      </w:r>
      <w:r>
        <w:rPr>
          <w:rFonts w:hint="eastAsia" w:ascii="仿宋_GB2312" w:hAnsi="仿宋_GB2312" w:eastAsia="仿宋_GB2312" w:cs="仿宋_GB2312"/>
          <w:color w:val="auto"/>
          <w:kern w:val="2"/>
          <w:sz w:val="32"/>
          <w:szCs w:val="32"/>
          <w:lang w:val="en-US" w:eastAsia="zh-CN" w:bidi="ar-SA"/>
        </w:rPr>
        <w:t>在环境风险管理方面，本行根据业务管理实际，有序推进各项风险管理制度制（修）订，强化在调查、审查、审批、合同签订、放款审核、贷款支付、贷后管理等各个环节的环境风险识别、评估、预警和管理。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5.1全面尽调、及时预警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对各类信贷业务展开尽职调查时，引入环境和社会风险尽职调查工作。通过对客户申请及资格初审、贷前资料收集及风险要点分析，全面评估项目环境和社会风险。在同等条件下，优先审批用于支持绿色、低碳、循环经济的授信申请。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5.2分类识别、差异管理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left"/>
        <w:textAlignment w:val="auto"/>
        <w:outlineLvl w:val="9"/>
        <w:rPr>
          <w:rFonts w:hint="eastAsia"/>
          <w:b/>
          <w:bCs/>
          <w:color w:val="auto"/>
          <w:sz w:val="32"/>
          <w:szCs w:val="32"/>
          <w:lang w:val="en-US" w:eastAsia="zh-CN"/>
        </w:rPr>
      </w:pPr>
      <w:r>
        <w:rPr>
          <w:rFonts w:hint="eastAsia" w:ascii="仿宋_GB2312" w:hAnsi="微软雅黑" w:eastAsia="仿宋_GB2312" w:cs="宋体"/>
          <w:b/>
          <w:bCs/>
          <w:color w:val="auto"/>
          <w:kern w:val="0"/>
          <w:sz w:val="32"/>
          <w:szCs w:val="32"/>
        </w:rPr>
        <w:t>一是</w:t>
      </w:r>
      <w:r>
        <w:rPr>
          <w:rFonts w:hint="eastAsia" w:ascii="仿宋_GB2312" w:hAnsi="微软雅黑" w:eastAsia="仿宋_GB2312" w:cs="宋体"/>
          <w:color w:val="auto"/>
          <w:kern w:val="0"/>
          <w:sz w:val="32"/>
          <w:szCs w:val="32"/>
        </w:rPr>
        <w:t>在行业调整上，随着碳中和进程的不断深入，</w:t>
      </w:r>
      <w:r>
        <w:rPr>
          <w:rFonts w:hint="eastAsia" w:ascii="仿宋_GB2312" w:hAnsi="微软雅黑" w:eastAsia="仿宋_GB2312" w:cs="宋体"/>
          <w:color w:val="auto"/>
          <w:kern w:val="0"/>
          <w:sz w:val="32"/>
          <w:szCs w:val="32"/>
          <w:lang w:eastAsia="zh-CN"/>
        </w:rPr>
        <w:t>本</w:t>
      </w:r>
      <w:r>
        <w:rPr>
          <w:rFonts w:hint="eastAsia" w:ascii="仿宋_GB2312" w:hAnsi="微软雅黑" w:eastAsia="仿宋_GB2312" w:cs="宋体"/>
          <w:color w:val="auto"/>
          <w:kern w:val="0"/>
          <w:sz w:val="32"/>
          <w:szCs w:val="32"/>
        </w:rPr>
        <w:t>行</w:t>
      </w:r>
      <w:r>
        <w:rPr>
          <w:rFonts w:hint="eastAsia" w:ascii="仿宋_GB2312" w:hAnsi="微软雅黑" w:eastAsia="仿宋_GB2312" w:cs="宋体"/>
          <w:color w:val="auto"/>
          <w:kern w:val="0"/>
          <w:sz w:val="32"/>
          <w:szCs w:val="32"/>
          <w:lang w:val="en-US" w:eastAsia="zh-CN"/>
        </w:rPr>
        <w:t>通过</w:t>
      </w:r>
      <w:r>
        <w:rPr>
          <w:rFonts w:hint="eastAsia" w:ascii="仿宋_GB2312" w:hAnsi="微软雅黑" w:eastAsia="仿宋_GB2312" w:cs="宋体"/>
          <w:color w:val="auto"/>
          <w:kern w:val="0"/>
          <w:sz w:val="32"/>
          <w:szCs w:val="32"/>
        </w:rPr>
        <w:t>信贷业务逐步降低高碳资产</w:t>
      </w:r>
      <w:r>
        <w:rPr>
          <w:rFonts w:hint="eastAsia" w:ascii="仿宋_GB2312" w:hAnsi="微软雅黑" w:eastAsia="仿宋_GB2312" w:cs="宋体"/>
          <w:color w:val="auto"/>
          <w:kern w:val="0"/>
          <w:sz w:val="32"/>
          <w:szCs w:val="32"/>
          <w:lang w:val="en-US" w:eastAsia="zh-CN"/>
        </w:rPr>
        <w:t>等</w:t>
      </w:r>
      <w:r>
        <w:rPr>
          <w:rFonts w:hint="eastAsia" w:ascii="仿宋_GB2312" w:hAnsi="微软雅黑" w:eastAsia="仿宋_GB2312" w:cs="宋体"/>
          <w:color w:val="auto"/>
          <w:kern w:val="0"/>
          <w:sz w:val="32"/>
          <w:szCs w:val="32"/>
        </w:rPr>
        <w:t>方式进行风险转移，将目前</w:t>
      </w:r>
      <w:r>
        <w:rPr>
          <w:rFonts w:hint="eastAsia" w:ascii="仿宋_GB2312" w:hAnsi="微软雅黑" w:eastAsia="仿宋_GB2312" w:cs="宋体"/>
          <w:color w:val="auto"/>
          <w:kern w:val="0"/>
          <w:sz w:val="32"/>
          <w:szCs w:val="32"/>
          <w:lang w:val="en-US" w:eastAsia="zh-CN"/>
        </w:rPr>
        <w:t>仅</w:t>
      </w:r>
      <w:r>
        <w:rPr>
          <w:rFonts w:hint="eastAsia" w:ascii="仿宋_GB2312" w:hAnsi="微软雅黑" w:eastAsia="仿宋_GB2312" w:cs="宋体"/>
          <w:color w:val="auto"/>
          <w:kern w:val="0"/>
          <w:sz w:val="32"/>
          <w:szCs w:val="32"/>
        </w:rPr>
        <w:t>针对“两高一资”的信贷</w:t>
      </w:r>
      <w:r>
        <w:rPr>
          <w:rFonts w:hint="eastAsia" w:ascii="仿宋_GB2312" w:hAnsi="微软雅黑" w:eastAsia="仿宋_GB2312" w:cs="宋体"/>
          <w:color w:val="auto"/>
          <w:kern w:val="0"/>
          <w:sz w:val="32"/>
          <w:szCs w:val="32"/>
          <w:lang w:val="en-US" w:eastAsia="zh-CN"/>
        </w:rPr>
        <w:t>管控机制</w:t>
      </w:r>
      <w:r>
        <w:rPr>
          <w:rFonts w:hint="eastAsia" w:ascii="仿宋_GB2312" w:hAnsi="微软雅黑" w:eastAsia="仿宋_GB2312" w:cs="宋体"/>
          <w:color w:val="auto"/>
          <w:kern w:val="0"/>
          <w:sz w:val="32"/>
          <w:szCs w:val="32"/>
        </w:rPr>
        <w:t>进行恰当有效</w:t>
      </w:r>
      <w:r>
        <w:rPr>
          <w:rFonts w:hint="eastAsia" w:ascii="仿宋_GB2312" w:hAnsi="微软雅黑" w:eastAsia="仿宋_GB2312" w:cs="宋体"/>
          <w:color w:val="auto"/>
          <w:kern w:val="0"/>
          <w:sz w:val="32"/>
          <w:szCs w:val="32"/>
          <w:lang w:val="en-US" w:eastAsia="zh-CN"/>
        </w:rPr>
        <w:t>优化</w:t>
      </w:r>
      <w:r>
        <w:rPr>
          <w:rFonts w:hint="eastAsia" w:ascii="仿宋_GB2312" w:hAnsi="微软雅黑" w:eastAsia="仿宋_GB2312" w:cs="宋体"/>
          <w:color w:val="auto"/>
          <w:kern w:val="0"/>
          <w:sz w:val="32"/>
          <w:szCs w:val="32"/>
        </w:rPr>
        <w:t>；</w:t>
      </w:r>
      <w:r>
        <w:rPr>
          <w:rFonts w:hint="eastAsia" w:ascii="仿宋_GB2312" w:hAnsi="微软雅黑" w:eastAsia="仿宋_GB2312" w:cs="宋体"/>
          <w:b/>
          <w:bCs/>
          <w:color w:val="auto"/>
          <w:kern w:val="0"/>
          <w:sz w:val="32"/>
          <w:szCs w:val="32"/>
        </w:rPr>
        <w:t>二是</w:t>
      </w:r>
      <w:r>
        <w:rPr>
          <w:rFonts w:hint="eastAsia" w:ascii="仿宋_GB2312" w:hAnsi="微软雅黑" w:eastAsia="仿宋_GB2312" w:cs="宋体"/>
          <w:color w:val="auto"/>
          <w:kern w:val="0"/>
          <w:sz w:val="32"/>
          <w:szCs w:val="32"/>
        </w:rPr>
        <w:t>在</w:t>
      </w:r>
      <w:r>
        <w:rPr>
          <w:rFonts w:hint="eastAsia" w:ascii="仿宋_GB2312" w:hAnsi="微软雅黑" w:eastAsia="仿宋_GB2312" w:cs="宋体"/>
          <w:color w:val="auto"/>
          <w:kern w:val="0"/>
          <w:sz w:val="32"/>
          <w:szCs w:val="32"/>
          <w:lang w:val="en-US" w:eastAsia="zh-CN"/>
        </w:rPr>
        <w:t>坚守定位</w:t>
      </w:r>
      <w:r>
        <w:rPr>
          <w:rFonts w:hint="eastAsia" w:ascii="仿宋_GB2312" w:hAnsi="微软雅黑" w:eastAsia="仿宋_GB2312" w:cs="宋体"/>
          <w:color w:val="auto"/>
          <w:kern w:val="0"/>
          <w:sz w:val="32"/>
          <w:szCs w:val="32"/>
        </w:rPr>
        <w:t>上，</w:t>
      </w:r>
      <w:r>
        <w:rPr>
          <w:rFonts w:hint="eastAsia" w:ascii="仿宋_GB2312" w:hAnsi="微软雅黑" w:eastAsia="仿宋_GB2312" w:cs="宋体"/>
          <w:color w:val="auto"/>
          <w:kern w:val="0"/>
          <w:sz w:val="32"/>
          <w:szCs w:val="32"/>
          <w:lang w:val="en-US" w:eastAsia="zh-CN"/>
        </w:rPr>
        <w:t>持续做好</w:t>
      </w:r>
      <w:r>
        <w:rPr>
          <w:rFonts w:hint="eastAsia" w:ascii="仿宋_GB2312" w:hAnsi="微软雅黑" w:eastAsia="仿宋_GB2312" w:cs="宋体"/>
          <w:color w:val="auto"/>
          <w:kern w:val="0"/>
          <w:sz w:val="32"/>
          <w:szCs w:val="32"/>
        </w:rPr>
        <w:t>支农支小</w:t>
      </w:r>
      <w:r>
        <w:rPr>
          <w:rFonts w:hint="eastAsia" w:ascii="仿宋_GB2312" w:hAnsi="微软雅黑" w:eastAsia="仿宋_GB2312" w:cs="宋体"/>
          <w:color w:val="auto"/>
          <w:kern w:val="0"/>
          <w:sz w:val="32"/>
          <w:szCs w:val="32"/>
          <w:lang w:val="en-US" w:eastAsia="zh-CN"/>
        </w:rPr>
        <w:t>支微不动摇</w:t>
      </w:r>
      <w:r>
        <w:rPr>
          <w:rFonts w:hint="eastAsia" w:ascii="仿宋_GB2312" w:hAnsi="微软雅黑" w:eastAsia="仿宋_GB2312" w:cs="宋体"/>
          <w:color w:val="auto"/>
          <w:kern w:val="0"/>
          <w:sz w:val="32"/>
          <w:szCs w:val="32"/>
        </w:rPr>
        <w:t>，大力拓展500万元以下非碳排放核算主体融资业务；</w:t>
      </w:r>
      <w:r>
        <w:rPr>
          <w:rFonts w:hint="eastAsia" w:ascii="仿宋_GB2312" w:hAnsi="微软雅黑" w:eastAsia="仿宋_GB2312" w:cs="宋体"/>
          <w:b/>
          <w:bCs/>
          <w:color w:val="auto"/>
          <w:kern w:val="0"/>
          <w:sz w:val="32"/>
          <w:szCs w:val="32"/>
        </w:rPr>
        <w:t>三是</w:t>
      </w:r>
      <w:r>
        <w:rPr>
          <w:rFonts w:hint="eastAsia" w:ascii="仿宋_GB2312" w:hAnsi="微软雅黑" w:eastAsia="仿宋_GB2312" w:cs="宋体"/>
          <w:color w:val="auto"/>
          <w:kern w:val="0"/>
          <w:sz w:val="32"/>
          <w:szCs w:val="32"/>
        </w:rPr>
        <w:t>在农业用途上，针对非绿色规模化种植业和养殖业进行有效风险规避和转移；</w:t>
      </w:r>
      <w:r>
        <w:rPr>
          <w:rFonts w:hint="eastAsia" w:ascii="仿宋_GB2312" w:hAnsi="微软雅黑" w:eastAsia="仿宋_GB2312" w:cs="宋体"/>
          <w:b/>
          <w:bCs/>
          <w:color w:val="auto"/>
          <w:kern w:val="0"/>
          <w:sz w:val="32"/>
          <w:szCs w:val="32"/>
        </w:rPr>
        <w:t>四是</w:t>
      </w:r>
      <w:r>
        <w:rPr>
          <w:rFonts w:hint="eastAsia" w:ascii="仿宋_GB2312" w:hAnsi="微软雅黑" w:eastAsia="仿宋_GB2312" w:cs="宋体"/>
          <w:color w:val="auto"/>
          <w:kern w:val="0"/>
          <w:sz w:val="32"/>
          <w:szCs w:val="32"/>
        </w:rPr>
        <w:t>在消费金融中通过提供差异化金融产品，对绿色环保消费提供利率优惠，有效引导客户</w:t>
      </w:r>
      <w:r>
        <w:rPr>
          <w:rFonts w:hint="eastAsia" w:ascii="仿宋_GB2312" w:hAnsi="微软雅黑" w:eastAsia="仿宋_GB2312" w:cs="宋体"/>
          <w:color w:val="auto"/>
          <w:kern w:val="0"/>
          <w:sz w:val="32"/>
          <w:szCs w:val="32"/>
          <w:lang w:val="en-US" w:eastAsia="zh-CN"/>
        </w:rPr>
        <w:t>建立</w:t>
      </w:r>
      <w:r>
        <w:rPr>
          <w:rFonts w:hint="eastAsia" w:ascii="仿宋_GB2312" w:hAnsi="微软雅黑" w:eastAsia="仿宋_GB2312" w:cs="宋体"/>
          <w:color w:val="auto"/>
          <w:kern w:val="0"/>
          <w:sz w:val="32"/>
          <w:szCs w:val="32"/>
        </w:rPr>
        <w:t>绿色消费转型</w:t>
      </w:r>
      <w:r>
        <w:rPr>
          <w:rFonts w:hint="eastAsia" w:ascii="仿宋_GB2312" w:hAnsi="微软雅黑" w:eastAsia="仿宋_GB2312" w:cs="宋体"/>
          <w:color w:val="auto"/>
          <w:kern w:val="0"/>
          <w:sz w:val="32"/>
          <w:szCs w:val="32"/>
          <w:lang w:val="en-US" w:eastAsia="zh-CN"/>
        </w:rPr>
        <w:t>观念</w:t>
      </w:r>
      <w:r>
        <w:rPr>
          <w:rFonts w:hint="eastAsia" w:ascii="仿宋_GB2312" w:hAnsi="微软雅黑" w:eastAsia="仿宋_GB2312" w:cs="宋体"/>
          <w:color w:val="auto"/>
          <w:kern w:val="0"/>
          <w:sz w:val="32"/>
          <w:szCs w:val="32"/>
        </w:rPr>
        <w:t>。</w:t>
      </w:r>
      <w:r>
        <w:rPr>
          <w:rFonts w:hint="eastAsia"/>
          <w:b/>
          <w:bCs/>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楷体_GB2312" w:hAnsi="楷体_GB2312" w:eastAsia="楷体_GB2312" w:cs="楷体_GB2312"/>
          <w:color w:val="auto"/>
          <w:kern w:val="0"/>
          <w:sz w:val="32"/>
          <w:szCs w:val="32"/>
          <w:lang w:val="en-US" w:eastAsia="zh-CN"/>
        </w:rPr>
      </w:pPr>
      <w:r>
        <w:rPr>
          <w:rFonts w:hint="eastAsia" w:ascii="楷体_GB2312" w:hAnsi="楷体_GB2312" w:eastAsia="楷体_GB2312" w:cs="楷体_GB2312"/>
          <w:color w:val="auto"/>
          <w:kern w:val="0"/>
          <w:sz w:val="32"/>
          <w:szCs w:val="32"/>
          <w:lang w:val="en-US" w:eastAsia="zh-CN"/>
        </w:rPr>
        <w:t>5.3准入管理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对违反国家产业政策、环境政策、安全政策及信贷政策的企业和项目，实行“一票否决制”，一律不予授信；对存量高耗能、重污染企业和出现重大环境和社会风险的客户，实行名单制管理并逐步进行压缩退出。将企业或项目环保手续的合规性</w:t>
      </w:r>
      <w:r>
        <w:rPr>
          <w:rFonts w:hint="eastAsia" w:ascii="仿宋_GB2312" w:hAnsi="仿宋_GB2312" w:eastAsia="仿宋_GB2312" w:cs="仿宋_GB2312"/>
          <w:color w:val="auto"/>
          <w:kern w:val="0"/>
          <w:sz w:val="32"/>
          <w:szCs w:val="32"/>
          <w:lang w:eastAsia="zh-CN"/>
        </w:rPr>
        <w:t>、</w:t>
      </w:r>
      <w:r>
        <w:rPr>
          <w:rFonts w:ascii="仿宋_GB2312" w:hAnsi="仿宋_GB2312" w:eastAsia="仿宋_GB2312" w:cs="仿宋_GB2312"/>
          <w:color w:val="auto"/>
          <w:kern w:val="0"/>
          <w:sz w:val="32"/>
          <w:szCs w:val="32"/>
        </w:rPr>
        <w:t>完整性，符合环保、安全生产等政策法规要求作为信贷审批必要条件，充分考虑环境和社会风险性质对客户偿债能力</w:t>
      </w:r>
      <w:r>
        <w:rPr>
          <w:rFonts w:hint="eastAsia" w:ascii="仿宋_GB2312" w:hAnsi="仿宋_GB2312" w:eastAsia="仿宋_GB2312" w:cs="仿宋_GB2312"/>
          <w:color w:val="auto"/>
          <w:kern w:val="0"/>
          <w:sz w:val="32"/>
          <w:szCs w:val="32"/>
          <w:lang w:val="en-US" w:eastAsia="zh-CN"/>
        </w:rPr>
        <w:t>的</w:t>
      </w:r>
      <w:r>
        <w:rPr>
          <w:rFonts w:ascii="仿宋_GB2312" w:hAnsi="仿宋_GB2312" w:eastAsia="仿宋_GB2312" w:cs="仿宋_GB2312"/>
          <w:color w:val="auto"/>
          <w:kern w:val="0"/>
          <w:sz w:val="32"/>
          <w:szCs w:val="32"/>
        </w:rPr>
        <w:t>影响，制定科学的信贷决策</w:t>
      </w:r>
      <w:r>
        <w:rPr>
          <w:rFonts w:hint="eastAsia" w:ascii="仿宋_GB2312" w:hAnsi="仿宋_GB2312" w:eastAsia="仿宋_GB2312" w:cs="仿宋_GB2312"/>
          <w:color w:val="auto"/>
          <w:kern w:val="0"/>
          <w:sz w:val="32"/>
          <w:szCs w:val="32"/>
          <w:lang w:val="en-US" w:eastAsia="zh-CN"/>
        </w:rPr>
        <w:t>依据</w:t>
      </w:r>
      <w:r>
        <w:rPr>
          <w:rFonts w:ascii="仿宋_GB2312" w:hAnsi="仿宋_GB2312" w:eastAsia="仿宋_GB2312" w:cs="仿宋_GB2312"/>
          <w:color w:val="auto"/>
          <w:kern w:val="0"/>
          <w:sz w:val="32"/>
          <w:szCs w:val="32"/>
        </w:rPr>
        <w:t>。</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6.</w:t>
      </w:r>
      <w:r>
        <w:rPr>
          <w:rFonts w:hint="eastAsia" w:ascii="黑体" w:hAnsi="黑体" w:eastAsia="黑体"/>
          <w:color w:val="auto"/>
          <w:sz w:val="32"/>
          <w:szCs w:val="32"/>
        </w:rPr>
        <w:t>环境因素的影响</w:t>
      </w:r>
      <w:r>
        <w:rPr>
          <w:rFonts w:hint="eastAsia" w:ascii="黑体" w:hAnsi="黑体" w:eastAsia="黑体"/>
          <w:color w:val="auto"/>
          <w:sz w:val="32"/>
          <w:szCs w:val="32"/>
          <w:lang w:val="en-US" w:eastAsia="zh-CN"/>
        </w:rPr>
        <w:t>及机遇</w:t>
      </w:r>
    </w:p>
    <w:p>
      <w:pPr>
        <w:keepNext w:val="0"/>
        <w:keepLines w:val="0"/>
        <w:pageBreakBefore w:val="0"/>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6.1</w:t>
      </w:r>
      <w:r>
        <w:rPr>
          <w:rFonts w:hint="eastAsia" w:ascii="楷体_GB2312" w:hAnsi="楷体_GB2312" w:eastAsia="楷体_GB2312" w:cs="楷体_GB2312"/>
          <w:color w:val="auto"/>
          <w:sz w:val="32"/>
          <w:szCs w:val="32"/>
        </w:rPr>
        <w:t>气候与环境相关风险</w:t>
      </w:r>
    </w:p>
    <w:p>
      <w:pPr>
        <w:pStyle w:val="5"/>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商业银行传统风险管理体系主要关注信用风险、市场风险、操作风险等，很少将环境风险纳入风险管理范围。但随着社会和公民对环境风险的关注以及环保政策对金融机构环境责任分担要求的日趋严格，环境风险-企业-金融机构（商业银行）之间利益和风险传导的联系更加紧密。中国银监会印发的《绿色信贷指引》（银监发〔2012〕4号）中明确银行业金融机构面临的环境风险是指客户及其重要关联方在建设、生产、经营活动中可能给环境带来的危害及相关风险，包括与耗能、污染、土地、生态保护、气候变化等有关的环境问题。</w:t>
      </w:r>
    </w:p>
    <w:p>
      <w:pPr>
        <w:pStyle w:val="5"/>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面临的环境和气候相关风险的程度、类型及影响不同，本行基于自身投资行业分布及业务辐射范围，识别出面临的主要环境和气候相关风险。明确了对其环境相关风险和机遇对金融机构的业务、战略产生的实际和潜在影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3359"/>
        <w:gridCol w:w="1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center"/>
          </w:tcPr>
          <w:p>
            <w:pPr>
              <w:pStyle w:val="5"/>
              <w:pageBreakBefore w:val="0"/>
              <w:kinsoku/>
              <w:wordWrap/>
              <w:overflowPunct/>
              <w:topLinePunct w:val="0"/>
              <w:bidi w:val="0"/>
              <w:spacing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信贷主要投向</w:t>
            </w:r>
          </w:p>
        </w:tc>
        <w:tc>
          <w:tcPr>
            <w:tcW w:w="3359" w:type="dxa"/>
            <w:noWrap w:val="0"/>
            <w:vAlign w:val="center"/>
          </w:tcPr>
          <w:p>
            <w:pPr>
              <w:pStyle w:val="5"/>
              <w:pageBreakBefore w:val="0"/>
              <w:kinsoku/>
              <w:wordWrap/>
              <w:overflowPunct/>
              <w:topLinePunct w:val="0"/>
              <w:bidi w:val="0"/>
              <w:spacing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涉及环境议题</w:t>
            </w:r>
          </w:p>
        </w:tc>
        <w:tc>
          <w:tcPr>
            <w:tcW w:w="1744" w:type="dxa"/>
            <w:noWrap w:val="0"/>
            <w:vAlign w:val="center"/>
          </w:tcPr>
          <w:p>
            <w:pPr>
              <w:pStyle w:val="5"/>
              <w:pageBreakBefore w:val="0"/>
              <w:kinsoku/>
              <w:wordWrap/>
              <w:overflowPunct/>
              <w:topLinePunct w:val="0"/>
              <w:bidi w:val="0"/>
              <w:spacing w:line="560" w:lineRule="exact"/>
              <w:jc w:val="center"/>
              <w:rPr>
                <w:rFonts w:hint="eastAsia"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影响时间范畴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农、林、牧、渔</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污染、土地、生态</w:t>
            </w:r>
          </w:p>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破坏、气候变化</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住宿和餐饮业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耗能、污染</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交通运输、仓储和邮政业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耗能、气候变化</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建筑业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洪水灾害（气候变化）</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房地产业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洪水灾害（气候变化）</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水利、环境和公共设施管理业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土地、生态保护、气候变化</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中长期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电力、热力生产和供应业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耗能、污染、气候变化</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57"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水的生产和供应业</w:t>
            </w:r>
          </w:p>
        </w:tc>
        <w:tc>
          <w:tcPr>
            <w:tcW w:w="3359"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水资源约束</w:t>
            </w:r>
          </w:p>
        </w:tc>
        <w:tc>
          <w:tcPr>
            <w:tcW w:w="1744" w:type="dxa"/>
            <w:noWrap w:val="0"/>
            <w:vAlign w:val="top"/>
          </w:tcPr>
          <w:p>
            <w:pPr>
              <w:pStyle w:val="5"/>
              <w:pageBreakBefore w:val="0"/>
              <w:kinsoku/>
              <w:wordWrap/>
              <w:overflowPunct/>
              <w:topLinePunct w:val="0"/>
              <w:bidi w:val="0"/>
              <w:spacing w:line="560" w:lineRule="exac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中长期</w:t>
            </w:r>
          </w:p>
        </w:tc>
      </w:tr>
    </w:tbl>
    <w:p>
      <w:pPr>
        <w:pStyle w:val="13"/>
        <w:numPr>
          <w:ilvl w:val="0"/>
          <w:numId w:val="0"/>
        </w:numPr>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sz w:val="32"/>
          <w:szCs w:val="32"/>
          <w:lang w:val="en-US" w:eastAsia="zh-CN"/>
        </w:rPr>
        <w:t>2.高碳产业风险，</w:t>
      </w:r>
      <w:r>
        <w:rPr>
          <w:rFonts w:ascii="Times New Roman" w:hAnsi="Times New Roman" w:eastAsia="仿宋_GB2312"/>
          <w:sz w:val="32"/>
          <w:szCs w:val="32"/>
        </w:rPr>
        <w:t>碳达峰碳中和目标下，随着国家产业政策的调整和绿色生产生活方式的推广，绿色转型成为传统产业发展的必然趋势。</w:t>
      </w:r>
      <w:r>
        <w:rPr>
          <w:rFonts w:hint="eastAsia" w:ascii="仿宋_GB2312" w:hAnsi="仿宋_GB2312" w:eastAsia="仿宋_GB2312" w:cs="仿宋_GB2312"/>
          <w:color w:val="auto"/>
          <w:kern w:val="0"/>
          <w:sz w:val="32"/>
          <w:szCs w:val="32"/>
          <w:lang w:val="en-US" w:eastAsia="zh-CN" w:bidi="ar-SA"/>
        </w:rPr>
        <w:t>碳达峰</w:t>
      </w:r>
      <w:r>
        <w:rPr>
          <w:rFonts w:ascii="仿宋_GB2312" w:hAnsi="仿宋_GB2312" w:eastAsia="仿宋_GB2312" w:cs="仿宋_GB2312"/>
          <w:color w:val="auto"/>
          <w:kern w:val="0"/>
          <w:sz w:val="32"/>
          <w:szCs w:val="32"/>
          <w:lang w:val="en-US" w:eastAsia="zh-CN" w:bidi="ar-SA"/>
        </w:rPr>
        <w:t>碳中和</w:t>
      </w:r>
      <w:r>
        <w:rPr>
          <w:rFonts w:hint="eastAsia" w:ascii="仿宋_GB2312" w:hAnsi="仿宋_GB2312" w:eastAsia="仿宋_GB2312" w:cs="仿宋_GB2312"/>
          <w:color w:val="auto"/>
          <w:kern w:val="0"/>
          <w:sz w:val="32"/>
          <w:szCs w:val="32"/>
          <w:lang w:val="en-US" w:eastAsia="zh-CN" w:bidi="ar-SA"/>
        </w:rPr>
        <w:t>、环保督查等相关政策，</w:t>
      </w:r>
      <w:r>
        <w:rPr>
          <w:rFonts w:ascii="仿宋_GB2312" w:hAnsi="仿宋_GB2312" w:eastAsia="仿宋_GB2312" w:cs="仿宋_GB2312"/>
          <w:color w:val="auto"/>
          <w:kern w:val="0"/>
          <w:sz w:val="32"/>
          <w:szCs w:val="32"/>
          <w:lang w:val="en-US" w:eastAsia="zh-CN" w:bidi="ar-SA"/>
        </w:rPr>
        <w:t>对企业的环境责任意识提出了更高的要求，高碳产业</w:t>
      </w:r>
      <w:r>
        <w:rPr>
          <w:rFonts w:hint="eastAsia" w:ascii="仿宋_GB2312" w:hAnsi="仿宋_GB2312" w:eastAsia="仿宋_GB2312" w:cs="仿宋_GB2312"/>
          <w:color w:val="auto"/>
          <w:kern w:val="0"/>
          <w:sz w:val="32"/>
          <w:szCs w:val="32"/>
          <w:lang w:val="en-US" w:eastAsia="zh-CN" w:bidi="ar-SA"/>
        </w:rPr>
        <w:t>随时</w:t>
      </w:r>
      <w:r>
        <w:rPr>
          <w:rFonts w:ascii="仿宋_GB2312" w:hAnsi="仿宋_GB2312" w:eastAsia="仿宋_GB2312" w:cs="仿宋_GB2312"/>
          <w:color w:val="auto"/>
          <w:kern w:val="0"/>
          <w:sz w:val="32"/>
          <w:szCs w:val="32"/>
          <w:lang w:val="en-US" w:eastAsia="zh-CN" w:bidi="ar-SA"/>
        </w:rPr>
        <w:t>可能成为金融风险的来源，如石油、化工、钢铁</w:t>
      </w:r>
      <w:r>
        <w:rPr>
          <w:rFonts w:hint="eastAsia" w:ascii="仿宋_GB2312" w:hAnsi="仿宋_GB2312" w:eastAsia="仿宋_GB2312" w:cs="仿宋_GB2312"/>
          <w:color w:val="auto"/>
          <w:kern w:val="0"/>
          <w:sz w:val="32"/>
          <w:szCs w:val="32"/>
          <w:lang w:val="en-US" w:eastAsia="zh-CN" w:bidi="ar-SA"/>
        </w:rPr>
        <w:t>行业</w:t>
      </w:r>
      <w:r>
        <w:rPr>
          <w:rFonts w:ascii="仿宋_GB2312" w:hAnsi="仿宋_GB2312" w:eastAsia="仿宋_GB2312" w:cs="仿宋_GB2312"/>
          <w:color w:val="auto"/>
          <w:kern w:val="0"/>
          <w:sz w:val="32"/>
          <w:szCs w:val="32"/>
          <w:lang w:val="en-US" w:eastAsia="zh-CN" w:bidi="ar-SA"/>
        </w:rPr>
        <w:t>等</w:t>
      </w:r>
      <w:r>
        <w:rPr>
          <w:rFonts w:hint="eastAsia" w:ascii="仿宋_GB2312" w:hAnsi="仿宋_GB2312" w:eastAsia="仿宋_GB2312" w:cs="仿宋_GB2312"/>
          <w:color w:val="auto"/>
          <w:kern w:val="0"/>
          <w:sz w:val="32"/>
          <w:szCs w:val="32"/>
          <w:lang w:val="en-US" w:eastAsia="zh-CN" w:bidi="ar-SA"/>
        </w:rPr>
        <w:t>，银行也</w:t>
      </w:r>
      <w:r>
        <w:rPr>
          <w:rFonts w:ascii="仿宋_GB2312" w:hAnsi="仿宋_GB2312" w:eastAsia="仿宋_GB2312" w:cs="仿宋_GB2312"/>
          <w:color w:val="auto"/>
          <w:kern w:val="0"/>
          <w:sz w:val="32"/>
          <w:szCs w:val="32"/>
          <w:lang w:val="en-US" w:eastAsia="zh-CN" w:bidi="ar-SA"/>
        </w:rPr>
        <w:t>会大幅削减对于传统能源如煤电、石油和天然气等的</w:t>
      </w:r>
      <w:r>
        <w:rPr>
          <w:rFonts w:hint="eastAsia" w:ascii="仿宋_GB2312" w:hAnsi="仿宋_GB2312" w:eastAsia="仿宋_GB2312" w:cs="仿宋_GB2312"/>
          <w:color w:val="auto"/>
          <w:kern w:val="0"/>
          <w:sz w:val="32"/>
          <w:szCs w:val="32"/>
          <w:lang w:val="en-US" w:eastAsia="zh-CN" w:bidi="ar-SA"/>
        </w:rPr>
        <w:t>信贷输出</w:t>
      </w:r>
      <w:r>
        <w:rPr>
          <w:rFonts w:ascii="仿宋_GB2312" w:hAnsi="仿宋_GB2312" w:eastAsia="仿宋_GB2312" w:cs="仿宋_GB2312"/>
          <w:color w:val="auto"/>
          <w:kern w:val="0"/>
          <w:sz w:val="32"/>
          <w:szCs w:val="32"/>
          <w:lang w:val="en-US" w:eastAsia="zh-CN" w:bidi="ar-SA"/>
        </w:rPr>
        <w:t>，企业可能承担更高的碳排放成本，所以企业的利润会急转直下</w:t>
      </w:r>
      <w:r>
        <w:rPr>
          <w:rFonts w:hint="eastAsia" w:ascii="仿宋_GB2312" w:hAnsi="仿宋_GB2312" w:eastAsia="仿宋_GB2312" w:cs="仿宋_GB2312"/>
          <w:color w:val="auto"/>
          <w:kern w:val="0"/>
          <w:sz w:val="32"/>
          <w:szCs w:val="32"/>
          <w:lang w:val="en-US" w:eastAsia="zh-CN" w:bidi="ar-SA"/>
        </w:rPr>
        <w:t>，面临巨大的</w:t>
      </w:r>
      <w:r>
        <w:rPr>
          <w:rFonts w:ascii="仿宋_GB2312" w:hAnsi="仿宋_GB2312" w:eastAsia="仿宋_GB2312" w:cs="仿宋_GB2312"/>
          <w:color w:val="auto"/>
          <w:kern w:val="0"/>
          <w:sz w:val="32"/>
          <w:szCs w:val="32"/>
          <w:lang w:val="en-US" w:eastAsia="zh-CN" w:bidi="ar-SA"/>
        </w:rPr>
        <w:t>投资</w:t>
      </w:r>
      <w:r>
        <w:rPr>
          <w:rFonts w:hint="eastAsia" w:ascii="仿宋_GB2312" w:hAnsi="仿宋_GB2312" w:eastAsia="仿宋_GB2312" w:cs="仿宋_GB2312"/>
          <w:color w:val="auto"/>
          <w:kern w:val="0"/>
          <w:sz w:val="32"/>
          <w:szCs w:val="32"/>
          <w:lang w:val="en-US" w:eastAsia="zh-CN" w:bidi="ar-SA"/>
        </w:rPr>
        <w:t>风险，</w:t>
      </w:r>
      <w:r>
        <w:rPr>
          <w:rFonts w:ascii="仿宋_GB2312" w:hAnsi="仿宋_GB2312" w:eastAsia="仿宋_GB2312" w:cs="仿宋_GB2312"/>
          <w:color w:val="auto"/>
          <w:kern w:val="0"/>
          <w:sz w:val="32"/>
          <w:szCs w:val="32"/>
          <w:lang w:val="en-US" w:eastAsia="zh-CN" w:bidi="ar-SA"/>
        </w:rPr>
        <w:t>相关产业的需求下降，收入也会下降</w:t>
      </w:r>
      <w:r>
        <w:rPr>
          <w:rFonts w:hint="eastAsia" w:ascii="仿宋_GB2312" w:hAnsi="仿宋_GB2312" w:eastAsia="仿宋_GB2312" w:cs="仿宋_GB2312"/>
          <w:color w:val="auto"/>
          <w:kern w:val="0"/>
          <w:sz w:val="32"/>
          <w:szCs w:val="32"/>
          <w:lang w:val="en-US" w:eastAsia="zh-CN" w:bidi="ar-SA"/>
        </w:rPr>
        <w:t>，</w:t>
      </w:r>
      <w:r>
        <w:rPr>
          <w:rFonts w:ascii="仿宋_GB2312" w:hAnsi="仿宋_GB2312" w:eastAsia="仿宋_GB2312" w:cs="仿宋_GB2312"/>
          <w:color w:val="auto"/>
          <w:kern w:val="0"/>
          <w:sz w:val="32"/>
          <w:szCs w:val="32"/>
          <w:lang w:val="en-US" w:eastAsia="zh-CN" w:bidi="ar-SA"/>
        </w:rPr>
        <w:t>甚至出现了亏损的情况，难以偿还银行的负债，</w:t>
      </w:r>
      <w:r>
        <w:rPr>
          <w:rFonts w:hint="eastAsia" w:ascii="仿宋_GB2312" w:hAnsi="仿宋_GB2312" w:eastAsia="仿宋_GB2312" w:cs="仿宋_GB2312"/>
          <w:color w:val="auto"/>
          <w:kern w:val="0"/>
          <w:sz w:val="32"/>
          <w:szCs w:val="32"/>
          <w:lang w:val="en-US" w:eastAsia="zh-CN" w:bidi="ar-SA"/>
        </w:rPr>
        <w:t>造成银行坏账。</w:t>
      </w:r>
    </w:p>
    <w:p>
      <w:pPr>
        <w:pStyle w:val="13"/>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Times New Roman" w:hAnsi="Times New Roman" w:eastAsia="仿宋_GB2312"/>
          <w:sz w:val="32"/>
          <w:szCs w:val="32"/>
          <w:lang w:val="en-US" w:eastAsia="zh-CN"/>
        </w:rPr>
        <w:t>3.气候变化影响，兴义属于喀</w:t>
      </w:r>
      <w:r>
        <w:rPr>
          <w:rFonts w:ascii="Times New Roman" w:hAnsi="Times New Roman" w:eastAsia="仿宋_GB2312"/>
          <w:sz w:val="32"/>
          <w:szCs w:val="32"/>
        </w:rPr>
        <w:t>斯特地区</w:t>
      </w:r>
      <w:r>
        <w:rPr>
          <w:rFonts w:hint="eastAsia" w:ascii="Times New Roman" w:hAnsi="Times New Roman" w:eastAsia="仿宋_GB2312"/>
          <w:sz w:val="32"/>
          <w:szCs w:val="32"/>
          <w:lang w:eastAsia="zh-CN"/>
        </w:rPr>
        <w:t>，</w:t>
      </w:r>
      <w:r>
        <w:rPr>
          <w:rFonts w:ascii="Times New Roman" w:hAnsi="Times New Roman" w:eastAsia="仿宋_GB2312"/>
          <w:sz w:val="32"/>
          <w:szCs w:val="32"/>
        </w:rPr>
        <w:t>地表植被生长及光合作用效率受全球气温升高的影响更大，土地石漠化风险</w:t>
      </w:r>
      <w:r>
        <w:rPr>
          <w:rFonts w:hint="eastAsia" w:ascii="Times New Roman" w:hAnsi="Times New Roman" w:eastAsia="仿宋_GB2312"/>
          <w:sz w:val="32"/>
          <w:szCs w:val="32"/>
          <w:lang w:val="en-US" w:eastAsia="zh-CN"/>
        </w:rPr>
        <w:t>较</w:t>
      </w:r>
      <w:r>
        <w:rPr>
          <w:rFonts w:ascii="Times New Roman" w:hAnsi="Times New Roman" w:eastAsia="仿宋_GB2312"/>
          <w:sz w:val="32"/>
          <w:szCs w:val="32"/>
        </w:rPr>
        <w:t>高。随着全球气候变暖，伴随的冰雹、强降雨等极端天气增多，农业产业会面临更大的风险</w:t>
      </w:r>
      <w:r>
        <w:rPr>
          <w:rFonts w:hint="eastAsia" w:ascii="Times New Roman" w:hAnsi="Times New Roman" w:eastAsia="仿宋_GB2312"/>
          <w:sz w:val="32"/>
          <w:szCs w:val="32"/>
          <w:lang w:eastAsia="zh-CN"/>
        </w:rPr>
        <w:t>，</w:t>
      </w:r>
      <w:r>
        <w:rPr>
          <w:rFonts w:ascii="Times New Roman" w:hAnsi="Times New Roman" w:eastAsia="仿宋_GB2312"/>
          <w:sz w:val="32"/>
          <w:szCs w:val="32"/>
        </w:rPr>
        <w:t>导致农作物减产和农业生产主体收入下降，</w:t>
      </w:r>
      <w:r>
        <w:rPr>
          <w:rFonts w:hint="eastAsia" w:ascii="仿宋_GB2312" w:hAnsi="仿宋_GB2312" w:eastAsia="仿宋_GB2312" w:cs="仿宋_GB2312"/>
          <w:color w:val="auto"/>
          <w:kern w:val="0"/>
          <w:sz w:val="32"/>
          <w:szCs w:val="32"/>
          <w:lang w:val="en-US" w:eastAsia="zh-CN" w:bidi="ar-SA"/>
        </w:rPr>
        <w:t>在一定程度上给银行信贷资金带来管理上的风险。</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val="en-US" w:eastAsia="zh-CN"/>
        </w:rPr>
        <w:t>6.2</w:t>
      </w:r>
      <w:r>
        <w:rPr>
          <w:rFonts w:hint="eastAsia" w:ascii="楷体_GB2312" w:hAnsi="楷体_GB2312" w:eastAsia="楷体_GB2312" w:cs="楷体_GB2312"/>
          <w:color w:val="auto"/>
          <w:sz w:val="32"/>
          <w:szCs w:val="32"/>
        </w:rPr>
        <w:t>绿色发展方面的机遇</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color w:val="FF0000"/>
          <w:lang w:val="en-US" w:eastAsia="zh-CN"/>
        </w:rPr>
      </w:pPr>
      <w:r>
        <w:rPr>
          <w:rFonts w:ascii="仿宋_GB2312" w:hAnsi="仿宋_GB2312" w:eastAsia="仿宋_GB2312" w:cs="仿宋_GB2312"/>
          <w:color w:val="auto"/>
          <w:kern w:val="0"/>
          <w:sz w:val="32"/>
          <w:szCs w:val="32"/>
          <w:lang w:val="en-US" w:eastAsia="zh-CN" w:bidi="ar-SA"/>
        </w:rPr>
        <w:t>建设绿色金融业务基础设施，大力发展绿色金融业务，有助于</w:t>
      </w:r>
      <w:r>
        <w:rPr>
          <w:rFonts w:hint="eastAsia" w:ascii="仿宋_GB2312" w:hAnsi="仿宋_GB2312" w:eastAsia="仿宋_GB2312" w:cs="仿宋_GB2312"/>
          <w:color w:val="auto"/>
          <w:kern w:val="0"/>
          <w:sz w:val="32"/>
          <w:szCs w:val="32"/>
          <w:lang w:val="en-US" w:eastAsia="zh-CN" w:bidi="ar-SA"/>
        </w:rPr>
        <w:t>本行</w:t>
      </w:r>
      <w:r>
        <w:rPr>
          <w:rFonts w:ascii="仿宋_GB2312" w:hAnsi="仿宋_GB2312" w:eastAsia="仿宋_GB2312" w:cs="仿宋_GB2312"/>
          <w:color w:val="auto"/>
          <w:kern w:val="0"/>
          <w:sz w:val="32"/>
          <w:szCs w:val="32"/>
          <w:lang w:val="en-US" w:eastAsia="zh-CN" w:bidi="ar-SA"/>
        </w:rPr>
        <w:t>降低业务风险</w:t>
      </w:r>
      <w:r>
        <w:rPr>
          <w:rFonts w:hint="eastAsia" w:ascii="仿宋_GB2312" w:hAnsi="仿宋_GB2312" w:eastAsia="仿宋_GB2312" w:cs="仿宋_GB2312"/>
          <w:color w:val="auto"/>
          <w:kern w:val="0"/>
          <w:sz w:val="32"/>
          <w:szCs w:val="32"/>
          <w:lang w:val="en-US" w:eastAsia="zh-CN" w:bidi="ar-SA"/>
        </w:rPr>
        <w:t>，通过</w:t>
      </w:r>
      <w:r>
        <w:rPr>
          <w:rFonts w:ascii="仿宋_GB2312" w:hAnsi="仿宋_GB2312" w:eastAsia="仿宋_GB2312" w:cs="仿宋_GB2312"/>
          <w:color w:val="auto"/>
          <w:kern w:val="0"/>
          <w:sz w:val="32"/>
          <w:szCs w:val="32"/>
          <w:lang w:val="en-US" w:eastAsia="zh-CN" w:bidi="ar-SA"/>
        </w:rPr>
        <w:t>逐渐转变贷款客户</w:t>
      </w:r>
      <w:r>
        <w:rPr>
          <w:rFonts w:hint="eastAsia" w:ascii="仿宋_GB2312" w:hAnsi="仿宋_GB2312" w:eastAsia="仿宋_GB2312" w:cs="仿宋_GB2312"/>
          <w:color w:val="auto"/>
          <w:kern w:val="0"/>
          <w:sz w:val="32"/>
          <w:szCs w:val="32"/>
          <w:lang w:val="en-US" w:eastAsia="zh-CN" w:bidi="ar-SA"/>
        </w:rPr>
        <w:t>投向</w:t>
      </w:r>
      <w:r>
        <w:rPr>
          <w:rFonts w:ascii="仿宋_GB2312" w:hAnsi="仿宋_GB2312" w:eastAsia="仿宋_GB2312" w:cs="仿宋_GB2312"/>
          <w:color w:val="auto"/>
          <w:kern w:val="0"/>
          <w:sz w:val="32"/>
          <w:szCs w:val="32"/>
          <w:lang w:val="en-US" w:eastAsia="zh-CN" w:bidi="ar-SA"/>
        </w:rPr>
        <w:t>，把如房地产、钢铁等行业客户逐渐转向绿色行业</w:t>
      </w:r>
      <w:r>
        <w:rPr>
          <w:rFonts w:hint="eastAsia" w:ascii="仿宋_GB2312" w:hAnsi="仿宋_GB2312" w:eastAsia="仿宋_GB2312" w:cs="仿宋_GB2312"/>
          <w:color w:val="auto"/>
          <w:kern w:val="0"/>
          <w:sz w:val="32"/>
          <w:szCs w:val="32"/>
          <w:lang w:val="en-US" w:eastAsia="zh-CN" w:bidi="ar-SA"/>
        </w:rPr>
        <w:t>，</w:t>
      </w:r>
      <w:r>
        <w:rPr>
          <w:rFonts w:ascii="仿宋_GB2312" w:hAnsi="仿宋_GB2312" w:eastAsia="仿宋_GB2312" w:cs="仿宋_GB2312"/>
          <w:color w:val="auto"/>
          <w:kern w:val="0"/>
          <w:sz w:val="32"/>
          <w:szCs w:val="32"/>
          <w:lang w:val="en-US" w:eastAsia="zh-CN" w:bidi="ar-SA"/>
        </w:rPr>
        <w:t>围绕绿色金融产品不断实施创新，开发绿色生态保护金融衍生工具，不断引导市场投资者对绿色金融产品投资，进一步引导企业走低污染、低能耗的绿色可持续发展之路。</w:t>
      </w:r>
      <w:r>
        <w:rPr>
          <w:rFonts w:hint="eastAsia" w:ascii="仿宋_GB2312" w:eastAsia="仿宋_GB2312"/>
          <w:color w:val="auto"/>
          <w:sz w:val="32"/>
          <w:szCs w:val="32"/>
          <w:lang w:eastAsia="zh-CN"/>
        </w:rPr>
        <w:t>绿色金融不仅能够赋能企业绿色技术创新、优化能源结构，提高资源利用效率和生产率，还能够降低本行风险承担水平，提升本行服务“三农、小微企业”市场价值和盈利能力，</w:t>
      </w:r>
      <w:r>
        <w:rPr>
          <w:rFonts w:hint="eastAsia" w:ascii="仿宋_GB2312" w:eastAsia="仿宋_GB2312"/>
          <w:color w:val="auto"/>
          <w:sz w:val="32"/>
          <w:szCs w:val="32"/>
          <w:lang w:val="en-US" w:eastAsia="zh-CN"/>
        </w:rPr>
        <w:t>是实现金融市场高质量发展的必由之路</w:t>
      </w:r>
      <w:r>
        <w:rPr>
          <w:rFonts w:hint="eastAsia" w:ascii="仿宋_GB2312" w:eastAsia="仿宋_GB2312"/>
          <w:color w:val="auto"/>
          <w:sz w:val="32"/>
          <w:szCs w:val="32"/>
          <w:lang w:eastAsia="zh-CN"/>
        </w:rPr>
        <w:t>。</w:t>
      </w:r>
    </w:p>
    <w:p>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olor w:val="auto"/>
          <w:sz w:val="32"/>
          <w:szCs w:val="32"/>
          <w:lang w:val="en-US" w:eastAsia="zh-CN"/>
        </w:rPr>
      </w:pPr>
      <w:r>
        <w:rPr>
          <w:rFonts w:hint="eastAsia" w:ascii="黑体" w:hAnsi="黑体" w:eastAsia="黑体"/>
          <w:color w:val="auto"/>
          <w:sz w:val="32"/>
          <w:szCs w:val="32"/>
          <w:lang w:val="en-US" w:eastAsia="zh-CN"/>
        </w:rPr>
        <w:t>7.本行环保措施</w:t>
      </w:r>
    </w:p>
    <w:p>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仿宋_GB2312" w:eastAsia="仿宋_GB2312" w:cs="仿宋_GB2312"/>
          <w:color w:val="auto"/>
          <w:sz w:val="31"/>
          <w:szCs w:val="31"/>
          <w:lang w:val="en-US" w:eastAsia="zh-CN"/>
        </w:rPr>
      </w:pPr>
      <w:r>
        <w:rPr>
          <w:rFonts w:hint="eastAsia" w:ascii="仿宋_GB2312" w:eastAsia="仿宋_GB2312"/>
          <w:color w:val="auto"/>
          <w:sz w:val="32"/>
          <w:szCs w:val="32"/>
          <w:lang w:val="en-US" w:eastAsia="zh-CN"/>
        </w:rPr>
        <w:t>为</w:t>
      </w:r>
      <w:r>
        <w:rPr>
          <w:rFonts w:hint="eastAsia" w:ascii="仿宋_GB2312" w:eastAsia="仿宋_GB2312"/>
          <w:color w:val="auto"/>
          <w:sz w:val="32"/>
          <w:szCs w:val="32"/>
        </w:rPr>
        <w:t>推动</w:t>
      </w:r>
      <w:r>
        <w:rPr>
          <w:rFonts w:hint="eastAsia" w:ascii="仿宋_GB2312" w:eastAsia="仿宋_GB2312"/>
          <w:color w:val="auto"/>
          <w:sz w:val="32"/>
          <w:szCs w:val="32"/>
          <w:lang w:val="en-US" w:eastAsia="zh-CN"/>
        </w:rPr>
        <w:t>全行</w:t>
      </w:r>
      <w:r>
        <w:rPr>
          <w:rFonts w:hint="default" w:ascii="仿宋_GB2312" w:eastAsia="仿宋_GB2312" w:cs="仿宋_GB2312"/>
          <w:color w:val="auto"/>
          <w:sz w:val="31"/>
          <w:szCs w:val="31"/>
        </w:rPr>
        <w:t>勤俭办行、厉行节约，反对铺张浪费、大手大脚</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乱列滥支</w:t>
      </w:r>
      <w:r>
        <w:rPr>
          <w:rFonts w:hint="default" w:ascii="仿宋_GB2312" w:eastAsia="仿宋_GB2312" w:cs="仿宋_GB2312"/>
          <w:color w:val="auto"/>
          <w:sz w:val="31"/>
          <w:szCs w:val="31"/>
        </w:rPr>
        <w:t>，提高能源资源利</w:t>
      </w:r>
      <w:r>
        <w:rPr>
          <w:rFonts w:hint="eastAsia" w:ascii="仿宋_GB2312" w:eastAsia="仿宋_GB2312" w:cs="仿宋_GB2312"/>
          <w:color w:val="auto"/>
          <w:sz w:val="31"/>
          <w:szCs w:val="31"/>
          <w:lang w:val="en-US" w:eastAsia="zh-CN"/>
        </w:rPr>
        <w:t>用效率</w:t>
      </w:r>
      <w:r>
        <w:rPr>
          <w:rFonts w:hint="default" w:ascii="仿宋_GB2312" w:eastAsia="仿宋_GB2312" w:cs="仿宋_GB2312"/>
          <w:color w:val="auto"/>
          <w:sz w:val="31"/>
          <w:szCs w:val="31"/>
        </w:rPr>
        <w:t>，</w:t>
      </w:r>
      <w:r>
        <w:rPr>
          <w:rFonts w:hint="eastAsia" w:ascii="仿宋_GB2312" w:eastAsia="仿宋_GB2312" w:cs="仿宋_GB2312"/>
          <w:color w:val="auto"/>
          <w:sz w:val="31"/>
          <w:szCs w:val="31"/>
          <w:lang w:val="en-US" w:eastAsia="zh-CN"/>
        </w:rPr>
        <w:t>确保各项支出精打细算，降低运营成本，推行绿色办公，</w:t>
      </w:r>
      <w:r>
        <w:rPr>
          <w:rFonts w:hint="default" w:ascii="仿宋_GB2312" w:eastAsia="仿宋_GB2312" w:cs="仿宋_GB2312"/>
          <w:color w:val="auto"/>
          <w:sz w:val="31"/>
          <w:szCs w:val="31"/>
        </w:rPr>
        <w:t>营造节约为荣、浪费为耻的良好风尚和崇尚绿色生活的良好氛围</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lang w:val="en-US" w:eastAsia="zh-CN"/>
        </w:rPr>
        <w:t>从</w:t>
      </w:r>
      <w:r>
        <w:rPr>
          <w:rFonts w:hint="eastAsia" w:ascii="仿宋_GB2312" w:eastAsia="仿宋_GB2312"/>
          <w:color w:val="auto"/>
          <w:sz w:val="32"/>
          <w:szCs w:val="32"/>
          <w:lang w:val="en-US" w:eastAsia="zh-CN"/>
        </w:rPr>
        <w:t>能耗管理、办公节约</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用电节约、用水节约、用车节约、办公用房节约、食堂管理等多方面积极推行了环保措施。</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7.1推行绿色服务</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1.网点增设智能柜台，积极发展智能金融服务，降低人力成本。</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2.向客户倡导线上金融服务，如使用手机银行，网上银行、微信公众号等，降低交通成本，从而实现节能减排。</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highlight w:val="none"/>
          <w:shd w:val="clear" w:color="auto" w:fill="auto"/>
          <w:lang w:val="en-US" w:eastAsia="zh-CN"/>
        </w:rPr>
        <w:t>3.</w:t>
      </w:r>
      <w:r>
        <w:rPr>
          <w:rFonts w:hint="eastAsia" w:ascii="仿宋_GB2312" w:hAnsi="仿宋_GB2312" w:eastAsia="仿宋_GB2312" w:cs="仿宋_GB2312"/>
          <w:b w:val="0"/>
          <w:bCs w:val="0"/>
          <w:color w:val="auto"/>
          <w:sz w:val="32"/>
          <w:szCs w:val="32"/>
          <w:lang w:val="en-US" w:eastAsia="zh-CN"/>
        </w:rPr>
        <w:t>全行推行无纸化业务流程，提供电子凭证，节约用纸。</w:t>
      </w:r>
      <w:r>
        <w:rPr>
          <w:rFonts w:hint="eastAsia" w:ascii="仿宋_GB2312" w:hAnsi="仿宋_GB2312" w:eastAsia="仿宋_GB2312" w:cs="仿宋_GB2312"/>
          <w:b w:val="0"/>
          <w:bCs w:val="0"/>
          <w:color w:val="auto"/>
          <w:sz w:val="32"/>
          <w:szCs w:val="32"/>
          <w:highlight w:val="none"/>
          <w:shd w:val="clear" w:color="auto" w:fill="auto"/>
          <w:lang w:val="en-US" w:eastAsia="zh-CN"/>
        </w:rPr>
        <w:t>无</w:t>
      </w:r>
      <w:r>
        <w:rPr>
          <w:rFonts w:hint="eastAsia" w:ascii="仿宋_GB2312" w:hAnsi="仿宋_GB2312" w:eastAsia="仿宋_GB2312" w:cs="仿宋_GB2312"/>
          <w:b w:val="0"/>
          <w:bCs w:val="0"/>
          <w:color w:val="auto"/>
          <w:sz w:val="32"/>
          <w:szCs w:val="32"/>
          <w:lang w:val="en-US" w:eastAsia="zh-CN"/>
        </w:rPr>
        <w:t>纸化项目实现了电子凭证替代纸张，依托“黔农e贷”发放的信贷产品，实现了业务全流程无纸化，减少客户贷款申请资料纸张浪费，降低纸质凭证使用，进一步提升了绿色环保的工作实效，践行了低碳环保、绿色服务的社会责任。</w:t>
      </w:r>
    </w:p>
    <w:p>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7.2秉承绿色办公理念</w:t>
      </w:r>
    </w:p>
    <w:p>
      <w:pPr>
        <w:pStyle w:val="5"/>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本行秉承可持续性发展理念，从员工行为规范、办公能源耗费等多个方面推进银行绿色运营。具体做法如下：</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left"/>
        <w:textAlignment w:val="auto"/>
        <w:rPr>
          <w:rFonts w:hint="eastAsia" w:ascii="仿宋_GB2312" w:eastAsia="仿宋_GB2312" w:cs="仿宋_GB2312"/>
          <w:color w:val="auto"/>
          <w:sz w:val="31"/>
          <w:szCs w:val="31"/>
          <w:lang w:val="en-US" w:eastAsia="zh-CN"/>
        </w:rPr>
      </w:pPr>
      <w:r>
        <w:rPr>
          <w:rFonts w:hint="eastAsia" w:ascii="楷体_GB2312" w:hAnsi="宋体" w:eastAsia="楷体_GB2312" w:cs="楷体_GB2312"/>
          <w:color w:val="auto"/>
          <w:kern w:val="0"/>
          <w:sz w:val="31"/>
          <w:szCs w:val="31"/>
          <w:lang w:val="en-US" w:eastAsia="zh-CN" w:bidi="ar"/>
        </w:rPr>
        <w:t>1.</w:t>
      </w:r>
      <w:r>
        <w:rPr>
          <w:rFonts w:ascii="楷体_GB2312" w:hAnsi="宋体" w:eastAsia="楷体_GB2312" w:cs="楷体_GB2312"/>
          <w:color w:val="auto"/>
          <w:kern w:val="0"/>
          <w:sz w:val="31"/>
          <w:szCs w:val="31"/>
          <w:lang w:val="en-US" w:eastAsia="zh-CN" w:bidi="ar"/>
        </w:rPr>
        <w:t>开展能耗统计分析管理</w:t>
      </w:r>
      <w:r>
        <w:rPr>
          <w:rFonts w:hint="eastAsia" w:ascii="楷体_GB2312" w:hAnsi="宋体" w:eastAsia="楷体_GB2312" w:cs="楷体_GB2312"/>
          <w:color w:val="auto"/>
          <w:kern w:val="0"/>
          <w:sz w:val="31"/>
          <w:szCs w:val="31"/>
          <w:lang w:val="en-US" w:eastAsia="zh-CN" w:bidi="ar"/>
        </w:rPr>
        <w:t xml:space="preserve">  </w:t>
      </w:r>
      <w:r>
        <w:rPr>
          <w:rFonts w:ascii="仿宋_GB2312" w:hAnsi="宋体" w:eastAsia="仿宋_GB2312" w:cs="仿宋_GB2312"/>
          <w:color w:val="auto"/>
          <w:kern w:val="0"/>
          <w:sz w:val="31"/>
          <w:szCs w:val="31"/>
          <w:lang w:val="en-US" w:eastAsia="zh-CN" w:bidi="ar"/>
        </w:rPr>
        <w:t>实行能源资源消耗分区、分</w:t>
      </w:r>
      <w:r>
        <w:rPr>
          <w:rFonts w:hint="default" w:ascii="仿宋_GB2312" w:eastAsia="仿宋_GB2312" w:cs="仿宋_GB2312"/>
          <w:color w:val="auto"/>
          <w:sz w:val="31"/>
          <w:szCs w:val="31"/>
        </w:rPr>
        <w:t>类、分项计量，建立能源资源消费统计台账，注重监测能耗统计分析，定期分析</w:t>
      </w:r>
      <w:r>
        <w:rPr>
          <w:rFonts w:hint="eastAsia" w:ascii="仿宋_GB2312" w:eastAsia="仿宋_GB2312" w:cs="仿宋_GB2312"/>
          <w:color w:val="auto"/>
          <w:sz w:val="31"/>
          <w:szCs w:val="31"/>
          <w:lang w:val="en-US" w:eastAsia="zh-CN"/>
        </w:rPr>
        <w:t>能耗</w:t>
      </w:r>
      <w:r>
        <w:rPr>
          <w:rFonts w:hint="default" w:ascii="仿宋_GB2312" w:eastAsia="仿宋_GB2312" w:cs="仿宋_GB2312"/>
          <w:color w:val="auto"/>
          <w:sz w:val="31"/>
          <w:szCs w:val="31"/>
        </w:rPr>
        <w:t>情况。测算各环节、各部</w:t>
      </w:r>
      <w:r>
        <w:rPr>
          <w:rFonts w:hint="eastAsia" w:ascii="仿宋_GB2312" w:eastAsia="仿宋_GB2312" w:cs="仿宋_GB2312"/>
          <w:color w:val="auto"/>
          <w:sz w:val="31"/>
          <w:szCs w:val="31"/>
          <w:lang w:val="en-US" w:eastAsia="zh-CN"/>
        </w:rPr>
        <w:t>门</w:t>
      </w:r>
      <w:r>
        <w:rPr>
          <w:rFonts w:hint="default" w:ascii="仿宋_GB2312" w:eastAsia="仿宋_GB2312" w:cs="仿宋_GB2312"/>
          <w:color w:val="auto"/>
          <w:sz w:val="31"/>
          <w:szCs w:val="31"/>
        </w:rPr>
        <w:t>、各设备节能潜力，强化数据分析结果应用。针</w:t>
      </w:r>
      <w:r>
        <w:rPr>
          <w:rFonts w:hint="default" w:ascii="仿宋_GB2312" w:hAnsi="宋体" w:eastAsia="仿宋_GB2312" w:cs="仿宋_GB2312"/>
          <w:color w:val="auto"/>
          <w:kern w:val="0"/>
          <w:sz w:val="31"/>
          <w:szCs w:val="31"/>
          <w:lang w:val="en-US" w:eastAsia="zh-CN" w:bidi="ar"/>
        </w:rPr>
        <w:t>对能耗异常情况，及时进行排查处置。尽量选用节能、</w:t>
      </w:r>
      <w:r>
        <w:rPr>
          <w:rFonts w:hint="default" w:ascii="仿宋_GB2312" w:eastAsia="仿宋_GB2312" w:cs="仿宋_GB2312"/>
          <w:color w:val="auto"/>
          <w:sz w:val="31"/>
          <w:szCs w:val="31"/>
        </w:rPr>
        <w:t>节水、环保、再生、资源综合利用等绿色产品，努力打造绿色低</w:t>
      </w:r>
      <w:r>
        <w:rPr>
          <w:rFonts w:hint="eastAsia" w:ascii="仿宋_GB2312" w:eastAsia="仿宋_GB2312" w:cs="仿宋_GB2312"/>
          <w:color w:val="auto"/>
          <w:sz w:val="31"/>
          <w:szCs w:val="31"/>
          <w:lang w:val="en-US" w:eastAsia="zh-CN"/>
        </w:rPr>
        <w:t>碳银行。</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left"/>
        <w:textAlignment w:val="auto"/>
        <w:rPr>
          <w:rFonts w:hint="default" w:ascii="仿宋_GB2312" w:eastAsia="仿宋_GB2312" w:cs="仿宋_GB2312" w:hAnsiTheme="minorHAnsi"/>
          <w:color w:val="auto"/>
          <w:kern w:val="2"/>
          <w:sz w:val="31"/>
          <w:szCs w:val="31"/>
          <w:lang w:val="en-US" w:eastAsia="zh-CN" w:bidi="ar-SA"/>
        </w:rPr>
      </w:pPr>
      <w:r>
        <w:rPr>
          <w:rFonts w:hint="eastAsia" w:ascii="楷体_GB2312" w:hAnsi="宋体" w:eastAsia="楷体_GB2312" w:cs="楷体_GB2312"/>
          <w:color w:val="auto"/>
          <w:kern w:val="0"/>
          <w:sz w:val="31"/>
          <w:szCs w:val="31"/>
          <w:lang w:val="en-US" w:eastAsia="zh-CN" w:bidi="ar"/>
        </w:rPr>
        <w:t xml:space="preserve">2.加强办公节约管理  </w:t>
      </w:r>
      <w:r>
        <w:rPr>
          <w:rFonts w:hint="eastAsia" w:ascii="仿宋_GB2312" w:eastAsia="仿宋_GB2312" w:cs="仿宋_GB2312" w:hAnsiTheme="minorHAnsi"/>
          <w:color w:val="auto"/>
          <w:kern w:val="2"/>
          <w:sz w:val="31"/>
          <w:szCs w:val="31"/>
          <w:lang w:val="en-US" w:eastAsia="zh-CN" w:bidi="ar-SA"/>
        </w:rPr>
        <w:t>从严从紧配置办公家具、办公设</w:t>
      </w:r>
      <w:r>
        <w:rPr>
          <w:rFonts w:hint="default" w:ascii="仿宋_GB2312" w:eastAsia="仿宋_GB2312" w:cs="仿宋_GB2312" w:hAnsiTheme="minorHAnsi"/>
          <w:color w:val="auto"/>
          <w:kern w:val="2"/>
          <w:sz w:val="31"/>
          <w:szCs w:val="31"/>
          <w:lang w:val="en-US" w:eastAsia="zh-CN" w:bidi="ar-SA"/>
        </w:rPr>
        <w:t>备等办公物资，通过集中整合、调剂、共享等方式优化配置盘活存量物资，提高资产使用效益，杜绝设备无序采买更新，严控未到折旧年限、经济年限的设备更新，已到更新年限尚能继续使用的，不得报废处置，对电脑等办公资产严格执行“领一退一”制度，打印机的配置标准原则上每个办公室不超过1台。大力倡导使用钉钉和黔农办公等信息系统，推行线上无纸化办公、双面打印，有效减少打印耗材纸张等一次性办公用品消耗。</w:t>
      </w:r>
    </w:p>
    <w:p>
      <w:pPr>
        <w:keepNext w:val="0"/>
        <w:keepLines w:val="0"/>
        <w:pageBreakBefore w:val="0"/>
        <w:widowControl/>
        <w:numPr>
          <w:ilvl w:val="0"/>
          <w:numId w:val="0"/>
        </w:numPr>
        <w:suppressLineNumbers w:val="0"/>
        <w:kinsoku/>
        <w:wordWrap/>
        <w:overflowPunct/>
        <w:topLinePunct w:val="0"/>
        <w:bidi w:val="0"/>
        <w:snapToGrid/>
        <w:spacing w:line="560" w:lineRule="exact"/>
        <w:ind w:firstLine="620" w:firstLineChars="200"/>
        <w:jc w:val="both"/>
        <w:textAlignment w:val="auto"/>
        <w:rPr>
          <w:rFonts w:hint="default" w:ascii="仿宋_GB2312" w:eastAsia="仿宋_GB2312" w:cs="仿宋_GB2312"/>
          <w:color w:val="auto"/>
          <w:sz w:val="31"/>
          <w:szCs w:val="31"/>
        </w:rPr>
      </w:pPr>
      <w:r>
        <w:rPr>
          <w:rFonts w:hint="eastAsia" w:ascii="楷体_GB2312" w:hAnsi="宋体" w:eastAsia="楷体_GB2312" w:cs="楷体_GB2312"/>
          <w:color w:val="auto"/>
          <w:kern w:val="0"/>
          <w:sz w:val="31"/>
          <w:szCs w:val="31"/>
          <w:lang w:val="en-US" w:eastAsia="zh-CN" w:bidi="ar"/>
        </w:rPr>
        <w:t xml:space="preserve">3.加强用水节约管理  </w:t>
      </w:r>
      <w:r>
        <w:rPr>
          <w:rFonts w:ascii="仿宋_GB2312" w:hAnsi="宋体" w:eastAsia="仿宋_GB2312" w:cs="仿宋_GB2312"/>
          <w:color w:val="auto"/>
          <w:kern w:val="0"/>
          <w:sz w:val="31"/>
          <w:szCs w:val="31"/>
          <w:lang w:val="en-US" w:eastAsia="zh-CN" w:bidi="ar"/>
        </w:rPr>
        <w:t>严格落实用水节约制度，加强供</w:t>
      </w:r>
      <w:r>
        <w:rPr>
          <w:rFonts w:hint="default" w:ascii="仿宋_GB2312" w:eastAsia="仿宋_GB2312" w:cs="仿宋_GB2312"/>
          <w:color w:val="auto"/>
          <w:sz w:val="31"/>
          <w:szCs w:val="31"/>
        </w:rPr>
        <w:t>水系统的检查维护管理，及时检查更换老化的供水管路及零件，防止出现“跑冒滴漏”现象。在用水区域设置节约用水标识，水龙头做到随手关闭，避免“长流水”现象，务求有效减少水资源浪费。</w:t>
      </w:r>
    </w:p>
    <w:p>
      <w:pPr>
        <w:pStyle w:val="8"/>
        <w:keepNext w:val="0"/>
        <w:keepLines w:val="0"/>
        <w:pageBreakBefore w:val="0"/>
        <w:widowControl/>
        <w:suppressLineNumbers w:val="0"/>
        <w:kinsoku/>
        <w:wordWrap/>
        <w:overflowPunct/>
        <w:topLinePunct w:val="0"/>
        <w:bidi w:val="0"/>
        <w:snapToGrid/>
        <w:spacing w:line="560" w:lineRule="exact"/>
        <w:ind w:firstLine="620" w:firstLineChars="200"/>
        <w:jc w:val="both"/>
        <w:textAlignment w:val="auto"/>
        <w:rPr>
          <w:rFonts w:hint="default" w:ascii="仿宋_GB2312" w:eastAsia="仿宋_GB2312" w:cs="仿宋_GB2312"/>
          <w:color w:val="auto"/>
          <w:sz w:val="31"/>
          <w:szCs w:val="31"/>
        </w:rPr>
      </w:pPr>
      <w:r>
        <w:rPr>
          <w:rFonts w:hint="eastAsia" w:ascii="楷体_GB2312" w:eastAsia="楷体_GB2312" w:cs="楷体_GB2312"/>
          <w:color w:val="auto"/>
          <w:kern w:val="0"/>
          <w:sz w:val="31"/>
          <w:szCs w:val="31"/>
          <w:lang w:val="en-US" w:eastAsia="zh-CN" w:bidi="ar"/>
        </w:rPr>
        <w:t>4.</w:t>
      </w:r>
      <w:r>
        <w:rPr>
          <w:rFonts w:hint="eastAsia" w:ascii="楷体_GB2312" w:hAnsi="宋体" w:eastAsia="楷体_GB2312" w:cs="楷体_GB2312"/>
          <w:color w:val="auto"/>
          <w:kern w:val="0"/>
          <w:sz w:val="31"/>
          <w:szCs w:val="31"/>
          <w:lang w:val="en-US" w:eastAsia="zh-CN" w:bidi="ar"/>
        </w:rPr>
        <w:t>加强食堂管理</w:t>
      </w:r>
      <w:r>
        <w:rPr>
          <w:rFonts w:hint="eastAsia" w:ascii="楷体_GB2312" w:eastAsia="楷体_GB2312" w:cs="楷体_GB2312"/>
          <w:color w:val="auto"/>
          <w:kern w:val="0"/>
          <w:sz w:val="31"/>
          <w:szCs w:val="31"/>
          <w:lang w:val="en-US" w:eastAsia="zh-CN" w:bidi="ar"/>
        </w:rPr>
        <w:t xml:space="preserve">  </w:t>
      </w:r>
      <w:r>
        <w:rPr>
          <w:rFonts w:hint="default" w:ascii="仿宋_GB2312" w:eastAsia="仿宋_GB2312" w:cs="仿宋_GB2312"/>
          <w:color w:val="auto"/>
          <w:sz w:val="31"/>
          <w:szCs w:val="31"/>
        </w:rPr>
        <w:t>积极开展厉行节约、文明餐桌、光盘行动等活动，在食堂显著位置或餐桌上展示“光</w:t>
      </w:r>
      <w:r>
        <w:rPr>
          <w:rFonts w:hint="default" w:ascii="仿宋_GB2312" w:hAnsi="宋体" w:eastAsia="仿宋_GB2312" w:cs="仿宋_GB2312"/>
          <w:color w:val="auto"/>
          <w:kern w:val="0"/>
          <w:sz w:val="31"/>
          <w:szCs w:val="31"/>
          <w:lang w:val="en-US" w:eastAsia="zh-CN" w:bidi="ar"/>
        </w:rPr>
        <w:t>盘</w:t>
      </w:r>
      <w:r>
        <w:rPr>
          <w:rFonts w:hint="eastAsia" w:ascii="仿宋_GB2312" w:eastAsia="仿宋_GB2312" w:cs="仿宋_GB2312"/>
          <w:color w:val="auto"/>
          <w:kern w:val="0"/>
          <w:sz w:val="31"/>
          <w:szCs w:val="31"/>
          <w:lang w:val="en-US" w:eastAsia="zh-CN" w:bidi="ar"/>
        </w:rPr>
        <w:t>行</w:t>
      </w:r>
      <w:r>
        <w:rPr>
          <w:rFonts w:hint="default" w:ascii="仿宋_GB2312" w:hAnsi="宋体" w:eastAsia="仿宋_GB2312" w:cs="仿宋_GB2312"/>
          <w:color w:val="auto"/>
          <w:kern w:val="0"/>
          <w:sz w:val="31"/>
          <w:szCs w:val="31"/>
          <w:lang w:val="en-US" w:eastAsia="zh-CN" w:bidi="ar"/>
        </w:rPr>
        <w:t>动”“严禁浪费”等文明提示牌，引导广大干部职工就餐时</w:t>
      </w:r>
      <w:r>
        <w:rPr>
          <w:rFonts w:hint="default" w:ascii="仿宋_GB2312" w:eastAsia="仿宋_GB2312" w:cs="仿宋_GB2312"/>
          <w:color w:val="auto"/>
          <w:sz w:val="31"/>
          <w:szCs w:val="31"/>
        </w:rPr>
        <w:t>适量取食，不剩饭菜，人走盘光，杜绝出现食物浪费、餐后夹带行为。纪委要不定期开展督促检查，对违反规定的给予批评教育，坚决抵制餐饮浪费行为。</w:t>
      </w:r>
    </w:p>
    <w:p>
      <w:pPr>
        <w:keepNext w:val="0"/>
        <w:keepLines w:val="0"/>
        <w:pageBreakBefore w:val="0"/>
        <w:widowControl/>
        <w:suppressLineNumbers w:val="0"/>
        <w:kinsoku/>
        <w:wordWrap/>
        <w:overflowPunct/>
        <w:topLinePunct w:val="0"/>
        <w:bidi w:val="0"/>
        <w:snapToGrid/>
        <w:spacing w:line="560" w:lineRule="exact"/>
        <w:jc w:val="center"/>
        <w:textAlignment w:val="auto"/>
        <w:rPr>
          <w:color w:val="auto"/>
        </w:rPr>
      </w:pPr>
      <w:r>
        <w:rPr>
          <w:rFonts w:hint="eastAsia" w:ascii="楷体_GB2312" w:hAnsi="宋体" w:eastAsia="楷体_GB2312" w:cs="楷体_GB2312"/>
          <w:color w:val="auto"/>
          <w:kern w:val="0"/>
          <w:sz w:val="31"/>
          <w:szCs w:val="31"/>
          <w:lang w:val="en-US" w:eastAsia="zh-CN" w:bidi="ar"/>
        </w:rPr>
        <w:t xml:space="preserve">    5.加强用电节约管理  </w:t>
      </w:r>
      <w:r>
        <w:rPr>
          <w:rFonts w:ascii="仿宋_GB2312" w:hAnsi="宋体" w:eastAsia="仿宋_GB2312" w:cs="仿宋_GB2312"/>
          <w:color w:val="auto"/>
          <w:kern w:val="0"/>
          <w:sz w:val="31"/>
          <w:szCs w:val="31"/>
          <w:lang w:val="en-US" w:eastAsia="zh-CN" w:bidi="ar"/>
        </w:rPr>
        <w:t>空调使用严格执行夏季室内空调</w:t>
      </w:r>
      <w:r>
        <w:rPr>
          <w:rFonts w:hint="default" w:ascii="仿宋_GB2312" w:eastAsia="仿宋_GB2312" w:cs="仿宋_GB2312"/>
          <w:color w:val="auto"/>
          <w:sz w:val="31"/>
          <w:szCs w:val="31"/>
        </w:rPr>
        <w:t>温度设置不得低于20℃、冬季室内空调温度设置不得高于26℃</w:t>
      </w:r>
    </w:p>
    <w:p>
      <w:pPr>
        <w:pStyle w:val="8"/>
        <w:keepNext w:val="0"/>
        <w:keepLines w:val="0"/>
        <w:pageBreakBefore w:val="0"/>
        <w:widowControl/>
        <w:suppressLineNumbers w:val="0"/>
        <w:kinsoku/>
        <w:wordWrap/>
        <w:overflowPunct/>
        <w:topLinePunct w:val="0"/>
        <w:bidi w:val="0"/>
        <w:snapToGrid/>
        <w:spacing w:line="560" w:lineRule="exact"/>
        <w:textAlignment w:val="auto"/>
        <w:rPr>
          <w:rFonts w:hint="eastAsia"/>
          <w:color w:val="auto"/>
          <w:lang w:val="en-US" w:eastAsia="zh-CN"/>
        </w:rPr>
      </w:pPr>
      <w:r>
        <w:rPr>
          <w:rFonts w:hint="default" w:ascii="仿宋_GB2312" w:eastAsia="仿宋_GB2312" w:cs="仿宋_GB2312"/>
          <w:color w:val="auto"/>
          <w:sz w:val="31"/>
          <w:szCs w:val="31"/>
        </w:rPr>
        <w:t>的空调温度控制标准，不得在开窗的情况下使用空调。合理使用光照，办公室、会议室、接待室、走廊等场所内自然光亮度足够时不开灯，杜绝长明灯、白昼灯，做到人走灯灭。计算机、打印机、复印机、传真机、扫描仪等办公自动化设备尽量减少待机消</w:t>
      </w:r>
      <w:r>
        <w:rPr>
          <w:rFonts w:hint="default" w:ascii="仿宋_GB2312" w:hAnsi="宋体" w:eastAsia="仿宋_GB2312" w:cs="仿宋_GB2312"/>
          <w:color w:val="auto"/>
          <w:kern w:val="0"/>
          <w:sz w:val="31"/>
          <w:szCs w:val="31"/>
          <w:lang w:val="en-US" w:eastAsia="zh-CN" w:bidi="ar"/>
        </w:rPr>
        <w:t>耗，长时间不使用或下班时间应及时关闭电源，有效节约用电。</w:t>
      </w:r>
      <w:r>
        <w:rPr>
          <w:rFonts w:hint="default" w:ascii="仿宋_GB2312" w:eastAsia="仿宋_GB2312" w:cs="仿宋_GB2312"/>
          <w:color w:val="auto"/>
          <w:sz w:val="31"/>
          <w:szCs w:val="31"/>
        </w:rPr>
        <w:t>提倡低层步行不乘电梯，在办公室、会议室设置节约用电标识和室温控制标识。</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8.</w:t>
      </w:r>
      <w:r>
        <w:rPr>
          <w:rFonts w:hint="eastAsia" w:ascii="黑体" w:hAnsi="黑体" w:eastAsia="黑体"/>
          <w:color w:val="auto"/>
          <w:sz w:val="32"/>
          <w:szCs w:val="32"/>
        </w:rPr>
        <w:t>数据梳理、校验及保护</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8.1建立数据管理系统及流程，保证数据质量</w:t>
      </w:r>
    </w:p>
    <w:p>
      <w:pPr>
        <w:pStyle w:val="2"/>
        <w:keepNext w:val="0"/>
        <w:keepLines w:val="0"/>
        <w:pageBreakBefore w:val="0"/>
        <w:numPr>
          <w:ilvl w:val="0"/>
          <w:numId w:val="0"/>
        </w:numPr>
        <w:kinsoku/>
        <w:wordWrap/>
        <w:overflowPunct/>
        <w:topLinePunct w:val="0"/>
        <w:bidi w:val="0"/>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为确保全行范围内数据质量管理工作有效开展，保障行内信息安全，本行依据相关法律法规制定了《贵州兴义农商银行数据治理管理暂行办法》，对行内数据质量、信息安全、数据治理方面建立管理规范。同时，成立数据治理工作小组，规范履行职责职能，提高管理水平，保障数据治理工作持续有序开展。</w:t>
      </w:r>
    </w:p>
    <w:p>
      <w:pPr>
        <w:pStyle w:val="2"/>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8.2强化重要信息系统应急预案管理，提高信息系统突发事件处置能力</w:t>
      </w:r>
    </w:p>
    <w:p>
      <w:pPr>
        <w:pStyle w:val="2"/>
        <w:keepNext w:val="0"/>
        <w:keepLines w:val="0"/>
        <w:pageBreakBefore w:val="0"/>
        <w:numPr>
          <w:ilvl w:val="0"/>
          <w:numId w:val="0"/>
        </w:numPr>
        <w:kinsoku/>
        <w:wordWrap/>
        <w:overflowPunct/>
        <w:topLinePunct w:val="0"/>
        <w:bidi w:val="0"/>
        <w:snapToGrid/>
        <w:spacing w:line="560" w:lineRule="exact"/>
        <w:ind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行制定的《贵州兴义农村商业银行信息科技风险管理总体应急预案》，规范了行内重要信息系统突发事件应急预案的应对措施，有效预防、及时控制和最大限度地消除信息系统安全运行各类突发事件的危害和影响，提高了重要信息系统突发事件的处置能力。</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9.绿色金融创新及研究成果</w:t>
      </w:r>
      <w:r>
        <w:rPr>
          <w:rFonts w:hint="eastAsia" w:ascii="彩虹小标宋" w:hAnsi="彩虹小标宋" w:eastAsia="彩虹小标宋" w:cs="彩虹小标宋"/>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9.1探索绿色金融“新实践”，促进绿色产业优化发展</w:t>
      </w:r>
    </w:p>
    <w:p>
      <w:pPr>
        <w:pStyle w:val="5"/>
        <w:pageBreakBefore w:val="0"/>
        <w:kinsoku/>
        <w:wordWrap/>
        <w:overflowPunct/>
        <w:topLinePunct w:val="0"/>
        <w:bidi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结合绿色信贷金融服务理念，推动绿色发展与支农惠农之间的融合，创新绿色信贷产品，推出“创业小额担保贷款”、“</w:t>
      </w:r>
      <w:r>
        <w:rPr>
          <w:rFonts w:hint="eastAsia" w:ascii="仿宋_GB2312" w:hAnsi="仿宋_GB2312" w:eastAsia="仿宋_GB2312" w:cs="仿宋_GB2312"/>
          <w:sz w:val="32"/>
          <w:szCs w:val="32"/>
          <w:lang w:eastAsia="zh-CN"/>
        </w:rPr>
        <w:t>黔农十二贷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兴农</w:t>
      </w:r>
      <w:r>
        <w:rPr>
          <w:rFonts w:hint="eastAsia" w:ascii="仿宋_GB2312" w:hAnsi="仿宋_GB2312" w:eastAsia="仿宋_GB2312" w:cs="仿宋_GB2312"/>
          <w:sz w:val="32"/>
          <w:szCs w:val="32"/>
        </w:rPr>
        <w:t>贷”、“</w:t>
      </w:r>
      <w:r>
        <w:rPr>
          <w:rFonts w:hint="eastAsia" w:ascii="仿宋_GB2312" w:hAnsi="仿宋_GB2312" w:eastAsia="仿宋_GB2312" w:cs="仿宋_GB2312"/>
          <w:sz w:val="32"/>
          <w:szCs w:val="32"/>
          <w:lang w:eastAsia="zh-CN"/>
        </w:rPr>
        <w:t>家园</w:t>
      </w:r>
      <w:r>
        <w:rPr>
          <w:rFonts w:hint="eastAsia" w:ascii="仿宋_GB2312" w:hAnsi="仿宋_GB2312" w:eastAsia="仿宋_GB2312" w:cs="仿宋_GB2312"/>
          <w:sz w:val="32"/>
          <w:szCs w:val="32"/>
        </w:rPr>
        <w:t>贷”等特色信贷产品，引导信贷资金向绿色信贷行业投放，推动地方绿色农业产业发展。通过简化信贷手续、优先调查、优先审批、优先安排信贷规模，全力支持绿色、低碳、循环经济的优质项目发展。同时简化内部工作流程，为绿色信贷产品和金融服务研发、审批、推广提供“绿色通道”。</w:t>
      </w:r>
    </w:p>
    <w:p>
      <w:pPr>
        <w:pStyle w:val="5"/>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案例</w:t>
      </w: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：“黔农十二贷”支持</w:t>
      </w:r>
      <w:r>
        <w:rPr>
          <w:rFonts w:hint="eastAsia" w:ascii="仿宋_GB2312" w:hAnsi="仿宋_GB2312" w:eastAsia="仿宋_GB2312" w:cs="仿宋_GB2312"/>
          <w:b/>
          <w:bCs/>
          <w:color w:val="auto"/>
          <w:sz w:val="32"/>
          <w:szCs w:val="32"/>
          <w:lang w:val="en-US" w:eastAsia="zh-CN"/>
        </w:rPr>
        <w:t>地方特色农业产业发展</w:t>
      </w:r>
    </w:p>
    <w:p>
      <w:pPr>
        <w:keepNext w:val="0"/>
        <w:keepLines w:val="0"/>
        <w:pageBreakBefore w:val="0"/>
        <w:tabs>
          <w:tab w:val="left" w:pos="0"/>
        </w:tabs>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黔西南州厚德农业科技有限公司（简称为“厚德农业公司”）成立于2015年07月09日，位于贵州省黔西南州兴义市万屯镇</w:t>
      </w:r>
      <w:r>
        <w:rPr>
          <w:rFonts w:hint="eastAsia" w:ascii="仿宋_GB2312" w:hAnsi="仿宋_GB2312" w:eastAsia="仿宋_GB2312" w:cs="仿宋_GB2312"/>
          <w:color w:val="auto"/>
          <w:sz w:val="32"/>
          <w:szCs w:val="32"/>
          <w:lang w:val="en-US" w:eastAsia="zh-CN"/>
        </w:rPr>
        <w:t>纳</w:t>
      </w:r>
      <w:r>
        <w:rPr>
          <w:rFonts w:hint="eastAsia" w:ascii="仿宋_GB2312" w:hAnsi="仿宋_GB2312" w:eastAsia="仿宋_GB2312" w:cs="仿宋_GB2312"/>
          <w:color w:val="auto"/>
          <w:sz w:val="32"/>
          <w:szCs w:val="32"/>
        </w:rPr>
        <w:t>玉村村民委员会一层，公司类型为有限责任公司（自然人投资或控股），</w:t>
      </w:r>
      <w:r>
        <w:rPr>
          <w:rFonts w:hint="eastAsia" w:ascii="仿宋_GB2312" w:hAnsi="仿宋_GB2312" w:eastAsia="仿宋_GB2312" w:cs="仿宋_GB2312"/>
          <w:color w:val="auto"/>
          <w:sz w:val="32"/>
          <w:szCs w:val="32"/>
          <w:lang w:val="en-US" w:eastAsia="zh-CN"/>
        </w:rPr>
        <w:t>公</w:t>
      </w:r>
      <w:r>
        <w:rPr>
          <w:rFonts w:hint="eastAsia" w:ascii="仿宋_GB2312" w:hAnsi="仿宋_GB2312" w:eastAsia="仿宋_GB2312" w:cs="仿宋_GB2312"/>
          <w:color w:val="auto"/>
          <w:sz w:val="32"/>
          <w:szCs w:val="32"/>
        </w:rPr>
        <w:t>司法定代表人：王永富，注册资本100万元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经营范围：水果、蔬菜种植、加工及销售；乔灌木种植及销售（国家法律、法规禁止的除外）</w:t>
      </w:r>
      <w:r>
        <w:rPr>
          <w:rFonts w:hint="eastAsia" w:ascii="仿宋_GB2312" w:hAnsi="仿宋_GB2312" w:eastAsia="仿宋_GB2312" w:cs="仿宋_GB2312"/>
          <w:color w:val="auto"/>
          <w:sz w:val="32"/>
          <w:szCs w:val="32"/>
          <w:lang w:eastAsia="zh-CN"/>
        </w:rPr>
        <w:t>。该公司</w:t>
      </w:r>
      <w:r>
        <w:rPr>
          <w:rFonts w:hint="eastAsia" w:ascii="仿宋_GB2312" w:hAnsi="仿宋_GB2312" w:eastAsia="仿宋_GB2312" w:cs="仿宋_GB2312"/>
          <w:color w:val="auto"/>
          <w:sz w:val="32"/>
          <w:szCs w:val="32"/>
        </w:rPr>
        <w:t>自2016年</w:t>
      </w:r>
      <w:r>
        <w:rPr>
          <w:rFonts w:hint="eastAsia" w:ascii="仿宋_GB2312" w:hAnsi="仿宋_GB2312" w:eastAsia="仿宋_GB2312" w:cs="仿宋_GB2312"/>
          <w:color w:val="auto"/>
          <w:sz w:val="32"/>
          <w:szCs w:val="32"/>
          <w:lang w:eastAsia="zh-CN"/>
        </w:rPr>
        <w:t>经营以来</w:t>
      </w:r>
      <w:r>
        <w:rPr>
          <w:rFonts w:hint="eastAsia" w:ascii="仿宋_GB2312" w:hAnsi="仿宋_GB2312" w:eastAsia="仿宋_GB2312" w:cs="仿宋_GB2312"/>
          <w:color w:val="auto"/>
          <w:sz w:val="32"/>
          <w:szCs w:val="32"/>
        </w:rPr>
        <w:t>，挂牌为绿色环保农业产品，公司种植基地</w:t>
      </w:r>
      <w:r>
        <w:rPr>
          <w:rFonts w:hint="eastAsia" w:ascii="仿宋_GB2312" w:hAnsi="仿宋_GB2312" w:eastAsia="仿宋_GB2312" w:cs="仿宋_GB2312"/>
          <w:color w:val="auto"/>
          <w:sz w:val="32"/>
          <w:szCs w:val="32"/>
          <w:lang w:val="en-US" w:eastAsia="zh-CN"/>
        </w:rPr>
        <w:t>为</w:t>
      </w:r>
      <w:r>
        <w:rPr>
          <w:rFonts w:hint="eastAsia" w:ascii="仿宋_GB2312" w:hAnsi="仿宋_GB2312" w:eastAsia="仿宋_GB2312" w:cs="仿宋_GB2312"/>
          <w:color w:val="auto"/>
          <w:sz w:val="32"/>
          <w:szCs w:val="32"/>
        </w:rPr>
        <w:t>万屯镇、沧江镇，种植面积600余亩。目前，已种植枇杷、板栗、</w:t>
      </w:r>
      <w:r>
        <w:rPr>
          <w:rFonts w:hint="eastAsia" w:ascii="仿宋_GB2312" w:hAnsi="仿宋_GB2312" w:eastAsia="仿宋_GB2312" w:cs="仿宋_GB2312"/>
          <w:color w:val="auto"/>
          <w:sz w:val="32"/>
          <w:szCs w:val="32"/>
          <w:lang w:eastAsia="zh-CN"/>
        </w:rPr>
        <w:t>桃子</w:t>
      </w:r>
      <w:r>
        <w:rPr>
          <w:rFonts w:hint="eastAsia" w:ascii="仿宋_GB2312" w:hAnsi="仿宋_GB2312" w:eastAsia="仿宋_GB2312" w:cs="仿宋_GB2312"/>
          <w:color w:val="auto"/>
          <w:sz w:val="32"/>
          <w:szCs w:val="32"/>
        </w:rPr>
        <w:t>等40多种水果，黄瓜、玉米等20多种蔬菜。</w:t>
      </w:r>
      <w:r>
        <w:rPr>
          <w:rFonts w:hint="eastAsia" w:ascii="仿宋_GB2312" w:hAnsi="仿宋_GB2312" w:eastAsia="仿宋_GB2312" w:cs="仿宋_GB2312"/>
          <w:color w:val="auto"/>
          <w:sz w:val="32"/>
          <w:szCs w:val="32"/>
          <w:lang w:val="en-US" w:eastAsia="zh-CN"/>
        </w:rPr>
        <w:t>由于流动资金需要，</w:t>
      </w:r>
      <w:r>
        <w:rPr>
          <w:rFonts w:hint="eastAsia" w:ascii="仿宋_GB2312" w:hAnsi="仿宋_GB2312" w:eastAsia="仿宋_GB2312" w:cs="仿宋_GB2312"/>
          <w:color w:val="auto"/>
          <w:sz w:val="32"/>
          <w:szCs w:val="32"/>
          <w:lang w:eastAsia="zh-CN"/>
        </w:rPr>
        <w:t>该公司</w:t>
      </w:r>
      <w:r>
        <w:rPr>
          <w:rFonts w:hint="eastAsia" w:ascii="仿宋_GB2312" w:hAnsi="仿宋_GB2312" w:eastAsia="仿宋_GB2312" w:cs="仿宋_GB2312"/>
          <w:color w:val="auto"/>
          <w:sz w:val="32"/>
          <w:szCs w:val="32"/>
        </w:rPr>
        <w:t>于2017年7月20日向</w:t>
      </w:r>
      <w:r>
        <w:rPr>
          <w:rFonts w:hint="eastAsia" w:ascii="仿宋_GB2312" w:hAnsi="仿宋_GB2312" w:eastAsia="仿宋_GB2312" w:cs="仿宋_GB2312"/>
          <w:color w:val="auto"/>
          <w:sz w:val="32"/>
          <w:szCs w:val="32"/>
          <w:lang w:eastAsia="zh-CN"/>
        </w:rPr>
        <w:t>本</w:t>
      </w:r>
      <w:r>
        <w:rPr>
          <w:rFonts w:hint="eastAsia" w:ascii="仿宋_GB2312" w:hAnsi="仿宋_GB2312" w:eastAsia="仿宋_GB2312" w:cs="仿宋_GB2312"/>
          <w:color w:val="auto"/>
          <w:sz w:val="32"/>
          <w:szCs w:val="32"/>
        </w:rPr>
        <w:t>行申请290万元流动资金贷款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2018</w:t>
      </w:r>
      <w:r>
        <w:rPr>
          <w:rFonts w:hint="eastAsia" w:ascii="仿宋_GB2312" w:hAnsi="仿宋_GB2312" w:eastAsia="仿宋_GB2312" w:cs="仿宋_GB2312"/>
          <w:color w:val="auto"/>
          <w:sz w:val="32"/>
          <w:szCs w:val="32"/>
          <w:lang w:eastAsia="zh-CN"/>
        </w:rPr>
        <w:t>至</w:t>
      </w:r>
      <w:r>
        <w:rPr>
          <w:rFonts w:hint="eastAsia" w:ascii="仿宋_GB2312" w:hAnsi="仿宋_GB2312" w:eastAsia="仿宋_GB2312" w:cs="仿宋_GB2312"/>
          <w:color w:val="auto"/>
          <w:sz w:val="32"/>
          <w:szCs w:val="32"/>
          <w:lang w:val="en-US" w:eastAsia="zh-CN"/>
        </w:rPr>
        <w:t>2022年期间</w:t>
      </w:r>
      <w:r>
        <w:rPr>
          <w:rFonts w:hint="eastAsia" w:ascii="仿宋_GB2312" w:hAnsi="仿宋_GB2312" w:eastAsia="仿宋_GB2312" w:cs="仿宋_GB2312"/>
          <w:color w:val="auto"/>
          <w:sz w:val="32"/>
          <w:szCs w:val="32"/>
          <w:lang w:eastAsia="zh-CN"/>
        </w:rPr>
        <w:t>，该</w:t>
      </w:r>
      <w:r>
        <w:rPr>
          <w:rFonts w:hint="eastAsia" w:ascii="仿宋_GB2312" w:hAnsi="仿宋_GB2312" w:eastAsia="仿宋_GB2312" w:cs="仿宋_GB2312"/>
          <w:color w:val="auto"/>
          <w:sz w:val="32"/>
          <w:szCs w:val="32"/>
        </w:rPr>
        <w:t>公司</w:t>
      </w:r>
      <w:r>
        <w:rPr>
          <w:rFonts w:hint="eastAsia" w:ascii="仿宋_GB2312" w:hAnsi="仿宋_GB2312" w:eastAsia="仿宋_GB2312" w:cs="仿宋_GB2312"/>
          <w:color w:val="auto"/>
          <w:sz w:val="32"/>
          <w:szCs w:val="32"/>
          <w:lang w:eastAsia="zh-CN"/>
        </w:rPr>
        <w:t>先是因</w:t>
      </w:r>
      <w:r>
        <w:rPr>
          <w:rFonts w:hint="eastAsia" w:ascii="仿宋_GB2312" w:hAnsi="仿宋_GB2312" w:eastAsia="仿宋_GB2312" w:cs="仿宋_GB2312"/>
          <w:color w:val="auto"/>
          <w:sz w:val="32"/>
          <w:szCs w:val="32"/>
        </w:rPr>
        <w:t>土壤改良，投入</w:t>
      </w:r>
      <w:r>
        <w:rPr>
          <w:rFonts w:hint="eastAsia" w:ascii="仿宋_GB2312" w:hAnsi="仿宋_GB2312" w:eastAsia="仿宋_GB2312" w:cs="仿宋_GB2312"/>
          <w:color w:val="auto"/>
          <w:sz w:val="32"/>
          <w:szCs w:val="32"/>
          <w:lang w:eastAsia="zh-CN"/>
        </w:rPr>
        <w:t>大量资金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后又因新冠疫情影响，</w:t>
      </w:r>
      <w:r>
        <w:rPr>
          <w:rFonts w:hint="eastAsia" w:ascii="仿宋_GB2312" w:hAnsi="仿宋_GB2312" w:eastAsia="仿宋_GB2312" w:cs="仿宋_GB2312"/>
          <w:color w:val="auto"/>
          <w:sz w:val="32"/>
          <w:szCs w:val="32"/>
          <w:lang w:val="en-US" w:eastAsia="zh-CN"/>
        </w:rPr>
        <w:t>农产品销售未达预期，</w:t>
      </w:r>
      <w:r>
        <w:rPr>
          <w:rFonts w:hint="eastAsia" w:ascii="仿宋_GB2312" w:hAnsi="仿宋_GB2312" w:eastAsia="仿宋_GB2312" w:cs="仿宋_GB2312"/>
          <w:color w:val="auto"/>
          <w:sz w:val="32"/>
          <w:szCs w:val="32"/>
          <w:lang w:eastAsia="zh-CN"/>
        </w:rPr>
        <w:t>导致</w:t>
      </w:r>
      <w:r>
        <w:rPr>
          <w:rFonts w:hint="eastAsia" w:ascii="仿宋_GB2312" w:hAnsi="仿宋_GB2312" w:eastAsia="仿宋_GB2312" w:cs="仿宋_GB2312"/>
          <w:color w:val="auto"/>
          <w:sz w:val="32"/>
          <w:szCs w:val="32"/>
          <w:lang w:val="en-US" w:eastAsia="zh-CN"/>
        </w:rPr>
        <w:t>流动资金紧张，短期内资金无法回笼，</w:t>
      </w:r>
      <w:r>
        <w:rPr>
          <w:rFonts w:hint="eastAsia" w:ascii="仿宋_GB2312" w:hAnsi="仿宋_GB2312" w:eastAsia="仿宋_GB2312" w:cs="仿宋_GB2312"/>
          <w:color w:val="auto"/>
          <w:sz w:val="32"/>
          <w:szCs w:val="32"/>
          <w:lang w:eastAsia="zh-CN"/>
        </w:rPr>
        <w:t>不能</w:t>
      </w:r>
      <w:r>
        <w:rPr>
          <w:rFonts w:hint="eastAsia" w:ascii="仿宋_GB2312" w:hAnsi="仿宋_GB2312" w:eastAsia="仿宋_GB2312" w:cs="仿宋_GB2312"/>
          <w:color w:val="auto"/>
          <w:sz w:val="32"/>
          <w:szCs w:val="32"/>
          <w:lang w:val="en-US" w:eastAsia="zh-CN"/>
        </w:rPr>
        <w:t>按期</w:t>
      </w:r>
      <w:r>
        <w:rPr>
          <w:rFonts w:hint="eastAsia" w:ascii="仿宋_GB2312" w:hAnsi="仿宋_GB2312" w:eastAsia="仿宋_GB2312" w:cs="仿宋_GB2312"/>
          <w:color w:val="auto"/>
          <w:sz w:val="32"/>
          <w:szCs w:val="32"/>
          <w:lang w:eastAsia="zh-CN"/>
        </w:rPr>
        <w:t>偿还</w:t>
      </w:r>
      <w:r>
        <w:rPr>
          <w:rFonts w:hint="eastAsia" w:ascii="仿宋_GB2312" w:hAnsi="仿宋_GB2312" w:eastAsia="仿宋_GB2312" w:cs="仿宋_GB2312"/>
          <w:color w:val="auto"/>
          <w:sz w:val="32"/>
          <w:szCs w:val="32"/>
          <w:lang w:val="en-US" w:eastAsia="zh-CN"/>
        </w:rPr>
        <w:t>本行贷款。本行经过调查，</w:t>
      </w:r>
      <w:r>
        <w:rPr>
          <w:rFonts w:hint="eastAsia" w:ascii="仿宋_GB2312" w:hAnsi="仿宋_GB2312" w:eastAsia="仿宋_GB2312" w:cs="仿宋_GB2312"/>
          <w:color w:val="auto"/>
          <w:sz w:val="32"/>
          <w:szCs w:val="32"/>
          <w:lang w:eastAsia="zh-CN"/>
        </w:rPr>
        <w:t>厚德农业公司主要从事生态农业种植（韭菜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蔬菜</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水果种植等），生态渔业（草鱼和小龙虾）养殖等</w:t>
      </w:r>
      <w:r>
        <w:rPr>
          <w:rFonts w:hint="eastAsia" w:ascii="仿宋_GB2312" w:hAnsi="仿宋_GB2312" w:eastAsia="仿宋_GB2312" w:cs="仿宋_GB2312"/>
          <w:color w:val="auto"/>
          <w:sz w:val="32"/>
          <w:szCs w:val="32"/>
          <w:lang w:val="en-US" w:eastAsia="zh-CN"/>
        </w:rPr>
        <w:t>产业</w:t>
      </w:r>
      <w:r>
        <w:rPr>
          <w:rFonts w:hint="eastAsia" w:ascii="仿宋_GB2312" w:hAnsi="仿宋_GB2312" w:eastAsia="仿宋_GB2312" w:cs="仿宋_GB2312"/>
          <w:color w:val="auto"/>
          <w:sz w:val="32"/>
          <w:szCs w:val="32"/>
          <w:lang w:eastAsia="zh-CN"/>
        </w:rPr>
        <w:t>，属大力支持的十二大产业，</w:t>
      </w:r>
      <w:r>
        <w:rPr>
          <w:rFonts w:hint="eastAsia" w:ascii="仿宋_GB2312" w:hAnsi="仿宋_GB2312" w:eastAsia="仿宋_GB2312" w:cs="仿宋_GB2312"/>
          <w:color w:val="auto"/>
          <w:sz w:val="32"/>
          <w:szCs w:val="32"/>
          <w:lang w:val="en-US" w:eastAsia="zh-CN"/>
        </w:rPr>
        <w:t>随即迅速作出反应，按照“黔农十二贷”贷款管理办法，从降低客户融资成本角度出发，对该笔贷款进行续贷，减轻了公司还款压力，为其持续经营向好发展提供了有利保障。</w:t>
      </w:r>
    </w:p>
    <w:p>
      <w:pPr>
        <w:pStyle w:val="5"/>
        <w:keepNext w:val="0"/>
        <w:keepLines w:val="0"/>
        <w:pageBreakBefore w:val="0"/>
        <w:kinsoku/>
        <w:wordWrap/>
        <w:overflowPunct/>
        <w:topLinePunct w:val="0"/>
        <w:bidi w:val="0"/>
        <w:snapToGrid/>
        <w:spacing w:line="560" w:lineRule="exact"/>
        <w:ind w:firstLine="643" w:firstLineChars="200"/>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b/>
          <w:bCs/>
          <w:color w:val="auto"/>
          <w:sz w:val="32"/>
          <w:szCs w:val="32"/>
          <w:lang w:eastAsia="zh-CN"/>
        </w:rPr>
        <w:t>案例</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金融支持废旧物资回收</w:t>
      </w:r>
    </w:p>
    <w:p>
      <w:pPr>
        <w:pageBreakBefore w:val="0"/>
        <w:kinsoku/>
        <w:wordWrap/>
        <w:overflowPunct/>
        <w:topLinePunct w:val="0"/>
        <w:bidi w:val="0"/>
        <w:spacing w:line="560" w:lineRule="exact"/>
        <w:ind w:firstLine="640" w:firstLineChars="200"/>
        <w:jc w:val="left"/>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黔西南州金锐废旧物资回收有限公司是一家专门从事废旧金属回收、加工、销售为一体的现代大型城市矿产资源回收综合利用企业，业务范围涵盖废旧金属回收、加工，汽车拆解，工业垃圾、生活垃圾处理。为有效支持公司日常运转及扩大规模，截止</w:t>
      </w:r>
      <w:r>
        <w:rPr>
          <w:rFonts w:hint="eastAsia" w:ascii="仿宋_GB2312" w:hAnsi="仿宋_GB2312" w:eastAsia="仿宋_GB2312" w:cs="仿宋_GB2312"/>
          <w:color w:val="auto"/>
          <w:sz w:val="32"/>
          <w:szCs w:val="32"/>
          <w:lang w:val="en-US" w:eastAsia="zh-CN"/>
        </w:rPr>
        <w:t>2022年</w:t>
      </w:r>
      <w:r>
        <w:rPr>
          <w:rFonts w:ascii="仿宋_GB2312" w:hAnsi="仿宋_GB2312" w:eastAsia="仿宋_GB2312" w:cs="仿宋_GB2312"/>
          <w:color w:val="auto"/>
          <w:sz w:val="32"/>
          <w:szCs w:val="32"/>
        </w:rPr>
        <w:t>，已累计向该企业发放6500万元进行贷款支持，其中1500万元绿色专项再贷款资金购买原材料</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按照废钢进货平均价格3200元/吨计算，</w:t>
      </w:r>
      <w:r>
        <w:rPr>
          <w:rFonts w:hint="eastAsia" w:ascii="仿宋_GB2312" w:hAnsi="仿宋_GB2312" w:eastAsia="仿宋_GB2312" w:cs="仿宋_GB2312"/>
          <w:color w:val="auto"/>
          <w:sz w:val="32"/>
          <w:szCs w:val="32"/>
          <w:lang w:val="en-US" w:eastAsia="zh-CN"/>
        </w:rPr>
        <w:t>本</w:t>
      </w:r>
      <w:r>
        <w:rPr>
          <w:rFonts w:ascii="仿宋_GB2312" w:hAnsi="仿宋_GB2312" w:eastAsia="仿宋_GB2312" w:cs="仿宋_GB2312"/>
          <w:color w:val="auto"/>
          <w:sz w:val="32"/>
          <w:szCs w:val="32"/>
        </w:rPr>
        <w:t>行贷款支持1500万元，可购买4687.5吨原材料</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rPr>
        <w:t>按照估算口径计算，可减少标煤1640吨、约6000吨精矿矿粉、2万吨原矿开采，对环境保护和节约资源起到一定作用；</w:t>
      </w:r>
      <w:r>
        <w:rPr>
          <w:rFonts w:hint="eastAsia" w:ascii="仿宋_GB2312" w:hAnsi="仿宋_GB2312" w:eastAsia="仿宋_GB2312" w:cs="仿宋_GB2312"/>
          <w:color w:val="auto"/>
          <w:sz w:val="32"/>
          <w:szCs w:val="32"/>
          <w:lang w:val="en-US" w:eastAsia="zh-CN"/>
        </w:rPr>
        <w:t>在政策优惠方面，</w:t>
      </w:r>
      <w:r>
        <w:rPr>
          <w:rFonts w:ascii="仿宋_GB2312" w:hAnsi="仿宋_GB2312" w:eastAsia="仿宋_GB2312" w:cs="仿宋_GB2312"/>
          <w:color w:val="auto"/>
          <w:sz w:val="32"/>
          <w:szCs w:val="32"/>
        </w:rPr>
        <w:t>使用4.55%</w:t>
      </w:r>
      <w:r>
        <w:rPr>
          <w:rFonts w:hint="eastAsia" w:ascii="仿宋_GB2312" w:hAnsi="仿宋_GB2312" w:eastAsia="仿宋_GB2312" w:cs="仿宋_GB2312"/>
          <w:color w:val="auto"/>
          <w:sz w:val="32"/>
          <w:szCs w:val="32"/>
          <w:lang w:val="en-US" w:eastAsia="zh-CN"/>
        </w:rPr>
        <w:t>再贷款低</w:t>
      </w:r>
      <w:r>
        <w:rPr>
          <w:rFonts w:ascii="仿宋_GB2312" w:hAnsi="仿宋_GB2312" w:eastAsia="仿宋_GB2312" w:cs="仿宋_GB2312"/>
          <w:color w:val="auto"/>
          <w:sz w:val="32"/>
          <w:szCs w:val="32"/>
        </w:rPr>
        <w:t>利息</w:t>
      </w:r>
      <w:r>
        <w:rPr>
          <w:rFonts w:hint="eastAsia" w:ascii="仿宋_GB2312" w:hAnsi="仿宋_GB2312" w:eastAsia="仿宋_GB2312" w:cs="仿宋_GB2312"/>
          <w:color w:val="auto"/>
          <w:sz w:val="32"/>
          <w:szCs w:val="32"/>
          <w:lang w:val="en-US" w:eastAsia="zh-CN"/>
        </w:rPr>
        <w:t>支持</w:t>
      </w:r>
      <w:r>
        <w:rPr>
          <w:rFonts w:ascii="仿宋_GB2312" w:hAnsi="仿宋_GB2312" w:eastAsia="仿宋_GB2312" w:cs="仿宋_GB2312"/>
          <w:color w:val="auto"/>
          <w:sz w:val="32"/>
          <w:szCs w:val="32"/>
        </w:rPr>
        <w:t>，降低该企业年融资成本近30万元，有效解决该公司生产流动资金问题，间接帮助解决就业80余人。</w:t>
      </w:r>
    </w:p>
    <w:p>
      <w:pPr>
        <w:pageBreakBefore w:val="0"/>
        <w:kinsoku/>
        <w:wordWrap/>
        <w:overflowPunct/>
        <w:topLinePunct w:val="0"/>
        <w:bidi w:val="0"/>
        <w:spacing w:line="56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 绿色金融未来展望</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下阶段，</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行</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lang w:val="en-US" w:eastAsia="zh-CN"/>
        </w:rPr>
        <w:t>继续</w:t>
      </w:r>
      <w:r>
        <w:rPr>
          <w:rFonts w:ascii="Times New Roman" w:hAnsi="Times New Roman" w:eastAsia="仿宋_GB2312"/>
          <w:sz w:val="32"/>
          <w:szCs w:val="32"/>
        </w:rPr>
        <w:t>全面贯彻落实习近平新时代中国特色社会主义思想和党的二十大精神，围绕“协同推进降碳、减污、扩绿、增长，推进生态优先、节约集约、绿色低碳发展”战略部署，坚守支农支小主定位，立足普惠金融传统优势，着力推动绿色金融与普惠金融有机融合发展，坚定走绿色普惠金融发展道路，引导普惠群体实现绿色可持续发展。</w:t>
      </w:r>
      <w:r>
        <w:rPr>
          <w:rFonts w:hint="eastAsia" w:ascii="仿宋_GB2312" w:hAnsi="仿宋_GB2312" w:eastAsia="仿宋_GB2312" w:cs="仿宋_GB2312"/>
          <w:sz w:val="32"/>
          <w:szCs w:val="32"/>
          <w:lang w:eastAsia="zh-CN"/>
        </w:rPr>
        <w:t>继续做好绿色金融服务工作，持续完善绿色金融服务体系，加快绿色金融产品落地；</w:t>
      </w:r>
      <w:r>
        <w:rPr>
          <w:rFonts w:hint="eastAsia" w:ascii="仿宋_GB2312" w:hAnsi="仿宋_GB2312" w:eastAsia="仿宋_GB2312" w:cs="仿宋_GB2312"/>
          <w:sz w:val="32"/>
          <w:szCs w:val="32"/>
        </w:rPr>
        <w:t>不断完善网上银行、手机银行、自助设备等电子服务渠道功能，提升电子渠道的使用替代率，努力使客户通过足不出户的低碳方式便可享受到优质的金融服务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积极推行绿色办公</w:t>
      </w:r>
      <w:r>
        <w:rPr>
          <w:rFonts w:hint="eastAsia" w:ascii="仿宋_GB2312" w:hAnsi="仿宋_GB2312" w:eastAsia="仿宋_GB2312" w:cs="仿宋_GB2312"/>
          <w:sz w:val="32"/>
          <w:szCs w:val="32"/>
          <w:lang w:eastAsia="zh-CN"/>
        </w:rPr>
        <w:t>、绿色出行</w:t>
      </w:r>
      <w:r>
        <w:rPr>
          <w:rFonts w:hint="eastAsia" w:ascii="仿宋_GB2312" w:hAnsi="仿宋_GB2312" w:eastAsia="仿宋_GB2312" w:cs="仿宋_GB2312"/>
          <w:sz w:val="32"/>
          <w:szCs w:val="32"/>
        </w:rPr>
        <w:t>，对行内员工倡导绿色理念，切实履行社会责任</w:t>
      </w:r>
      <w:r>
        <w:rPr>
          <w:rFonts w:hint="eastAsia" w:ascii="仿宋_GB2312" w:hAnsi="仿宋_GB2312" w:eastAsia="仿宋_GB2312" w:cs="仿宋_GB2312"/>
          <w:sz w:val="32"/>
          <w:szCs w:val="32"/>
          <w:lang w:eastAsia="zh-CN"/>
        </w:rPr>
        <w:t>，力争实现绿色金融业务新跨越。</w:t>
      </w:r>
    </w:p>
    <w:p>
      <w:pPr>
        <w:keepNext w:val="0"/>
        <w:keepLines w:val="0"/>
        <w:pageBreakBefore w:val="0"/>
        <w:kinsoku/>
        <w:wordWrap/>
        <w:overflowPunct/>
        <w:topLinePunct w:val="0"/>
        <w:bidi w:val="0"/>
        <w:snapToGrid/>
        <w:spacing w:line="56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10.</w:t>
      </w:r>
      <w:r>
        <w:rPr>
          <w:rFonts w:hint="eastAsia" w:ascii="黑体" w:hAnsi="黑体" w:eastAsia="黑体"/>
          <w:color w:val="auto"/>
          <w:sz w:val="32"/>
          <w:szCs w:val="32"/>
        </w:rPr>
        <w:t>其他环境相关信息</w:t>
      </w:r>
    </w:p>
    <w:p>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2022年，本行组织“义务植树”绿色生态公益活动，通过种下一棵棵树苗，传递“尊重自然、顺应自然、保护自然”的绿色生态理念，引导广大社会群众进一步增强参与生态环境保护意识，为打造绿色城市起到了添砖加瓦的作用。</w:t>
      </w:r>
    </w:p>
    <w:p>
      <w:pPr>
        <w:pStyle w:val="13"/>
        <w:rPr>
          <w:rFonts w:hint="eastAsia" w:ascii="仿宋_GB2312" w:eastAsia="仿宋_GB2312"/>
          <w:color w:val="auto"/>
          <w:sz w:val="32"/>
          <w:szCs w:val="32"/>
          <w:lang w:val="en-US" w:eastAsia="zh-CN"/>
        </w:rPr>
      </w:pPr>
    </w:p>
    <w:p>
      <w:pPr>
        <w:pStyle w:val="13"/>
        <w:rPr>
          <w:rFonts w:hint="eastAsia" w:ascii="仿宋_GB2312" w:eastAsia="仿宋_GB2312"/>
          <w:color w:val="auto"/>
          <w:sz w:val="32"/>
          <w:szCs w:val="32"/>
          <w:lang w:val="en-US" w:eastAsia="zh-CN"/>
        </w:rPr>
      </w:pPr>
    </w:p>
    <w:p>
      <w:pPr>
        <w:pStyle w:val="13"/>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贵州兴义农村商业银行</w:t>
      </w:r>
    </w:p>
    <w:p>
      <w:pPr>
        <w:pStyle w:val="13"/>
        <w:jc w:val="center"/>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2023年7月19日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彩虹小标宋">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F202F7"/>
    <w:multiLevelType w:val="singleLevel"/>
    <w:tmpl w:val="4AF202F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EA9"/>
    <w:rsid w:val="00063C66"/>
    <w:rsid w:val="0010607C"/>
    <w:rsid w:val="0011363F"/>
    <w:rsid w:val="00160144"/>
    <w:rsid w:val="00176D29"/>
    <w:rsid w:val="0018546C"/>
    <w:rsid w:val="001D2181"/>
    <w:rsid w:val="0023308B"/>
    <w:rsid w:val="00261D5A"/>
    <w:rsid w:val="002A6EA9"/>
    <w:rsid w:val="00321568"/>
    <w:rsid w:val="00342E1F"/>
    <w:rsid w:val="003769BD"/>
    <w:rsid w:val="003C141A"/>
    <w:rsid w:val="004139A7"/>
    <w:rsid w:val="00490C78"/>
    <w:rsid w:val="00503CC9"/>
    <w:rsid w:val="005268BD"/>
    <w:rsid w:val="00543446"/>
    <w:rsid w:val="00595D9E"/>
    <w:rsid w:val="005C51C3"/>
    <w:rsid w:val="00682BE8"/>
    <w:rsid w:val="006C4640"/>
    <w:rsid w:val="006D34DB"/>
    <w:rsid w:val="006E316A"/>
    <w:rsid w:val="00716023"/>
    <w:rsid w:val="0073681F"/>
    <w:rsid w:val="007368C6"/>
    <w:rsid w:val="00747B11"/>
    <w:rsid w:val="00814692"/>
    <w:rsid w:val="008623D0"/>
    <w:rsid w:val="00870B8B"/>
    <w:rsid w:val="00896129"/>
    <w:rsid w:val="008B6015"/>
    <w:rsid w:val="00933523"/>
    <w:rsid w:val="00941B8D"/>
    <w:rsid w:val="00981670"/>
    <w:rsid w:val="00A57F88"/>
    <w:rsid w:val="00A6246E"/>
    <w:rsid w:val="00B308EA"/>
    <w:rsid w:val="00B31053"/>
    <w:rsid w:val="00B57A3C"/>
    <w:rsid w:val="00B73C16"/>
    <w:rsid w:val="00BC14A5"/>
    <w:rsid w:val="00BF412D"/>
    <w:rsid w:val="00C2076B"/>
    <w:rsid w:val="00C419AF"/>
    <w:rsid w:val="00C93B77"/>
    <w:rsid w:val="00C94241"/>
    <w:rsid w:val="00CB1CC1"/>
    <w:rsid w:val="00E81A51"/>
    <w:rsid w:val="00E84A67"/>
    <w:rsid w:val="00EE1014"/>
    <w:rsid w:val="00F22161"/>
    <w:rsid w:val="00F53880"/>
    <w:rsid w:val="00FB1328"/>
    <w:rsid w:val="01964D55"/>
    <w:rsid w:val="023B2175"/>
    <w:rsid w:val="026A38ED"/>
    <w:rsid w:val="03195A2C"/>
    <w:rsid w:val="039823FB"/>
    <w:rsid w:val="03FF06E4"/>
    <w:rsid w:val="04316FD1"/>
    <w:rsid w:val="04665AB2"/>
    <w:rsid w:val="04A15B98"/>
    <w:rsid w:val="04FA52D6"/>
    <w:rsid w:val="054223EB"/>
    <w:rsid w:val="06557219"/>
    <w:rsid w:val="06F5752A"/>
    <w:rsid w:val="08000B7D"/>
    <w:rsid w:val="088349B8"/>
    <w:rsid w:val="0A524AD2"/>
    <w:rsid w:val="0AE5052E"/>
    <w:rsid w:val="0B434F12"/>
    <w:rsid w:val="0BE52E8D"/>
    <w:rsid w:val="0E686B97"/>
    <w:rsid w:val="0E8477F0"/>
    <w:rsid w:val="10B24D90"/>
    <w:rsid w:val="11404F4F"/>
    <w:rsid w:val="11AA77BA"/>
    <w:rsid w:val="11BA069C"/>
    <w:rsid w:val="11E70A84"/>
    <w:rsid w:val="13100F0B"/>
    <w:rsid w:val="139608F9"/>
    <w:rsid w:val="14092FC2"/>
    <w:rsid w:val="151E5F16"/>
    <w:rsid w:val="16666ED6"/>
    <w:rsid w:val="168F2C51"/>
    <w:rsid w:val="16932644"/>
    <w:rsid w:val="17B1395A"/>
    <w:rsid w:val="19DC0EEB"/>
    <w:rsid w:val="1A864115"/>
    <w:rsid w:val="1AB30821"/>
    <w:rsid w:val="1ABA66D7"/>
    <w:rsid w:val="1B03685E"/>
    <w:rsid w:val="1B724A03"/>
    <w:rsid w:val="1C6E0A57"/>
    <w:rsid w:val="1D2D06F1"/>
    <w:rsid w:val="1D5108D2"/>
    <w:rsid w:val="1D7976B6"/>
    <w:rsid w:val="1FA31E21"/>
    <w:rsid w:val="1FA76A11"/>
    <w:rsid w:val="200232BE"/>
    <w:rsid w:val="21201A11"/>
    <w:rsid w:val="21854EDC"/>
    <w:rsid w:val="21EC5056"/>
    <w:rsid w:val="22931457"/>
    <w:rsid w:val="22A4708C"/>
    <w:rsid w:val="23676AA8"/>
    <w:rsid w:val="23744051"/>
    <w:rsid w:val="238E6993"/>
    <w:rsid w:val="23F819C8"/>
    <w:rsid w:val="24055E69"/>
    <w:rsid w:val="24721AC8"/>
    <w:rsid w:val="26E65B3D"/>
    <w:rsid w:val="28FF42D9"/>
    <w:rsid w:val="290A0F7B"/>
    <w:rsid w:val="291D38AE"/>
    <w:rsid w:val="2B557B59"/>
    <w:rsid w:val="2B8F09AD"/>
    <w:rsid w:val="2BD26BB3"/>
    <w:rsid w:val="2F8A2E90"/>
    <w:rsid w:val="31275ECF"/>
    <w:rsid w:val="33071083"/>
    <w:rsid w:val="336D26A6"/>
    <w:rsid w:val="336E45BE"/>
    <w:rsid w:val="33E805FD"/>
    <w:rsid w:val="34650AF0"/>
    <w:rsid w:val="352333B8"/>
    <w:rsid w:val="35CE15FC"/>
    <w:rsid w:val="35D25153"/>
    <w:rsid w:val="361B5A53"/>
    <w:rsid w:val="36785199"/>
    <w:rsid w:val="372B59F9"/>
    <w:rsid w:val="37715214"/>
    <w:rsid w:val="391362D6"/>
    <w:rsid w:val="39414E9A"/>
    <w:rsid w:val="394B386E"/>
    <w:rsid w:val="3A10239E"/>
    <w:rsid w:val="3A266CC6"/>
    <w:rsid w:val="3B2E6BB2"/>
    <w:rsid w:val="3DA30459"/>
    <w:rsid w:val="3E412F51"/>
    <w:rsid w:val="3FCC3656"/>
    <w:rsid w:val="40273721"/>
    <w:rsid w:val="403208D0"/>
    <w:rsid w:val="41057B52"/>
    <w:rsid w:val="425A2CC3"/>
    <w:rsid w:val="43050828"/>
    <w:rsid w:val="438C76D1"/>
    <w:rsid w:val="43927F2D"/>
    <w:rsid w:val="44890C05"/>
    <w:rsid w:val="44A2548B"/>
    <w:rsid w:val="45E27D97"/>
    <w:rsid w:val="465E764C"/>
    <w:rsid w:val="467E457F"/>
    <w:rsid w:val="47056E24"/>
    <w:rsid w:val="47910D0C"/>
    <w:rsid w:val="48DE73A2"/>
    <w:rsid w:val="49685259"/>
    <w:rsid w:val="496B7B42"/>
    <w:rsid w:val="49A032E6"/>
    <w:rsid w:val="4A8274B3"/>
    <w:rsid w:val="4B537F03"/>
    <w:rsid w:val="4B7B0259"/>
    <w:rsid w:val="4B86577B"/>
    <w:rsid w:val="4BAF2965"/>
    <w:rsid w:val="4BBF433C"/>
    <w:rsid w:val="4C642159"/>
    <w:rsid w:val="4D332C7A"/>
    <w:rsid w:val="4D6F4E59"/>
    <w:rsid w:val="4E3816A9"/>
    <w:rsid w:val="4E7117AA"/>
    <w:rsid w:val="4E7B1E13"/>
    <w:rsid w:val="4F2B3545"/>
    <w:rsid w:val="4F4A0614"/>
    <w:rsid w:val="50E45479"/>
    <w:rsid w:val="513970A5"/>
    <w:rsid w:val="51A8537F"/>
    <w:rsid w:val="51B8364A"/>
    <w:rsid w:val="52ED6472"/>
    <w:rsid w:val="53596C53"/>
    <w:rsid w:val="55F9318B"/>
    <w:rsid w:val="56AB2280"/>
    <w:rsid w:val="57547965"/>
    <w:rsid w:val="582416BC"/>
    <w:rsid w:val="5AB86464"/>
    <w:rsid w:val="5B875181"/>
    <w:rsid w:val="5BCE7975"/>
    <w:rsid w:val="5C9B7317"/>
    <w:rsid w:val="5D3C239E"/>
    <w:rsid w:val="5D42421B"/>
    <w:rsid w:val="5D76645E"/>
    <w:rsid w:val="5DBF248E"/>
    <w:rsid w:val="5E0E1541"/>
    <w:rsid w:val="5ED00120"/>
    <w:rsid w:val="5F277C6E"/>
    <w:rsid w:val="5F9F0BB8"/>
    <w:rsid w:val="5FCA4D84"/>
    <w:rsid w:val="615315C1"/>
    <w:rsid w:val="61B67300"/>
    <w:rsid w:val="626C14EF"/>
    <w:rsid w:val="62747960"/>
    <w:rsid w:val="634B7B8C"/>
    <w:rsid w:val="65202F8D"/>
    <w:rsid w:val="65FA1BB1"/>
    <w:rsid w:val="66E10B9E"/>
    <w:rsid w:val="68B03861"/>
    <w:rsid w:val="6B981A00"/>
    <w:rsid w:val="6C6F75DB"/>
    <w:rsid w:val="6D533D68"/>
    <w:rsid w:val="6E2A59A9"/>
    <w:rsid w:val="71EC3D20"/>
    <w:rsid w:val="72082B24"/>
    <w:rsid w:val="72677FC6"/>
    <w:rsid w:val="72BD53E7"/>
    <w:rsid w:val="73DF0BB1"/>
    <w:rsid w:val="758E75B1"/>
    <w:rsid w:val="76D80242"/>
    <w:rsid w:val="76E82107"/>
    <w:rsid w:val="77AB1C4C"/>
    <w:rsid w:val="77B10510"/>
    <w:rsid w:val="78A133D8"/>
    <w:rsid w:val="794233A9"/>
    <w:rsid w:val="79B8358B"/>
    <w:rsid w:val="7A7A2183"/>
    <w:rsid w:val="7BBD1C0E"/>
    <w:rsid w:val="7D33405D"/>
    <w:rsid w:val="7E073350"/>
    <w:rsid w:val="7F8D3E12"/>
    <w:rsid w:val="7FD53D7C"/>
    <w:rsid w:val="7FE83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5">
    <w:name w:val="Body Text"/>
    <w:basedOn w:val="1"/>
    <w:unhideWhenUsed/>
    <w:qFormat/>
    <w:uiPriority w:val="0"/>
    <w:pPr>
      <w:spacing w:after="120"/>
    </w:p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100" w:beforeAutospacing="1" w:after="100" w:afterAutospacing="1"/>
      <w:jc w:val="left"/>
    </w:pPr>
    <w:rPr>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4">
    <w:name w:val="页眉 Char"/>
    <w:basedOn w:val="12"/>
    <w:link w:val="7"/>
    <w:semiHidden/>
    <w:qFormat/>
    <w:uiPriority w:val="99"/>
    <w:rPr>
      <w:sz w:val="18"/>
      <w:szCs w:val="18"/>
    </w:rPr>
  </w:style>
  <w:style w:type="character" w:customStyle="1" w:styleId="15">
    <w:name w:val="页脚 Char"/>
    <w:basedOn w:val="12"/>
    <w:link w:val="6"/>
    <w:semiHidden/>
    <w:qFormat/>
    <w:uiPriority w:val="99"/>
    <w:rPr>
      <w:sz w:val="18"/>
      <w:szCs w:val="18"/>
    </w:rPr>
  </w:style>
  <w:style w:type="paragraph" w:customStyle="1" w:styleId="16">
    <w:name w:val="Body text|1"/>
    <w:basedOn w:val="1"/>
    <w:qFormat/>
    <w:uiPriority w:val="0"/>
    <w:pPr>
      <w:spacing w:line="408" w:lineRule="auto"/>
      <w:ind w:firstLine="400"/>
      <w:jc w:val="left"/>
    </w:pPr>
    <w:rPr>
      <w:rFonts w:ascii="宋体" w:hAnsi="宋体" w:eastAsia="宋体" w:cs="宋体"/>
      <w:kern w:val="0"/>
      <w:sz w:val="30"/>
      <w:szCs w:val="30"/>
      <w:lang w:val="zh-TW" w:eastAsia="zh-TW" w:bidi="zh-TW"/>
    </w:rPr>
  </w:style>
  <w:style w:type="paragraph" w:styleId="17">
    <w:name w:val="List Paragraph"/>
    <w:basedOn w:val="1"/>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170</Words>
  <Characters>970</Characters>
  <Lines>8</Lines>
  <Paragraphs>2</Paragraphs>
  <TotalTime>1</TotalTime>
  <ScaleCrop>false</ScaleCrop>
  <LinksUpToDate>false</LinksUpToDate>
  <CharactersWithSpaces>1138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2023-06-06T06:59:00Z</dcterms:created>
  <dc:creator>Phoenix</dc:creator>
  <cp:lastModifiedBy>余晓</cp:lastModifiedBy>
  <cp:lastPrinted>2023-07-18T01:30:00Z</cp:lastPrinted>
  <dcterms:modified xsi:type="dcterms:W3CDTF">2023-07-19T01:48:32Z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