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hAnsi="方正小标宋简体" w:eastAsia="方正小标宋简体" w:cs="方正小标宋简体"/>
          <w:sz w:val="44"/>
          <w:szCs w:val="44"/>
        </w:rPr>
      </w:pPr>
    </w:p>
    <w:p>
      <w:pPr>
        <w:spacing w:line="560" w:lineRule="exact"/>
        <w:jc w:val="center"/>
        <w:rPr>
          <w:rFonts w:hint="eastAsia" w:ascii="方正小标宋简体" w:hAnsi="方正小标宋简体" w:eastAsia="方正小标宋简体" w:cs="方正小标宋简体"/>
          <w:sz w:val="44"/>
          <w:szCs w:val="44"/>
        </w:rPr>
      </w:pPr>
    </w:p>
    <w:p>
      <w:pPr>
        <w:spacing w:line="560" w:lineRule="exact"/>
        <w:jc w:val="center"/>
        <w:rPr>
          <w:rFonts w:hint="eastAsia" w:ascii="方正小标宋简体" w:hAnsi="方正小标宋简体" w:eastAsia="方正小标宋简体" w:cs="方正小标宋简体"/>
          <w:sz w:val="44"/>
          <w:szCs w:val="44"/>
        </w:rPr>
      </w:pPr>
    </w:p>
    <w:p>
      <w:pPr>
        <w:spacing w:line="560" w:lineRule="exact"/>
        <w:jc w:val="center"/>
        <w:rPr>
          <w:rFonts w:hint="eastAsia" w:ascii="方正小标宋简体" w:hAnsi="方正小标宋简体" w:eastAsia="方正小标宋简体" w:cs="方正小标宋简体"/>
          <w:sz w:val="44"/>
          <w:szCs w:val="44"/>
        </w:rPr>
      </w:pPr>
    </w:p>
    <w:p>
      <w:pPr>
        <w:spacing w:line="560" w:lineRule="exact"/>
        <w:jc w:val="center"/>
        <w:rPr>
          <w:rFonts w:hint="eastAsia" w:ascii="方正小标宋简体" w:hAnsi="方正小标宋简体" w:eastAsia="方正小标宋简体" w:cs="方正小标宋简体"/>
          <w:sz w:val="44"/>
          <w:szCs w:val="44"/>
        </w:rPr>
      </w:pP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贵州镇远农村商业银行股份有限公司</w:t>
      </w:r>
    </w:p>
    <w:p>
      <w:pPr>
        <w:spacing w:line="56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环境信息披露报告</w:t>
      </w:r>
    </w:p>
    <w:p>
      <w:pPr>
        <w:spacing w:line="560" w:lineRule="exact"/>
        <w:jc w:val="center"/>
        <w:rPr>
          <w:rFonts w:hint="eastAsia" w:eastAsia="方正小标宋简体"/>
          <w:lang w:eastAsia="zh-CN"/>
        </w:rPr>
      </w:pPr>
      <w:r>
        <w:rPr>
          <w:rFonts w:hint="eastAsia" w:ascii="方正小标宋简体" w:hAnsi="方正小标宋简体" w:eastAsia="方正小标宋简体" w:cs="方正小标宋简体"/>
          <w:sz w:val="44"/>
          <w:szCs w:val="44"/>
          <w:lang w:eastAsia="zh-CN"/>
        </w:rPr>
        <w:t>（</w:t>
      </w:r>
      <w:r>
        <w:rPr>
          <w:rFonts w:hint="eastAsia" w:ascii="方正小标宋简体" w:hAnsi="方正小标宋简体" w:eastAsia="方正小标宋简体" w:cs="方正小标宋简体"/>
          <w:sz w:val="44"/>
          <w:szCs w:val="44"/>
          <w:lang w:val="en-US" w:eastAsia="zh-CN"/>
        </w:rPr>
        <w:t>2022年</w:t>
      </w:r>
      <w:r>
        <w:rPr>
          <w:rFonts w:hint="eastAsia" w:ascii="方正小标宋简体" w:hAnsi="方正小标宋简体" w:eastAsia="方正小标宋简体" w:cs="方正小标宋简体"/>
          <w:sz w:val="44"/>
          <w:szCs w:val="44"/>
          <w:lang w:eastAsia="zh-CN"/>
        </w:rPr>
        <w:t>）</w:t>
      </w:r>
    </w:p>
    <w:p>
      <w:pPr>
        <w:spacing w:line="560" w:lineRule="exact"/>
        <w:ind w:firstLine="640" w:firstLineChars="200"/>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pStyle w:val="2"/>
        <w:rPr>
          <w:rFonts w:ascii="仿宋_GB2312" w:hAnsi="仿宋_GB2312" w:eastAsia="仿宋_GB2312" w:cs="仿宋_GB2312"/>
          <w:sz w:val="32"/>
          <w:szCs w:val="32"/>
        </w:rPr>
      </w:pPr>
    </w:p>
    <w:p>
      <w:pPr>
        <w:spacing w:before="0" w:beforeLines="0" w:after="0" w:afterLines="0" w:line="240" w:lineRule="auto"/>
        <w:ind w:left="0" w:leftChars="0" w:right="0" w:rightChars="0" w:firstLine="0" w:firstLineChars="0"/>
        <w:jc w:val="center"/>
        <w:rPr>
          <w:rFonts w:hint="eastAsia" w:ascii="方正小标宋简体" w:hAnsi="方正小标宋简体" w:eastAsia="方正小标宋简体" w:cs="方正小标宋简体"/>
          <w:kern w:val="2"/>
          <w:sz w:val="44"/>
          <w:szCs w:val="44"/>
          <w:lang w:val="en-US" w:eastAsia="zh-CN" w:bidi="ar-SA"/>
        </w:rPr>
        <w:sectPr>
          <w:pgSz w:w="11906" w:h="16838"/>
          <w:pgMar w:top="1440" w:right="1800" w:bottom="1440" w:left="1800" w:header="851" w:footer="992" w:gutter="0"/>
          <w:pgNumType w:fmt="decimal"/>
          <w:cols w:space="720" w:num="1"/>
          <w:docGrid w:type="lines" w:linePitch="312" w:charSpace="0"/>
        </w:sectPr>
      </w:pPr>
    </w:p>
    <w:sdt>
      <w:sdtPr>
        <w:rPr>
          <w:rFonts w:ascii="宋体" w:hAnsi="宋体" w:eastAsia="宋体" w:cs="Times New Roman"/>
          <w:kern w:val="2"/>
          <w:sz w:val="21"/>
          <w:szCs w:val="24"/>
          <w:lang w:val="en-US" w:eastAsia="zh-CN" w:bidi="ar-SA"/>
        </w:rPr>
        <w:id w:val="147461662"/>
        <w:docPartObj>
          <w:docPartGallery w:val="Table of Contents"/>
          <w:docPartUnique/>
        </w:docPartObj>
      </w:sdtPr>
      <w:sdtEndPr>
        <w:rPr>
          <w:rFonts w:ascii="Times New Roman" w:hAnsi="Times New Roman" w:eastAsia="宋体" w:cs="Times New Roman"/>
          <w:b/>
          <w:bCs/>
          <w:kern w:val="2"/>
          <w:sz w:val="20"/>
          <w:szCs w:val="20"/>
          <w:lang w:val="en-US" w:eastAsia="zh-CN" w:bidi="ar-SA"/>
        </w:rPr>
      </w:sdtEndPr>
      <w:sdtContent>
        <w:p>
          <w:pPr>
            <w:spacing w:before="0" w:beforeLines="0" w:after="0" w:afterLines="0" w:line="240" w:lineRule="auto"/>
            <w:ind w:left="0" w:leftChars="0" w:right="0" w:rightChars="0" w:firstLine="0" w:firstLineChars="0"/>
            <w:jc w:val="center"/>
          </w:pPr>
          <w:bookmarkStart w:id="0" w:name="_Toc3658_WPSOffice_Type2"/>
          <w:r>
            <w:rPr>
              <w:rFonts w:ascii="宋体" w:hAnsi="宋体" w:eastAsia="宋体"/>
              <w:sz w:val="21"/>
            </w:rPr>
            <w:t>目录</w:t>
          </w:r>
        </w:p>
        <w:p>
          <w:pPr>
            <w:pStyle w:val="25"/>
            <w:tabs>
              <w:tab w:val="right" w:leader="dot" w:pos="8306"/>
            </w:tabs>
          </w:pPr>
          <w:r>
            <w:rPr>
              <w:b/>
              <w:bCs/>
            </w:rPr>
            <w:fldChar w:fldCharType="begin"/>
          </w:r>
          <w:r>
            <w:instrText xml:space="preserve"> HYPERLINK \l _Toc18826_WPSOffice_Level1 </w:instrText>
          </w:r>
          <w:r>
            <w:rPr>
              <w:b/>
              <w:bCs/>
            </w:rPr>
            <w:fldChar w:fldCharType="separate"/>
          </w:r>
          <w:sdt>
            <w:sdtPr>
              <w:rPr>
                <w:rFonts w:ascii="Calibri" w:hAnsi="Calibri" w:eastAsia="宋体" w:cs="Times New Roman"/>
                <w:b/>
                <w:bCs/>
                <w:kern w:val="2"/>
                <w:sz w:val="21"/>
                <w:szCs w:val="24"/>
                <w:lang w:val="en-US" w:eastAsia="zh-CN" w:bidi="ar-SA"/>
              </w:rPr>
              <w:id w:val="147461662"/>
              <w:placeholder>
                <w:docPart w:val="{000424f6-e1ad-4ae4-b047-d80fcbd41eec}"/>
              </w:placeholder>
            </w:sdtPr>
            <w:sdtEndPr>
              <w:rPr>
                <w:rFonts w:ascii="Calibri" w:hAnsi="Calibri" w:eastAsia="宋体" w:cs="Times New Roman"/>
                <w:b/>
                <w:bCs/>
                <w:kern w:val="2"/>
                <w:sz w:val="21"/>
                <w:szCs w:val="24"/>
                <w:lang w:val="en-US" w:eastAsia="zh-CN" w:bidi="ar-SA"/>
              </w:rPr>
            </w:sdtEndPr>
            <w:sdtContent>
              <w:r>
                <w:rPr>
                  <w:rFonts w:hint="eastAsia" w:ascii="黑体" w:hAnsi="黑体" w:eastAsia="黑体" w:cs="黑体"/>
                  <w:b/>
                  <w:bCs/>
                </w:rPr>
                <w:t>1.年度概况</w:t>
              </w:r>
            </w:sdtContent>
          </w:sdt>
          <w:r>
            <w:rPr>
              <w:b/>
              <w:bCs/>
            </w:rPr>
            <w:tab/>
          </w:r>
          <w:bookmarkStart w:id="1" w:name="_Toc18826_WPSOffice_Level1Page"/>
          <w:r>
            <w:rPr>
              <w:b/>
              <w:bCs/>
            </w:rPr>
            <w:t>1</w:t>
          </w:r>
          <w:bookmarkEnd w:id="1"/>
          <w:r>
            <w:rPr>
              <w:b/>
              <w:bCs/>
            </w:rPr>
            <w:fldChar w:fldCharType="end"/>
          </w:r>
        </w:p>
        <w:p>
          <w:pPr>
            <w:pStyle w:val="26"/>
            <w:tabs>
              <w:tab w:val="right" w:leader="dot" w:pos="8306"/>
            </w:tabs>
          </w:pPr>
          <w:r>
            <w:fldChar w:fldCharType="begin"/>
          </w:r>
          <w:r>
            <w:instrText xml:space="preserve"> HYPERLINK \l _Toc3658_WPSOffice_Level2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ed8d9240-a06b-4008-b891-413eedf9309f}"/>
              </w:placeholder>
            </w:sdtPr>
            <w:sdtEndPr>
              <w:rPr>
                <w:rFonts w:ascii="Calibri" w:hAnsi="Calibri" w:eastAsia="宋体" w:cs="Times New Roman"/>
                <w:kern w:val="2"/>
                <w:sz w:val="21"/>
                <w:szCs w:val="24"/>
                <w:lang w:val="en-US" w:eastAsia="zh-CN" w:bidi="ar-SA"/>
              </w:rPr>
            </w:sdtEndPr>
            <w:sdtContent>
              <w:r>
                <w:rPr>
                  <w:rFonts w:hint="eastAsia" w:ascii="楷体" w:hAnsi="楷体" w:eastAsia="楷体" w:cs="楷体"/>
                </w:rPr>
                <w:t>1.1总体概况</w:t>
              </w:r>
            </w:sdtContent>
          </w:sdt>
          <w:r>
            <w:tab/>
          </w:r>
          <w:bookmarkStart w:id="2" w:name="_Toc3658_WPSOffice_Level2Page"/>
          <w:r>
            <w:t>1</w:t>
          </w:r>
          <w:bookmarkEnd w:id="2"/>
          <w:r>
            <w:fldChar w:fldCharType="end"/>
          </w:r>
        </w:p>
        <w:p>
          <w:pPr>
            <w:pStyle w:val="26"/>
            <w:tabs>
              <w:tab w:val="right" w:leader="dot" w:pos="8306"/>
            </w:tabs>
          </w:pPr>
          <w:r>
            <w:fldChar w:fldCharType="begin"/>
          </w:r>
          <w:r>
            <w:instrText xml:space="preserve"> HYPERLINK \l _Toc14326_WPSOffice_Level2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8575f94f-e684-4be8-afb5-8b2e0ed30d2f}"/>
              </w:placeholder>
            </w:sdtPr>
            <w:sdtEndPr>
              <w:rPr>
                <w:rFonts w:ascii="Calibri" w:hAnsi="Calibri" w:eastAsia="宋体" w:cs="Times New Roman"/>
                <w:kern w:val="2"/>
                <w:sz w:val="21"/>
                <w:szCs w:val="24"/>
                <w:lang w:val="en-US" w:eastAsia="zh-CN" w:bidi="ar-SA"/>
              </w:rPr>
            </w:sdtEndPr>
            <w:sdtContent>
              <w:r>
                <w:rPr>
                  <w:rFonts w:hint="eastAsia" w:ascii="楷体" w:hAnsi="楷体" w:eastAsia="楷体" w:cs="楷体"/>
                </w:rPr>
                <w:t>1.2实施成效</w:t>
              </w:r>
            </w:sdtContent>
          </w:sdt>
          <w:r>
            <w:tab/>
          </w:r>
          <w:bookmarkStart w:id="3" w:name="_Toc14326_WPSOffice_Level2Page"/>
          <w:r>
            <w:t>1</w:t>
          </w:r>
          <w:bookmarkEnd w:id="3"/>
          <w:r>
            <w:fldChar w:fldCharType="end"/>
          </w:r>
        </w:p>
        <w:p>
          <w:pPr>
            <w:pStyle w:val="26"/>
            <w:tabs>
              <w:tab w:val="right" w:leader="dot" w:pos="8306"/>
            </w:tabs>
          </w:pPr>
          <w:r>
            <w:fldChar w:fldCharType="begin"/>
          </w:r>
          <w:r>
            <w:instrText xml:space="preserve"> HYPERLINK \l _Toc7726_WPSOffice_Level2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ae35912d-84e8-42e8-b09c-6e4d5ea6476b}"/>
              </w:placeholder>
            </w:sdtPr>
            <w:sdtEndPr>
              <w:rPr>
                <w:rFonts w:ascii="Calibri" w:hAnsi="Calibri" w:eastAsia="宋体" w:cs="Times New Roman"/>
                <w:kern w:val="2"/>
                <w:sz w:val="21"/>
                <w:szCs w:val="24"/>
                <w:lang w:val="en-US" w:eastAsia="zh-CN" w:bidi="ar-SA"/>
              </w:rPr>
            </w:sdtEndPr>
            <w:sdtContent>
              <w:r>
                <w:rPr>
                  <w:rFonts w:hint="eastAsia" w:ascii="楷体" w:hAnsi="楷体" w:eastAsia="楷体" w:cs="楷体"/>
                </w:rPr>
                <w:t>1.3发展方向</w:t>
              </w:r>
            </w:sdtContent>
          </w:sdt>
          <w:r>
            <w:tab/>
          </w:r>
          <w:bookmarkStart w:id="4" w:name="_Toc7726_WPSOffice_Level2Page"/>
          <w:r>
            <w:t>2</w:t>
          </w:r>
          <w:bookmarkEnd w:id="4"/>
          <w:r>
            <w:fldChar w:fldCharType="end"/>
          </w:r>
        </w:p>
        <w:p>
          <w:pPr>
            <w:pStyle w:val="25"/>
            <w:tabs>
              <w:tab w:val="right" w:leader="dot" w:pos="8306"/>
            </w:tabs>
          </w:pPr>
          <w:r>
            <w:rPr>
              <w:b/>
              <w:bCs/>
            </w:rPr>
            <w:fldChar w:fldCharType="begin"/>
          </w:r>
          <w:r>
            <w:instrText xml:space="preserve"> HYPERLINK \l _Toc3658_WPSOffice_Level1 </w:instrText>
          </w:r>
          <w:r>
            <w:rPr>
              <w:b/>
              <w:bCs/>
            </w:rPr>
            <w:fldChar w:fldCharType="separate"/>
          </w:r>
          <w:sdt>
            <w:sdtPr>
              <w:rPr>
                <w:rFonts w:ascii="Calibri" w:hAnsi="Calibri" w:eastAsia="宋体" w:cs="Times New Roman"/>
                <w:b/>
                <w:bCs/>
                <w:kern w:val="2"/>
                <w:sz w:val="21"/>
                <w:szCs w:val="24"/>
                <w:lang w:val="en-US" w:eastAsia="zh-CN" w:bidi="ar-SA"/>
              </w:rPr>
              <w:id w:val="147461662"/>
              <w:placeholder>
                <w:docPart w:val="{9452af4a-732a-4053-9b26-a0f405a0f7de}"/>
              </w:placeholder>
            </w:sdtPr>
            <w:sdtEndPr>
              <w:rPr>
                <w:rFonts w:ascii="Calibri" w:hAnsi="Calibri" w:eastAsia="宋体" w:cs="Times New Roman"/>
                <w:b/>
                <w:bCs/>
                <w:kern w:val="2"/>
                <w:sz w:val="21"/>
                <w:szCs w:val="24"/>
                <w:lang w:val="en-US" w:eastAsia="zh-CN" w:bidi="ar-SA"/>
              </w:rPr>
            </w:sdtEndPr>
            <w:sdtContent>
              <w:r>
                <w:rPr>
                  <w:rFonts w:hint="eastAsia" w:ascii="黑体" w:hAnsi="黑体" w:eastAsia="黑体" w:cs="Times New Roman"/>
                  <w:b/>
                  <w:bCs/>
                </w:rPr>
                <w:t>2.绿色金融治理结构</w:t>
              </w:r>
            </w:sdtContent>
          </w:sdt>
          <w:r>
            <w:rPr>
              <w:b/>
              <w:bCs/>
            </w:rPr>
            <w:tab/>
          </w:r>
          <w:bookmarkStart w:id="5" w:name="_Toc3658_WPSOffice_Level1Page"/>
          <w:r>
            <w:rPr>
              <w:b/>
              <w:bCs/>
            </w:rPr>
            <w:t>2</w:t>
          </w:r>
          <w:bookmarkEnd w:id="5"/>
          <w:r>
            <w:rPr>
              <w:b/>
              <w:bCs/>
            </w:rPr>
            <w:fldChar w:fldCharType="end"/>
          </w:r>
        </w:p>
        <w:p>
          <w:pPr>
            <w:pStyle w:val="26"/>
            <w:tabs>
              <w:tab w:val="right" w:leader="dot" w:pos="8306"/>
            </w:tabs>
          </w:pPr>
          <w:r>
            <w:fldChar w:fldCharType="begin"/>
          </w:r>
          <w:r>
            <w:instrText xml:space="preserve"> HYPERLINK \l _Toc28157_WPSOffice_Level2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5319a1a0-21fb-456e-8b13-211498e08373}"/>
              </w:placeholder>
            </w:sdtPr>
            <w:sdtEndPr>
              <w:rPr>
                <w:rFonts w:ascii="Calibri" w:hAnsi="Calibri" w:eastAsia="宋体" w:cs="Times New Roman"/>
                <w:kern w:val="2"/>
                <w:sz w:val="21"/>
                <w:szCs w:val="24"/>
                <w:lang w:val="en-US" w:eastAsia="zh-CN" w:bidi="ar-SA"/>
              </w:rPr>
            </w:sdtEndPr>
            <w:sdtContent>
              <w:r>
                <w:rPr>
                  <w:rFonts w:hint="eastAsia" w:ascii="楷体" w:hAnsi="楷体" w:eastAsia="楷体" w:cs="楷体"/>
                </w:rPr>
                <w:t>2.1董事会层面</w:t>
              </w:r>
            </w:sdtContent>
          </w:sdt>
          <w:r>
            <w:tab/>
          </w:r>
          <w:bookmarkStart w:id="6" w:name="_Toc28157_WPSOffice_Level2Page"/>
          <w:r>
            <w:t>2</w:t>
          </w:r>
          <w:bookmarkEnd w:id="6"/>
          <w:r>
            <w:fldChar w:fldCharType="end"/>
          </w:r>
        </w:p>
        <w:p>
          <w:pPr>
            <w:pStyle w:val="26"/>
            <w:tabs>
              <w:tab w:val="right" w:leader="dot" w:pos="8306"/>
            </w:tabs>
          </w:pPr>
          <w:r>
            <w:fldChar w:fldCharType="begin"/>
          </w:r>
          <w:r>
            <w:instrText xml:space="preserve"> HYPERLINK \l _Toc12954_WPSOffice_Level2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67fa4955-3351-458c-a3b4-216784ec71de}"/>
              </w:placeholder>
            </w:sdtPr>
            <w:sdtEndPr>
              <w:rPr>
                <w:rFonts w:ascii="Calibri" w:hAnsi="Calibri" w:eastAsia="宋体" w:cs="Times New Roman"/>
                <w:kern w:val="2"/>
                <w:sz w:val="21"/>
                <w:szCs w:val="24"/>
                <w:lang w:val="en-US" w:eastAsia="zh-CN" w:bidi="ar-SA"/>
              </w:rPr>
            </w:sdtEndPr>
            <w:sdtContent>
              <w:r>
                <w:rPr>
                  <w:rFonts w:hint="eastAsia" w:ascii="楷体_GB2312" w:hAnsi="楷体_GB2312" w:eastAsia="楷体_GB2312" w:cs="楷体_GB2312"/>
                </w:rPr>
                <w:t>2.2管理层层面</w:t>
              </w:r>
            </w:sdtContent>
          </w:sdt>
          <w:r>
            <w:tab/>
          </w:r>
          <w:bookmarkStart w:id="7" w:name="_Toc12954_WPSOffice_Level2Page"/>
          <w:r>
            <w:t>4</w:t>
          </w:r>
          <w:bookmarkEnd w:id="7"/>
          <w:r>
            <w:fldChar w:fldCharType="end"/>
          </w:r>
        </w:p>
        <w:p>
          <w:pPr>
            <w:pStyle w:val="26"/>
            <w:tabs>
              <w:tab w:val="right" w:leader="dot" w:pos="8306"/>
            </w:tabs>
          </w:pPr>
          <w:r>
            <w:fldChar w:fldCharType="begin"/>
          </w:r>
          <w:r>
            <w:instrText xml:space="preserve"> HYPERLINK \l _Toc22107_WPSOffice_Level2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33939e16-f2f4-4bd6-9a04-373f8f3789ea}"/>
              </w:placeholder>
            </w:sdtPr>
            <w:sdtEndPr>
              <w:rPr>
                <w:rFonts w:ascii="Calibri" w:hAnsi="Calibri" w:eastAsia="宋体" w:cs="Times New Roman"/>
                <w:kern w:val="2"/>
                <w:sz w:val="21"/>
                <w:szCs w:val="24"/>
                <w:lang w:val="en-US" w:eastAsia="zh-CN" w:bidi="ar-SA"/>
              </w:rPr>
            </w:sdtEndPr>
            <w:sdtContent>
              <w:r>
                <w:rPr>
                  <w:rFonts w:hint="eastAsia" w:ascii="楷体" w:hAnsi="楷体" w:eastAsia="楷体" w:cs="楷体"/>
                </w:rPr>
                <w:t>2.3专业部门</w:t>
              </w:r>
            </w:sdtContent>
          </w:sdt>
          <w:r>
            <w:tab/>
          </w:r>
          <w:bookmarkStart w:id="8" w:name="_Toc22107_WPSOffice_Level2Page"/>
          <w:r>
            <w:t>4</w:t>
          </w:r>
          <w:bookmarkEnd w:id="8"/>
          <w:r>
            <w:fldChar w:fldCharType="end"/>
          </w:r>
        </w:p>
        <w:p>
          <w:pPr>
            <w:pStyle w:val="25"/>
            <w:tabs>
              <w:tab w:val="right" w:leader="dot" w:pos="8306"/>
            </w:tabs>
          </w:pPr>
          <w:r>
            <w:rPr>
              <w:b/>
              <w:bCs/>
            </w:rPr>
            <w:fldChar w:fldCharType="begin"/>
          </w:r>
          <w:r>
            <w:instrText xml:space="preserve"> HYPERLINK \l _Toc14326_WPSOffice_Level1 </w:instrText>
          </w:r>
          <w:r>
            <w:rPr>
              <w:b/>
              <w:bCs/>
            </w:rPr>
            <w:fldChar w:fldCharType="separate"/>
          </w:r>
          <w:sdt>
            <w:sdtPr>
              <w:rPr>
                <w:rFonts w:ascii="Calibri" w:hAnsi="Calibri" w:eastAsia="宋体" w:cs="Times New Roman"/>
                <w:b/>
                <w:bCs/>
                <w:kern w:val="2"/>
                <w:sz w:val="21"/>
                <w:szCs w:val="24"/>
                <w:lang w:val="en-US" w:eastAsia="zh-CN" w:bidi="ar-SA"/>
              </w:rPr>
              <w:id w:val="147461662"/>
              <w:placeholder>
                <w:docPart w:val="{f4d26104-7c68-4feb-88f2-ae07f7278fde}"/>
              </w:placeholder>
            </w:sdtPr>
            <w:sdtEndPr>
              <w:rPr>
                <w:rFonts w:ascii="Calibri" w:hAnsi="Calibri" w:eastAsia="宋体" w:cs="Times New Roman"/>
                <w:b/>
                <w:bCs/>
                <w:kern w:val="2"/>
                <w:sz w:val="21"/>
                <w:szCs w:val="24"/>
                <w:lang w:val="en-US" w:eastAsia="zh-CN" w:bidi="ar-SA"/>
              </w:rPr>
            </w:sdtEndPr>
            <w:sdtContent>
              <w:r>
                <w:rPr>
                  <w:rFonts w:hint="eastAsia" w:ascii="黑体" w:hAnsi="黑体" w:eastAsia="黑体" w:cs="Times New Roman"/>
                  <w:b/>
                  <w:bCs/>
                </w:rPr>
                <w:t>3.绿色金融相关政策制度</w:t>
              </w:r>
            </w:sdtContent>
          </w:sdt>
          <w:r>
            <w:rPr>
              <w:b/>
              <w:bCs/>
            </w:rPr>
            <w:tab/>
          </w:r>
          <w:bookmarkStart w:id="9" w:name="_Toc14326_WPSOffice_Level1Page"/>
          <w:r>
            <w:rPr>
              <w:b/>
              <w:bCs/>
            </w:rPr>
            <w:t>5</w:t>
          </w:r>
          <w:bookmarkEnd w:id="9"/>
          <w:r>
            <w:rPr>
              <w:b/>
              <w:bCs/>
            </w:rPr>
            <w:fldChar w:fldCharType="end"/>
          </w:r>
        </w:p>
        <w:p>
          <w:pPr>
            <w:pStyle w:val="25"/>
            <w:tabs>
              <w:tab w:val="right" w:leader="dot" w:pos="8306"/>
            </w:tabs>
          </w:pPr>
          <w:r>
            <w:rPr>
              <w:b/>
              <w:bCs/>
            </w:rPr>
            <w:fldChar w:fldCharType="begin"/>
          </w:r>
          <w:r>
            <w:instrText xml:space="preserve"> HYPERLINK \l _Toc7726_WPSOffice_Level1 </w:instrText>
          </w:r>
          <w:r>
            <w:rPr>
              <w:b/>
              <w:bCs/>
            </w:rPr>
            <w:fldChar w:fldCharType="separate"/>
          </w:r>
          <w:sdt>
            <w:sdtPr>
              <w:rPr>
                <w:rFonts w:ascii="Calibri" w:hAnsi="Calibri" w:eastAsia="宋体" w:cs="Times New Roman"/>
                <w:b/>
                <w:bCs/>
                <w:kern w:val="2"/>
                <w:sz w:val="21"/>
                <w:szCs w:val="24"/>
                <w:lang w:val="en-US" w:eastAsia="zh-CN" w:bidi="ar-SA"/>
              </w:rPr>
              <w:id w:val="147461662"/>
              <w:placeholder>
                <w:docPart w:val="{ecc0ffcd-792f-4ecf-9b2d-d7ae463dd0a2}"/>
              </w:placeholder>
            </w:sdtPr>
            <w:sdtEndPr>
              <w:rPr>
                <w:rFonts w:ascii="Calibri" w:hAnsi="Calibri" w:eastAsia="宋体" w:cs="Times New Roman"/>
                <w:b/>
                <w:bCs/>
                <w:kern w:val="2"/>
                <w:sz w:val="21"/>
                <w:szCs w:val="24"/>
                <w:lang w:val="en-US" w:eastAsia="zh-CN" w:bidi="ar-SA"/>
              </w:rPr>
            </w:sdtEndPr>
            <w:sdtContent>
              <w:r>
                <w:rPr>
                  <w:rFonts w:hint="eastAsia" w:ascii="黑体" w:hAnsi="黑体" w:eastAsia="黑体" w:cs="Times New Roman"/>
                  <w:b/>
                  <w:bCs/>
                </w:rPr>
                <w:t>4.绿色金融产品与服务</w:t>
              </w:r>
            </w:sdtContent>
          </w:sdt>
          <w:r>
            <w:rPr>
              <w:b/>
              <w:bCs/>
            </w:rPr>
            <w:tab/>
          </w:r>
          <w:bookmarkStart w:id="10" w:name="_Toc7726_WPSOffice_Level1Page"/>
          <w:r>
            <w:rPr>
              <w:b/>
              <w:bCs/>
            </w:rPr>
            <w:t>6</w:t>
          </w:r>
          <w:bookmarkEnd w:id="10"/>
          <w:r>
            <w:rPr>
              <w:b/>
              <w:bCs/>
            </w:rPr>
            <w:fldChar w:fldCharType="end"/>
          </w:r>
        </w:p>
        <w:p>
          <w:pPr>
            <w:pStyle w:val="26"/>
            <w:tabs>
              <w:tab w:val="right" w:leader="dot" w:pos="8306"/>
            </w:tabs>
          </w:pPr>
          <w:r>
            <w:fldChar w:fldCharType="begin"/>
          </w:r>
          <w:r>
            <w:instrText xml:space="preserve"> HYPERLINK \l _Toc11580_WPSOffice_Level2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9b4f48e6-7b26-40d8-b21d-fea22a38fa90}"/>
              </w:placeholder>
            </w:sdtPr>
            <w:sdtEndPr>
              <w:rPr>
                <w:rFonts w:ascii="Calibri" w:hAnsi="Calibri" w:eastAsia="宋体" w:cs="Times New Roman"/>
                <w:kern w:val="2"/>
                <w:sz w:val="21"/>
                <w:szCs w:val="24"/>
                <w:lang w:val="en-US" w:eastAsia="zh-CN" w:bidi="ar-SA"/>
              </w:rPr>
            </w:sdtEndPr>
            <w:sdtContent>
              <w:r>
                <w:rPr>
                  <w:rFonts w:hint="eastAsia" w:ascii="楷体" w:hAnsi="楷体" w:eastAsia="楷体" w:cs="楷体"/>
                </w:rPr>
                <w:t>4.1落实绿色信贷，助力乡村振兴</w:t>
              </w:r>
            </w:sdtContent>
          </w:sdt>
          <w:r>
            <w:tab/>
          </w:r>
          <w:bookmarkStart w:id="11" w:name="_Toc11580_WPSOffice_Level2Page"/>
          <w:r>
            <w:t>6</w:t>
          </w:r>
          <w:bookmarkEnd w:id="11"/>
          <w:r>
            <w:fldChar w:fldCharType="end"/>
          </w:r>
        </w:p>
        <w:p>
          <w:pPr>
            <w:pStyle w:val="26"/>
            <w:tabs>
              <w:tab w:val="right" w:leader="dot" w:pos="8306"/>
            </w:tabs>
          </w:pPr>
          <w:r>
            <w:fldChar w:fldCharType="begin"/>
          </w:r>
          <w:r>
            <w:instrText xml:space="preserve"> HYPERLINK \l _Toc23898_WPSOffice_Level2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192d325a-0300-466e-bed6-c1f4f2d8e720}"/>
              </w:placeholder>
            </w:sdtPr>
            <w:sdtEndPr>
              <w:rPr>
                <w:rFonts w:ascii="Calibri" w:hAnsi="Calibri" w:eastAsia="宋体" w:cs="Times New Roman"/>
                <w:kern w:val="2"/>
                <w:sz w:val="21"/>
                <w:szCs w:val="24"/>
                <w:lang w:val="en-US" w:eastAsia="zh-CN" w:bidi="ar-SA"/>
              </w:rPr>
            </w:sdtEndPr>
            <w:sdtContent>
              <w:r>
                <w:rPr>
                  <w:rFonts w:hint="eastAsia" w:ascii="楷体" w:hAnsi="楷体" w:eastAsia="楷体" w:cs="楷体"/>
                </w:rPr>
                <w:t>4.2强化绿色服务，提升绿色效益</w:t>
              </w:r>
            </w:sdtContent>
          </w:sdt>
          <w:r>
            <w:tab/>
          </w:r>
          <w:bookmarkStart w:id="12" w:name="_Toc23898_WPSOffice_Level2Page"/>
          <w:r>
            <w:t>7</w:t>
          </w:r>
          <w:bookmarkEnd w:id="12"/>
          <w:r>
            <w:fldChar w:fldCharType="end"/>
          </w:r>
        </w:p>
        <w:p>
          <w:pPr>
            <w:pStyle w:val="25"/>
            <w:tabs>
              <w:tab w:val="right" w:leader="dot" w:pos="8306"/>
            </w:tabs>
          </w:pPr>
          <w:r>
            <w:rPr>
              <w:b/>
              <w:bCs/>
            </w:rPr>
            <w:fldChar w:fldCharType="begin"/>
          </w:r>
          <w:r>
            <w:instrText xml:space="preserve"> HYPERLINK \l _Toc28157_WPSOffice_Level1 </w:instrText>
          </w:r>
          <w:r>
            <w:rPr>
              <w:b/>
              <w:bCs/>
            </w:rPr>
            <w:fldChar w:fldCharType="separate"/>
          </w:r>
          <w:sdt>
            <w:sdtPr>
              <w:rPr>
                <w:rFonts w:ascii="Calibri" w:hAnsi="Calibri" w:eastAsia="宋体" w:cs="Times New Roman"/>
                <w:b/>
                <w:bCs/>
                <w:kern w:val="2"/>
                <w:sz w:val="21"/>
                <w:szCs w:val="24"/>
                <w:lang w:val="en-US" w:eastAsia="zh-CN" w:bidi="ar-SA"/>
              </w:rPr>
              <w:id w:val="147461662"/>
              <w:placeholder>
                <w:docPart w:val="{30e713bc-1c63-4bb1-a6d2-2676b3e43a4a}"/>
              </w:placeholder>
            </w:sdtPr>
            <w:sdtEndPr>
              <w:rPr>
                <w:rFonts w:ascii="Calibri" w:hAnsi="Calibri" w:eastAsia="宋体" w:cs="Times New Roman"/>
                <w:b/>
                <w:bCs/>
                <w:kern w:val="2"/>
                <w:sz w:val="21"/>
                <w:szCs w:val="24"/>
                <w:lang w:val="en-US" w:eastAsia="zh-CN" w:bidi="ar-SA"/>
              </w:rPr>
            </w:sdtEndPr>
            <w:sdtContent>
              <w:r>
                <w:rPr>
                  <w:rFonts w:hint="eastAsia" w:ascii="黑体" w:hAnsi="黑体" w:eastAsia="黑体" w:cs="Times New Roman"/>
                  <w:b/>
                  <w:bCs/>
                </w:rPr>
                <w:t>5.环境风险管理措施</w:t>
              </w:r>
            </w:sdtContent>
          </w:sdt>
          <w:r>
            <w:rPr>
              <w:b/>
              <w:bCs/>
            </w:rPr>
            <w:tab/>
          </w:r>
          <w:bookmarkStart w:id="13" w:name="_Toc28157_WPSOffice_Level1Page"/>
          <w:r>
            <w:rPr>
              <w:b/>
              <w:bCs/>
            </w:rPr>
            <w:t>8</w:t>
          </w:r>
          <w:bookmarkEnd w:id="13"/>
          <w:r>
            <w:rPr>
              <w:b/>
              <w:bCs/>
            </w:rPr>
            <w:fldChar w:fldCharType="end"/>
          </w:r>
        </w:p>
        <w:p>
          <w:pPr>
            <w:pStyle w:val="26"/>
            <w:tabs>
              <w:tab w:val="right" w:leader="dot" w:pos="8306"/>
            </w:tabs>
          </w:pPr>
          <w:r>
            <w:fldChar w:fldCharType="begin"/>
          </w:r>
          <w:r>
            <w:instrText xml:space="preserve"> HYPERLINK \l _Toc32047_WPSOffice_Level2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cd0199ff-c0b1-4568-a914-0a45cc1c6b7f}"/>
              </w:placeholder>
            </w:sdtPr>
            <w:sdtEndPr>
              <w:rPr>
                <w:rFonts w:ascii="Calibri" w:hAnsi="Calibri" w:eastAsia="宋体" w:cs="Times New Roman"/>
                <w:kern w:val="2"/>
                <w:sz w:val="21"/>
                <w:szCs w:val="24"/>
                <w:lang w:val="en-US" w:eastAsia="zh-CN" w:bidi="ar-SA"/>
              </w:rPr>
            </w:sdtEndPr>
            <w:sdtContent>
              <w:r>
                <w:rPr>
                  <w:rFonts w:hint="eastAsia" w:ascii="仿宋_GB2312" w:hAnsi="Calibri" w:eastAsia="仿宋_GB2312" w:cs="Times New Roman"/>
                </w:rPr>
                <w:t>5.1制度建设</w:t>
              </w:r>
            </w:sdtContent>
          </w:sdt>
          <w:r>
            <w:tab/>
          </w:r>
          <w:bookmarkStart w:id="14" w:name="_Toc32047_WPSOffice_Level2Page"/>
          <w:r>
            <w:t>8</w:t>
          </w:r>
          <w:bookmarkEnd w:id="14"/>
          <w:r>
            <w:fldChar w:fldCharType="end"/>
          </w:r>
        </w:p>
        <w:p>
          <w:pPr>
            <w:pStyle w:val="26"/>
            <w:tabs>
              <w:tab w:val="right" w:leader="dot" w:pos="8306"/>
            </w:tabs>
          </w:pPr>
          <w:r>
            <w:fldChar w:fldCharType="begin"/>
          </w:r>
          <w:r>
            <w:instrText xml:space="preserve"> HYPERLINK \l _Toc25047_WPSOffice_Level2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c89ad456-48da-47d3-8d70-e2ce362dc2fe}"/>
              </w:placeholder>
            </w:sdtPr>
            <w:sdtEndPr>
              <w:rPr>
                <w:rFonts w:ascii="Calibri" w:hAnsi="Calibri" w:eastAsia="宋体" w:cs="Times New Roman"/>
                <w:kern w:val="2"/>
                <w:sz w:val="21"/>
                <w:szCs w:val="24"/>
                <w:lang w:val="en-US" w:eastAsia="zh-CN" w:bidi="ar-SA"/>
              </w:rPr>
            </w:sdtEndPr>
            <w:sdtContent>
              <w:r>
                <w:rPr>
                  <w:rFonts w:hint="eastAsia" w:ascii="仿宋_GB2312" w:hAnsi="Calibri" w:eastAsia="仿宋_GB2312" w:cs="Times New Roman"/>
                </w:rPr>
                <w:t>5.2信贷管理</w:t>
              </w:r>
            </w:sdtContent>
          </w:sdt>
          <w:r>
            <w:tab/>
          </w:r>
          <w:bookmarkStart w:id="15" w:name="_Toc25047_WPSOffice_Level2Page"/>
          <w:r>
            <w:t>9</w:t>
          </w:r>
          <w:bookmarkEnd w:id="15"/>
          <w:r>
            <w:fldChar w:fldCharType="end"/>
          </w:r>
        </w:p>
        <w:p>
          <w:pPr>
            <w:pStyle w:val="25"/>
            <w:tabs>
              <w:tab w:val="right" w:leader="dot" w:pos="8306"/>
            </w:tabs>
          </w:pPr>
          <w:r>
            <w:rPr>
              <w:b/>
              <w:bCs/>
            </w:rPr>
            <w:fldChar w:fldCharType="begin"/>
          </w:r>
          <w:r>
            <w:instrText xml:space="preserve"> HYPERLINK \l _Toc12954_WPSOffice_Level1 </w:instrText>
          </w:r>
          <w:r>
            <w:rPr>
              <w:b/>
              <w:bCs/>
            </w:rPr>
            <w:fldChar w:fldCharType="separate"/>
          </w:r>
          <w:sdt>
            <w:sdtPr>
              <w:rPr>
                <w:rFonts w:ascii="Calibri" w:hAnsi="Calibri" w:eastAsia="宋体" w:cs="Times New Roman"/>
                <w:b/>
                <w:bCs/>
                <w:kern w:val="2"/>
                <w:sz w:val="21"/>
                <w:szCs w:val="24"/>
                <w:lang w:val="en-US" w:eastAsia="zh-CN" w:bidi="ar-SA"/>
              </w:rPr>
              <w:id w:val="147461662"/>
              <w:placeholder>
                <w:docPart w:val="{00c986eb-74b1-44c6-ac62-af8b31f91a12}"/>
              </w:placeholder>
            </w:sdtPr>
            <w:sdtEndPr>
              <w:rPr>
                <w:rFonts w:ascii="Calibri" w:hAnsi="Calibri" w:eastAsia="宋体" w:cs="Times New Roman"/>
                <w:b/>
                <w:bCs/>
                <w:kern w:val="2"/>
                <w:sz w:val="21"/>
                <w:szCs w:val="24"/>
                <w:lang w:val="en-US" w:eastAsia="zh-CN" w:bidi="ar-SA"/>
              </w:rPr>
            </w:sdtEndPr>
            <w:sdtContent>
              <w:r>
                <w:rPr>
                  <w:rFonts w:hint="eastAsia" w:ascii="黑体" w:hAnsi="黑体" w:eastAsia="黑体" w:cs="黑体"/>
                  <w:b/>
                  <w:bCs/>
                </w:rPr>
                <w:t>6.环境风险、机遇的分析与管理</w:t>
              </w:r>
            </w:sdtContent>
          </w:sdt>
          <w:r>
            <w:rPr>
              <w:b/>
              <w:bCs/>
            </w:rPr>
            <w:tab/>
          </w:r>
          <w:bookmarkStart w:id="16" w:name="_Toc12954_WPSOffice_Level1Page"/>
          <w:r>
            <w:rPr>
              <w:b/>
              <w:bCs/>
            </w:rPr>
            <w:t>10</w:t>
          </w:r>
          <w:bookmarkEnd w:id="16"/>
          <w:r>
            <w:rPr>
              <w:b/>
              <w:bCs/>
            </w:rPr>
            <w:fldChar w:fldCharType="end"/>
          </w:r>
        </w:p>
        <w:p>
          <w:pPr>
            <w:pStyle w:val="26"/>
            <w:tabs>
              <w:tab w:val="right" w:leader="dot" w:pos="8306"/>
            </w:tabs>
          </w:pPr>
          <w:r>
            <w:fldChar w:fldCharType="begin"/>
          </w:r>
          <w:r>
            <w:instrText xml:space="preserve"> HYPERLINK \l _Toc10582_WPSOffice_Level2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ba48fcb1-6f29-4c50-a204-26c0666e5131}"/>
              </w:placeholder>
            </w:sdtPr>
            <w:sdtEndPr>
              <w:rPr>
                <w:rFonts w:ascii="Calibri" w:hAnsi="Calibri" w:eastAsia="宋体" w:cs="Times New Roman"/>
                <w:kern w:val="2"/>
                <w:sz w:val="21"/>
                <w:szCs w:val="24"/>
                <w:lang w:val="en-US" w:eastAsia="zh-CN" w:bidi="ar-SA"/>
              </w:rPr>
            </w:sdtEndPr>
            <w:sdtContent>
              <w:r>
                <w:rPr>
                  <w:rFonts w:hint="eastAsia" w:ascii="楷体" w:hAnsi="楷体" w:eastAsia="楷体" w:cs="楷体"/>
                </w:rPr>
                <w:t>6.1环境风险</w:t>
              </w:r>
            </w:sdtContent>
          </w:sdt>
          <w:r>
            <w:tab/>
          </w:r>
          <w:bookmarkStart w:id="17" w:name="_Toc10582_WPSOffice_Level2Page"/>
          <w:r>
            <w:t>10</w:t>
          </w:r>
          <w:bookmarkEnd w:id="17"/>
          <w:r>
            <w:fldChar w:fldCharType="end"/>
          </w:r>
        </w:p>
        <w:p>
          <w:pPr>
            <w:pStyle w:val="26"/>
            <w:tabs>
              <w:tab w:val="right" w:leader="dot" w:pos="8306"/>
            </w:tabs>
          </w:pPr>
          <w:r>
            <w:fldChar w:fldCharType="begin"/>
          </w:r>
          <w:r>
            <w:instrText xml:space="preserve"> HYPERLINK \l _Toc27807_WPSOffice_Level2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473e446b-2123-41f1-b2d0-d5998d27faad}"/>
              </w:placeholder>
            </w:sdtPr>
            <w:sdtEndPr>
              <w:rPr>
                <w:rFonts w:ascii="Calibri" w:hAnsi="Calibri" w:eastAsia="宋体" w:cs="Times New Roman"/>
                <w:kern w:val="2"/>
                <w:sz w:val="21"/>
                <w:szCs w:val="24"/>
                <w:lang w:val="en-US" w:eastAsia="zh-CN" w:bidi="ar-SA"/>
              </w:rPr>
            </w:sdtEndPr>
            <w:sdtContent>
              <w:r>
                <w:rPr>
                  <w:rFonts w:hint="eastAsia" w:ascii="楷体" w:hAnsi="楷体" w:eastAsia="楷体" w:cs="楷体"/>
                </w:rPr>
                <w:t>6.2机遇分析</w:t>
              </w:r>
            </w:sdtContent>
          </w:sdt>
          <w:r>
            <w:tab/>
          </w:r>
          <w:bookmarkStart w:id="18" w:name="_Toc27807_WPSOffice_Level2Page"/>
          <w:r>
            <w:t>10</w:t>
          </w:r>
          <w:bookmarkEnd w:id="18"/>
          <w:r>
            <w:fldChar w:fldCharType="end"/>
          </w:r>
        </w:p>
        <w:p>
          <w:pPr>
            <w:pStyle w:val="25"/>
            <w:tabs>
              <w:tab w:val="right" w:leader="dot" w:pos="8306"/>
            </w:tabs>
          </w:pPr>
          <w:r>
            <w:rPr>
              <w:b/>
              <w:bCs/>
            </w:rPr>
            <w:fldChar w:fldCharType="begin"/>
          </w:r>
          <w:r>
            <w:instrText xml:space="preserve"> HYPERLINK \l _Toc22107_WPSOffice_Level1 </w:instrText>
          </w:r>
          <w:r>
            <w:rPr>
              <w:b/>
              <w:bCs/>
            </w:rPr>
            <w:fldChar w:fldCharType="separate"/>
          </w:r>
          <w:sdt>
            <w:sdtPr>
              <w:rPr>
                <w:rFonts w:ascii="Calibri" w:hAnsi="Calibri" w:eastAsia="宋体" w:cs="Times New Roman"/>
                <w:b/>
                <w:bCs/>
                <w:kern w:val="2"/>
                <w:sz w:val="21"/>
                <w:szCs w:val="24"/>
                <w:lang w:val="en-US" w:eastAsia="zh-CN" w:bidi="ar-SA"/>
              </w:rPr>
              <w:id w:val="147461662"/>
              <w:placeholder>
                <w:docPart w:val="{1c7aea30-4ef8-422f-8fc6-406e98dc04d5}"/>
              </w:placeholder>
            </w:sdtPr>
            <w:sdtEndPr>
              <w:rPr>
                <w:rFonts w:ascii="Calibri" w:hAnsi="Calibri" w:eastAsia="宋体" w:cs="Times New Roman"/>
                <w:b/>
                <w:bCs/>
                <w:kern w:val="2"/>
                <w:sz w:val="21"/>
                <w:szCs w:val="24"/>
                <w:lang w:val="en-US" w:eastAsia="zh-CN" w:bidi="ar-SA"/>
              </w:rPr>
            </w:sdtEndPr>
            <w:sdtContent>
              <w:r>
                <w:rPr>
                  <w:rFonts w:hint="eastAsia" w:ascii="黑体" w:hAnsi="黑体" w:eastAsia="黑体" w:cs="黑体"/>
                  <w:b/>
                  <w:bCs/>
                </w:rPr>
                <w:t>7.自身运营的环境影响</w:t>
              </w:r>
            </w:sdtContent>
          </w:sdt>
          <w:r>
            <w:rPr>
              <w:b/>
              <w:bCs/>
            </w:rPr>
            <w:tab/>
          </w:r>
          <w:bookmarkStart w:id="19" w:name="_Toc22107_WPSOffice_Level1Page"/>
          <w:r>
            <w:rPr>
              <w:b/>
              <w:bCs/>
            </w:rPr>
            <w:t>10</w:t>
          </w:r>
          <w:bookmarkEnd w:id="19"/>
          <w:r>
            <w:rPr>
              <w:b/>
              <w:bCs/>
            </w:rPr>
            <w:fldChar w:fldCharType="end"/>
          </w:r>
        </w:p>
        <w:p>
          <w:pPr>
            <w:pStyle w:val="26"/>
            <w:tabs>
              <w:tab w:val="right" w:leader="dot" w:pos="8306"/>
            </w:tabs>
          </w:pPr>
          <w:r>
            <w:fldChar w:fldCharType="begin"/>
          </w:r>
          <w:r>
            <w:instrText xml:space="preserve"> HYPERLINK \l _Toc9957_WPSOffice_Level2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e0849672-4185-485a-a5c3-6a48425b3fbe}"/>
              </w:placeholder>
            </w:sdtPr>
            <w:sdtEndPr>
              <w:rPr>
                <w:rFonts w:ascii="Calibri" w:hAnsi="Calibri" w:eastAsia="宋体" w:cs="Times New Roman"/>
                <w:kern w:val="2"/>
                <w:sz w:val="21"/>
                <w:szCs w:val="24"/>
                <w:lang w:val="en-US" w:eastAsia="zh-CN" w:bidi="ar-SA"/>
              </w:rPr>
            </w:sdtEndPr>
            <w:sdtContent>
              <w:r>
                <w:rPr>
                  <w:rFonts w:hint="eastAsia" w:ascii="楷体" w:hAnsi="楷体" w:eastAsia="楷体" w:cs="楷体"/>
                </w:rPr>
                <w:t>7.1加强食堂管理</w:t>
              </w:r>
            </w:sdtContent>
          </w:sdt>
          <w:r>
            <w:tab/>
          </w:r>
          <w:bookmarkStart w:id="20" w:name="_Toc9957_WPSOffice_Level2Page"/>
          <w:r>
            <w:t>11</w:t>
          </w:r>
          <w:bookmarkEnd w:id="20"/>
          <w:r>
            <w:fldChar w:fldCharType="end"/>
          </w:r>
        </w:p>
        <w:p>
          <w:pPr>
            <w:pStyle w:val="26"/>
            <w:tabs>
              <w:tab w:val="right" w:leader="dot" w:pos="8306"/>
            </w:tabs>
          </w:pPr>
          <w:r>
            <w:fldChar w:fldCharType="begin"/>
          </w:r>
          <w:r>
            <w:instrText xml:space="preserve"> HYPERLINK \l _Toc14180_WPSOffice_Level2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6b8c3359-4853-4ada-9ab4-eb97401bb8c7}"/>
              </w:placeholder>
            </w:sdtPr>
            <w:sdtEndPr>
              <w:rPr>
                <w:rFonts w:ascii="Calibri" w:hAnsi="Calibri" w:eastAsia="宋体" w:cs="Times New Roman"/>
                <w:kern w:val="2"/>
                <w:sz w:val="21"/>
                <w:szCs w:val="24"/>
                <w:lang w:val="en-US" w:eastAsia="zh-CN" w:bidi="ar-SA"/>
              </w:rPr>
            </w:sdtEndPr>
            <w:sdtContent>
              <w:r>
                <w:rPr>
                  <w:rFonts w:hint="eastAsia" w:ascii="楷体" w:hAnsi="楷体" w:eastAsia="楷体" w:cs="楷体"/>
                </w:rPr>
                <w:t>7.2加强用水节约管理</w:t>
              </w:r>
            </w:sdtContent>
          </w:sdt>
          <w:r>
            <w:tab/>
          </w:r>
          <w:bookmarkStart w:id="21" w:name="_Toc14180_WPSOffice_Level2Page"/>
          <w:r>
            <w:t>11</w:t>
          </w:r>
          <w:bookmarkEnd w:id="21"/>
          <w:r>
            <w:fldChar w:fldCharType="end"/>
          </w:r>
        </w:p>
        <w:p>
          <w:pPr>
            <w:pStyle w:val="26"/>
            <w:tabs>
              <w:tab w:val="right" w:leader="dot" w:pos="8306"/>
            </w:tabs>
          </w:pPr>
          <w:r>
            <w:fldChar w:fldCharType="begin"/>
          </w:r>
          <w:r>
            <w:instrText xml:space="preserve"> HYPERLINK \l _Toc9439_WPSOffice_Level2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c17c6e83-0145-46e0-8e22-35378b29352c}"/>
              </w:placeholder>
            </w:sdtPr>
            <w:sdtEndPr>
              <w:rPr>
                <w:rFonts w:ascii="Calibri" w:hAnsi="Calibri" w:eastAsia="宋体" w:cs="Times New Roman"/>
                <w:kern w:val="2"/>
                <w:sz w:val="21"/>
                <w:szCs w:val="24"/>
                <w:lang w:val="en-US" w:eastAsia="zh-CN" w:bidi="ar-SA"/>
              </w:rPr>
            </w:sdtEndPr>
            <w:sdtContent>
              <w:r>
                <w:rPr>
                  <w:rFonts w:hint="eastAsia" w:ascii="楷体" w:hAnsi="楷体" w:eastAsia="楷体" w:cs="楷体"/>
                </w:rPr>
                <w:t>7.3加强用电节约管理</w:t>
              </w:r>
            </w:sdtContent>
          </w:sdt>
          <w:r>
            <w:tab/>
          </w:r>
          <w:bookmarkStart w:id="22" w:name="_Toc9439_WPSOffice_Level2Page"/>
          <w:r>
            <w:t>12</w:t>
          </w:r>
          <w:bookmarkEnd w:id="22"/>
          <w:r>
            <w:fldChar w:fldCharType="end"/>
          </w:r>
        </w:p>
        <w:p>
          <w:pPr>
            <w:pStyle w:val="26"/>
            <w:tabs>
              <w:tab w:val="right" w:leader="dot" w:pos="8306"/>
            </w:tabs>
          </w:pPr>
          <w:r>
            <w:fldChar w:fldCharType="begin"/>
          </w:r>
          <w:r>
            <w:instrText xml:space="preserve"> HYPERLINK \l _Toc10422_WPSOffice_Level2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d82412ec-0d9b-445e-9800-daa762a21c07}"/>
              </w:placeholder>
            </w:sdtPr>
            <w:sdtEndPr>
              <w:rPr>
                <w:rFonts w:ascii="Calibri" w:hAnsi="Calibri" w:eastAsia="宋体" w:cs="Times New Roman"/>
                <w:kern w:val="2"/>
                <w:sz w:val="21"/>
                <w:szCs w:val="24"/>
                <w:lang w:val="en-US" w:eastAsia="zh-CN" w:bidi="ar-SA"/>
              </w:rPr>
            </w:sdtEndPr>
            <w:sdtContent>
              <w:r>
                <w:rPr>
                  <w:rFonts w:hint="eastAsia" w:ascii="楷体" w:hAnsi="楷体" w:eastAsia="楷体" w:cs="楷体"/>
                </w:rPr>
                <w:t>7.4加强办公节约管理</w:t>
              </w:r>
            </w:sdtContent>
          </w:sdt>
          <w:r>
            <w:tab/>
          </w:r>
          <w:bookmarkStart w:id="23" w:name="_Toc10422_WPSOffice_Level2Page"/>
          <w:r>
            <w:t>13</w:t>
          </w:r>
          <w:bookmarkEnd w:id="23"/>
          <w:r>
            <w:fldChar w:fldCharType="end"/>
          </w:r>
        </w:p>
        <w:p>
          <w:pPr>
            <w:pStyle w:val="26"/>
            <w:tabs>
              <w:tab w:val="right" w:leader="dot" w:pos="8306"/>
            </w:tabs>
          </w:pPr>
          <w:r>
            <w:fldChar w:fldCharType="begin"/>
          </w:r>
          <w:r>
            <w:instrText xml:space="preserve"> HYPERLINK \l _Toc31949_WPSOffice_Level2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07e6fb7e-3608-4f18-b4af-1ef88d59f571}"/>
              </w:placeholder>
            </w:sdtPr>
            <w:sdtEndPr>
              <w:rPr>
                <w:rFonts w:ascii="Calibri" w:hAnsi="Calibri" w:eastAsia="宋体" w:cs="Times New Roman"/>
                <w:kern w:val="2"/>
                <w:sz w:val="21"/>
                <w:szCs w:val="24"/>
                <w:lang w:val="en-US" w:eastAsia="zh-CN" w:bidi="ar-SA"/>
              </w:rPr>
            </w:sdtEndPr>
            <w:sdtContent>
              <w:r>
                <w:rPr>
                  <w:rFonts w:hint="eastAsia" w:ascii="楷体" w:hAnsi="楷体" w:eastAsia="楷体" w:cs="楷体"/>
                </w:rPr>
                <w:t>7.5加强会议支出管理</w:t>
              </w:r>
            </w:sdtContent>
          </w:sdt>
          <w:r>
            <w:tab/>
          </w:r>
          <w:bookmarkStart w:id="24" w:name="_Toc31949_WPSOffice_Level2Page"/>
          <w:r>
            <w:t>14</w:t>
          </w:r>
          <w:bookmarkEnd w:id="24"/>
          <w:r>
            <w:fldChar w:fldCharType="end"/>
          </w:r>
        </w:p>
        <w:p>
          <w:pPr>
            <w:pStyle w:val="26"/>
            <w:tabs>
              <w:tab w:val="right" w:leader="dot" w:pos="8306"/>
            </w:tabs>
          </w:pPr>
          <w:r>
            <w:fldChar w:fldCharType="begin"/>
          </w:r>
          <w:r>
            <w:instrText xml:space="preserve"> HYPERLINK \l _Toc21603_WPSOffice_Level2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836bd8c0-b63b-41d2-b3ba-9d8b3a4c2c6f}"/>
              </w:placeholder>
            </w:sdtPr>
            <w:sdtEndPr>
              <w:rPr>
                <w:rFonts w:ascii="Calibri" w:hAnsi="Calibri" w:eastAsia="宋体" w:cs="Times New Roman"/>
                <w:kern w:val="2"/>
                <w:sz w:val="21"/>
                <w:szCs w:val="24"/>
                <w:lang w:val="en-US" w:eastAsia="zh-CN" w:bidi="ar-SA"/>
              </w:rPr>
            </w:sdtEndPr>
            <w:sdtContent>
              <w:r>
                <w:rPr>
                  <w:rFonts w:hint="eastAsia" w:ascii="楷体" w:hAnsi="楷体" w:eastAsia="楷体" w:cs="楷体"/>
                </w:rPr>
                <w:t>7.6加强用车节约管理</w:t>
              </w:r>
            </w:sdtContent>
          </w:sdt>
          <w:r>
            <w:tab/>
          </w:r>
          <w:bookmarkStart w:id="25" w:name="_Toc21603_WPSOffice_Level2Page"/>
          <w:r>
            <w:t>14</w:t>
          </w:r>
          <w:bookmarkEnd w:id="25"/>
          <w:r>
            <w:fldChar w:fldCharType="end"/>
          </w:r>
        </w:p>
        <w:p>
          <w:pPr>
            <w:pStyle w:val="25"/>
            <w:tabs>
              <w:tab w:val="right" w:leader="dot" w:pos="8306"/>
            </w:tabs>
          </w:pPr>
          <w:r>
            <w:rPr>
              <w:b/>
              <w:bCs/>
            </w:rPr>
            <w:fldChar w:fldCharType="begin"/>
          </w:r>
          <w:r>
            <w:instrText xml:space="preserve"> HYPERLINK \l _Toc11580_WPSOffice_Level1 </w:instrText>
          </w:r>
          <w:r>
            <w:rPr>
              <w:b/>
              <w:bCs/>
            </w:rPr>
            <w:fldChar w:fldCharType="separate"/>
          </w:r>
          <w:sdt>
            <w:sdtPr>
              <w:rPr>
                <w:rFonts w:ascii="Calibri" w:hAnsi="Calibri" w:eastAsia="宋体" w:cs="Times New Roman"/>
                <w:b/>
                <w:bCs/>
                <w:kern w:val="2"/>
                <w:sz w:val="21"/>
                <w:szCs w:val="24"/>
                <w:lang w:val="en-US" w:eastAsia="zh-CN" w:bidi="ar-SA"/>
              </w:rPr>
              <w:id w:val="147461662"/>
              <w:placeholder>
                <w:docPart w:val="{b744d978-f51e-49ba-a41c-273dff051c16}"/>
              </w:placeholder>
            </w:sdtPr>
            <w:sdtEndPr>
              <w:rPr>
                <w:rFonts w:ascii="Calibri" w:hAnsi="Calibri" w:eastAsia="宋体" w:cs="Times New Roman"/>
                <w:b/>
                <w:bCs/>
                <w:kern w:val="2"/>
                <w:sz w:val="21"/>
                <w:szCs w:val="24"/>
                <w:lang w:val="en-US" w:eastAsia="zh-CN" w:bidi="ar-SA"/>
              </w:rPr>
            </w:sdtEndPr>
            <w:sdtContent>
              <w:r>
                <w:rPr>
                  <w:rFonts w:hint="eastAsia" w:ascii="黑体" w:hAnsi="黑体" w:eastAsia="黑体" w:cs="黑体"/>
                  <w:b/>
                  <w:bCs/>
                </w:rPr>
                <w:t>8.数据梳理、校验及保护</w:t>
              </w:r>
            </w:sdtContent>
          </w:sdt>
          <w:r>
            <w:rPr>
              <w:b/>
              <w:bCs/>
            </w:rPr>
            <w:tab/>
          </w:r>
          <w:bookmarkStart w:id="26" w:name="_Toc11580_WPSOffice_Level1Page"/>
          <w:r>
            <w:rPr>
              <w:b/>
              <w:bCs/>
            </w:rPr>
            <w:t>14</w:t>
          </w:r>
          <w:bookmarkEnd w:id="26"/>
          <w:r>
            <w:rPr>
              <w:b/>
              <w:bCs/>
            </w:rPr>
            <w:fldChar w:fldCharType="end"/>
          </w:r>
        </w:p>
        <w:p>
          <w:pPr>
            <w:pStyle w:val="26"/>
            <w:tabs>
              <w:tab w:val="right" w:leader="dot" w:pos="8306"/>
            </w:tabs>
          </w:pPr>
          <w:r>
            <w:fldChar w:fldCharType="begin"/>
          </w:r>
          <w:r>
            <w:instrText xml:space="preserve"> HYPERLINK \l _Toc14852_WPSOffice_Level2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30d41a10-3710-4ad7-ba0d-e8490a69b602}"/>
              </w:placeholder>
            </w:sdtPr>
            <w:sdtEndPr>
              <w:rPr>
                <w:rFonts w:ascii="Calibri" w:hAnsi="Calibri" w:eastAsia="宋体" w:cs="Times New Roman"/>
                <w:kern w:val="2"/>
                <w:sz w:val="21"/>
                <w:szCs w:val="24"/>
                <w:lang w:val="en-US" w:eastAsia="zh-CN" w:bidi="ar-SA"/>
              </w:rPr>
            </w:sdtEndPr>
            <w:sdtContent>
              <w:r>
                <w:rPr>
                  <w:rFonts w:hint="eastAsia" w:ascii="楷体" w:hAnsi="楷体" w:eastAsia="楷体" w:cs="楷体"/>
                </w:rPr>
                <w:t>8.1信息安全基本情况</w:t>
              </w:r>
            </w:sdtContent>
          </w:sdt>
          <w:r>
            <w:tab/>
          </w:r>
          <w:bookmarkStart w:id="27" w:name="_Toc14852_WPSOffice_Level2Page"/>
          <w:r>
            <w:t>14</w:t>
          </w:r>
          <w:bookmarkEnd w:id="27"/>
          <w:r>
            <w:fldChar w:fldCharType="end"/>
          </w:r>
        </w:p>
        <w:p>
          <w:pPr>
            <w:pStyle w:val="26"/>
            <w:tabs>
              <w:tab w:val="right" w:leader="dot" w:pos="8306"/>
            </w:tabs>
          </w:pPr>
          <w:r>
            <w:fldChar w:fldCharType="begin"/>
          </w:r>
          <w:r>
            <w:instrText xml:space="preserve"> HYPERLINK \l _Toc19491_WPSOffice_Level2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c57426f5-a3b1-433b-9dc5-aa1c1ed10a88}"/>
              </w:placeholder>
            </w:sdtPr>
            <w:sdtEndPr>
              <w:rPr>
                <w:rFonts w:ascii="Calibri" w:hAnsi="Calibri" w:eastAsia="宋体" w:cs="Times New Roman"/>
                <w:kern w:val="2"/>
                <w:sz w:val="21"/>
                <w:szCs w:val="24"/>
                <w:lang w:val="en-US" w:eastAsia="zh-CN" w:bidi="ar-SA"/>
              </w:rPr>
            </w:sdtEndPr>
            <w:sdtContent>
              <w:r>
                <w:rPr>
                  <w:rFonts w:hint="eastAsia" w:ascii="楷体" w:hAnsi="楷体" w:eastAsia="楷体" w:cs="楷体"/>
                </w:rPr>
                <w:t>8.2运维管理情况</w:t>
              </w:r>
            </w:sdtContent>
          </w:sdt>
          <w:r>
            <w:tab/>
          </w:r>
          <w:bookmarkStart w:id="28" w:name="_Toc19491_WPSOffice_Level2Page"/>
          <w:r>
            <w:t>15</w:t>
          </w:r>
          <w:bookmarkEnd w:id="28"/>
          <w:r>
            <w:fldChar w:fldCharType="end"/>
          </w:r>
        </w:p>
        <w:p>
          <w:pPr>
            <w:pStyle w:val="26"/>
            <w:tabs>
              <w:tab w:val="right" w:leader="dot" w:pos="8306"/>
            </w:tabs>
          </w:pPr>
          <w:r>
            <w:fldChar w:fldCharType="begin"/>
          </w:r>
          <w:r>
            <w:instrText xml:space="preserve"> HYPERLINK \l _Toc29741_WPSOffice_Level2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2dc8a0d5-189a-4201-b1f3-c4de58c28f46}"/>
              </w:placeholder>
            </w:sdtPr>
            <w:sdtEndPr>
              <w:rPr>
                <w:rFonts w:ascii="Calibri" w:hAnsi="Calibri" w:eastAsia="宋体" w:cs="Times New Roman"/>
                <w:kern w:val="2"/>
                <w:sz w:val="21"/>
                <w:szCs w:val="24"/>
                <w:lang w:val="en-US" w:eastAsia="zh-CN" w:bidi="ar-SA"/>
              </w:rPr>
            </w:sdtEndPr>
            <w:sdtContent>
              <w:r>
                <w:rPr>
                  <w:rFonts w:hint="eastAsia" w:ascii="楷体" w:hAnsi="楷体" w:eastAsia="楷体" w:cs="楷体"/>
                </w:rPr>
                <w:t>8.3终端安全管理情况</w:t>
              </w:r>
            </w:sdtContent>
          </w:sdt>
          <w:r>
            <w:tab/>
          </w:r>
          <w:bookmarkStart w:id="29" w:name="_Toc29741_WPSOffice_Level2Page"/>
          <w:r>
            <w:t>15</w:t>
          </w:r>
          <w:bookmarkEnd w:id="29"/>
          <w:r>
            <w:fldChar w:fldCharType="end"/>
          </w:r>
        </w:p>
        <w:p>
          <w:pPr>
            <w:pStyle w:val="26"/>
            <w:tabs>
              <w:tab w:val="right" w:leader="dot" w:pos="8306"/>
            </w:tabs>
          </w:pPr>
          <w:r>
            <w:fldChar w:fldCharType="begin"/>
          </w:r>
          <w:r>
            <w:instrText xml:space="preserve"> HYPERLINK \l _Toc10893_WPSOffice_Level2 </w:instrText>
          </w:r>
          <w:r>
            <w:fldChar w:fldCharType="separate"/>
          </w:r>
          <w:sdt>
            <w:sdtPr>
              <w:rPr>
                <w:rFonts w:ascii="Calibri" w:hAnsi="Calibri" w:eastAsia="宋体" w:cs="Times New Roman"/>
                <w:kern w:val="2"/>
                <w:sz w:val="21"/>
                <w:szCs w:val="24"/>
                <w:lang w:val="en-US" w:eastAsia="zh-CN" w:bidi="ar-SA"/>
              </w:rPr>
              <w:id w:val="147461662"/>
              <w:placeholder>
                <w:docPart w:val="{d68a76bb-f6ad-427c-ae96-ba220ccb965d}"/>
              </w:placeholder>
            </w:sdtPr>
            <w:sdtEndPr>
              <w:rPr>
                <w:rFonts w:ascii="Calibri" w:hAnsi="Calibri" w:eastAsia="宋体" w:cs="Times New Roman"/>
                <w:kern w:val="2"/>
                <w:sz w:val="21"/>
                <w:szCs w:val="24"/>
                <w:lang w:val="en-US" w:eastAsia="zh-CN" w:bidi="ar-SA"/>
              </w:rPr>
            </w:sdtEndPr>
            <w:sdtContent>
              <w:r>
                <w:rPr>
                  <w:rFonts w:hint="eastAsia" w:ascii="楷体" w:hAnsi="楷体" w:eastAsia="楷体" w:cs="楷体"/>
                </w:rPr>
                <w:t>8.4应急预案与演练情况</w:t>
              </w:r>
            </w:sdtContent>
          </w:sdt>
          <w:r>
            <w:tab/>
          </w:r>
          <w:bookmarkStart w:id="30" w:name="_Toc10893_WPSOffice_Level2Page"/>
          <w:r>
            <w:t>16</w:t>
          </w:r>
          <w:bookmarkEnd w:id="30"/>
          <w:r>
            <w:fldChar w:fldCharType="end"/>
          </w:r>
        </w:p>
        <w:p>
          <w:pPr>
            <w:pStyle w:val="25"/>
            <w:tabs>
              <w:tab w:val="right" w:leader="dot" w:pos="8306"/>
            </w:tabs>
          </w:pPr>
          <w:r>
            <w:rPr>
              <w:b/>
              <w:bCs/>
            </w:rPr>
            <w:fldChar w:fldCharType="begin"/>
          </w:r>
          <w:r>
            <w:instrText xml:space="preserve"> HYPERLINK \l _Toc23898_WPSOffice_Level1 </w:instrText>
          </w:r>
          <w:r>
            <w:rPr>
              <w:b/>
              <w:bCs/>
            </w:rPr>
            <w:fldChar w:fldCharType="separate"/>
          </w:r>
          <w:sdt>
            <w:sdtPr>
              <w:rPr>
                <w:rFonts w:ascii="Calibri" w:hAnsi="Calibri" w:eastAsia="宋体" w:cs="Times New Roman"/>
                <w:b/>
                <w:bCs/>
                <w:kern w:val="2"/>
                <w:sz w:val="21"/>
                <w:szCs w:val="24"/>
                <w:lang w:val="en-US" w:eastAsia="zh-CN" w:bidi="ar-SA"/>
              </w:rPr>
              <w:id w:val="147461662"/>
              <w:placeholder>
                <w:docPart w:val="{a43f0069-0781-4dbc-bd1c-c86d3ea1ea4c}"/>
              </w:placeholder>
            </w:sdtPr>
            <w:sdtEndPr>
              <w:rPr>
                <w:rFonts w:ascii="Calibri" w:hAnsi="Calibri" w:eastAsia="宋体" w:cs="Times New Roman"/>
                <w:b/>
                <w:bCs/>
                <w:kern w:val="2"/>
                <w:sz w:val="21"/>
                <w:szCs w:val="24"/>
                <w:lang w:val="en-US" w:eastAsia="zh-CN" w:bidi="ar-SA"/>
              </w:rPr>
            </w:sdtEndPr>
            <w:sdtContent>
              <w:r>
                <w:rPr>
                  <w:rFonts w:hint="eastAsia" w:ascii="黑体" w:hAnsi="黑体" w:eastAsia="黑体" w:cs="黑体"/>
                  <w:b/>
                  <w:bCs/>
                </w:rPr>
                <w:t>9.绿色金融典型案例</w:t>
              </w:r>
            </w:sdtContent>
          </w:sdt>
          <w:r>
            <w:rPr>
              <w:b/>
              <w:bCs/>
            </w:rPr>
            <w:tab/>
          </w:r>
          <w:bookmarkStart w:id="31" w:name="_Toc23898_WPSOffice_Level1Page"/>
          <w:r>
            <w:rPr>
              <w:b/>
              <w:bCs/>
            </w:rPr>
            <w:t>16</w:t>
          </w:r>
          <w:bookmarkEnd w:id="31"/>
          <w:r>
            <w:rPr>
              <w:b/>
              <w:bCs/>
            </w:rPr>
            <w:fldChar w:fldCharType="end"/>
          </w:r>
        </w:p>
        <w:p>
          <w:pPr>
            <w:pStyle w:val="25"/>
            <w:tabs>
              <w:tab w:val="right" w:leader="dot" w:pos="8306"/>
            </w:tabs>
          </w:pPr>
          <w:r>
            <w:rPr>
              <w:b/>
              <w:bCs/>
            </w:rPr>
            <w:fldChar w:fldCharType="begin"/>
          </w:r>
          <w:r>
            <w:instrText xml:space="preserve"> HYPERLINK \l _Toc32047_WPSOffice_Level1 </w:instrText>
          </w:r>
          <w:r>
            <w:rPr>
              <w:b/>
              <w:bCs/>
            </w:rPr>
            <w:fldChar w:fldCharType="separate"/>
          </w:r>
          <w:sdt>
            <w:sdtPr>
              <w:rPr>
                <w:rFonts w:ascii="Calibri" w:hAnsi="Calibri" w:eastAsia="宋体" w:cs="Times New Roman"/>
                <w:b/>
                <w:bCs/>
                <w:kern w:val="2"/>
                <w:sz w:val="21"/>
                <w:szCs w:val="24"/>
                <w:lang w:val="en-US" w:eastAsia="zh-CN" w:bidi="ar-SA"/>
              </w:rPr>
              <w:id w:val="147461662"/>
              <w:placeholder>
                <w:docPart w:val="{7378724b-7546-42cd-9505-fd5d44cb8867}"/>
              </w:placeholder>
            </w:sdtPr>
            <w:sdtEndPr>
              <w:rPr>
                <w:rFonts w:ascii="Calibri" w:hAnsi="Calibri" w:eastAsia="宋体" w:cs="Times New Roman"/>
                <w:b/>
                <w:bCs/>
                <w:kern w:val="2"/>
                <w:sz w:val="21"/>
                <w:szCs w:val="24"/>
                <w:lang w:val="en-US" w:eastAsia="zh-CN" w:bidi="ar-SA"/>
              </w:rPr>
            </w:sdtEndPr>
            <w:sdtContent>
              <w:r>
                <w:rPr>
                  <w:rFonts w:hint="eastAsia" w:ascii="黑体" w:hAnsi="黑体" w:eastAsia="黑体" w:cs="Times New Roman"/>
                  <w:b/>
                  <w:bCs/>
                </w:rPr>
                <w:t>10.绿色金融创新及研究成果</w:t>
              </w:r>
            </w:sdtContent>
          </w:sdt>
          <w:r>
            <w:rPr>
              <w:b/>
              <w:bCs/>
            </w:rPr>
            <w:tab/>
          </w:r>
          <w:bookmarkStart w:id="32" w:name="_Toc32047_WPSOffice_Level1Page"/>
          <w:r>
            <w:rPr>
              <w:b/>
              <w:bCs/>
            </w:rPr>
            <w:t>17</w:t>
          </w:r>
          <w:bookmarkEnd w:id="32"/>
          <w:r>
            <w:rPr>
              <w:b/>
              <w:bCs/>
            </w:rPr>
            <w:fldChar w:fldCharType="end"/>
          </w:r>
          <w:bookmarkEnd w:id="0"/>
        </w:p>
      </w:sdtContent>
    </w:sdt>
    <w:p>
      <w:pPr>
        <w:pStyle w:val="2"/>
        <w:ind w:left="0" w:leftChars="0" w:firstLine="0" w:firstLineChars="0"/>
        <w:rPr>
          <w:rFonts w:ascii="仿宋_GB2312" w:hAnsi="仿宋_GB2312" w:eastAsia="仿宋_GB2312" w:cs="仿宋_GB2312"/>
          <w:sz w:val="32"/>
          <w:szCs w:val="32"/>
        </w:rPr>
        <w:sectPr>
          <w:footerReference r:id="rId3" w:type="default"/>
          <w:pgSz w:w="11906" w:h="16838"/>
          <w:pgMar w:top="1440" w:right="1800" w:bottom="1440" w:left="1800" w:header="851" w:footer="992" w:gutter="0"/>
          <w:pgNumType w:fmt="decimal" w:start="1"/>
          <w:cols w:space="720" w:num="1"/>
          <w:docGrid w:type="lines" w:linePitch="312" w:charSpace="0"/>
        </w:sectPr>
      </w:pPr>
    </w:p>
    <w:p>
      <w:pPr>
        <w:pStyle w:val="1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黑体" w:hAnsi="黑体" w:eastAsia="黑体" w:cs="黑体"/>
          <w:sz w:val="32"/>
          <w:szCs w:val="32"/>
          <w:lang w:val="en-US" w:eastAsia="zh-CN"/>
        </w:rPr>
      </w:pPr>
      <w:bookmarkStart w:id="33" w:name="_Toc18826_WPSOffice_Level1"/>
      <w:r>
        <w:rPr>
          <w:rFonts w:hint="eastAsia" w:ascii="黑体" w:hAnsi="黑体" w:eastAsia="黑体" w:cs="黑体"/>
          <w:sz w:val="32"/>
          <w:szCs w:val="32"/>
          <w:lang w:val="en-US" w:eastAsia="zh-CN"/>
        </w:rPr>
        <w:t>1.年度概况</w:t>
      </w:r>
      <w:bookmarkEnd w:id="33"/>
    </w:p>
    <w:p>
      <w:pPr>
        <w:pStyle w:val="17"/>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楷体" w:hAnsi="楷体" w:eastAsia="楷体" w:cs="楷体"/>
          <w:sz w:val="32"/>
          <w:szCs w:val="32"/>
          <w:lang w:val="en-US" w:eastAsia="zh-CN"/>
        </w:rPr>
      </w:pPr>
      <w:bookmarkStart w:id="34" w:name="_Toc3658_WPSOffice_Level2"/>
      <w:r>
        <w:rPr>
          <w:rFonts w:hint="eastAsia" w:ascii="楷体" w:hAnsi="楷体" w:eastAsia="楷体" w:cs="楷体"/>
          <w:sz w:val="32"/>
          <w:szCs w:val="32"/>
          <w:lang w:val="en-US" w:eastAsia="zh-CN"/>
        </w:rPr>
        <w:t>1.1总体概况</w:t>
      </w:r>
      <w:bookmarkEnd w:id="34"/>
    </w:p>
    <w:p>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镇远农商银行的前身是镇远县农村信用合作联社，自1952年成立以来，已走过7</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年的历史，2019年1月30日成功改制，步入规范化农商银行行列。7</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年来，始终坚守支农支小的市场定位，在省联社党委和黔东南审计中心党委的正确领导下，在人行和银保监的有效监管下，在各部门的大力支持下，全体员工锐意进取，奋力拼搏，实现从无到有，由弱到强，</w:t>
      </w:r>
      <w:r>
        <w:rPr>
          <w:rFonts w:hint="eastAsia" w:ascii="仿宋_GB2312" w:hAnsi="仿宋_GB2312" w:eastAsia="仿宋_GB2312" w:cs="仿宋_GB2312"/>
          <w:sz w:val="32"/>
          <w:szCs w:val="32"/>
          <w:highlight w:val="none"/>
        </w:rPr>
        <w:t>存贷规模达8</w:t>
      </w:r>
      <w:r>
        <w:rPr>
          <w:rFonts w:hint="eastAsia" w:ascii="仿宋_GB2312" w:hAnsi="仿宋_GB2312" w:eastAsia="仿宋_GB2312" w:cs="仿宋_GB2312"/>
          <w:sz w:val="32"/>
          <w:szCs w:val="32"/>
          <w:highlight w:val="none"/>
          <w:lang w:val="en-US" w:eastAsia="zh-CN"/>
        </w:rPr>
        <w:t>1.51</w:t>
      </w:r>
      <w:r>
        <w:rPr>
          <w:rFonts w:hint="eastAsia" w:ascii="仿宋_GB2312" w:hAnsi="仿宋_GB2312" w:eastAsia="仿宋_GB2312" w:cs="仿宋_GB2312"/>
          <w:sz w:val="32"/>
          <w:szCs w:val="32"/>
          <w:highlight w:val="none"/>
        </w:rPr>
        <w:t>亿元，全行下辖11个部室，</w:t>
      </w:r>
      <w:r>
        <w:rPr>
          <w:rFonts w:hint="eastAsia" w:ascii="仿宋_GB2312" w:hAnsi="仿宋_GB2312" w:eastAsia="仿宋_GB2312" w:cs="仿宋_GB2312"/>
          <w:sz w:val="32"/>
          <w:szCs w:val="32"/>
        </w:rPr>
        <w:t>23个物理网点，ATM机48台，黔农村村通综合服务站点覆盖</w:t>
      </w:r>
      <w:r>
        <w:rPr>
          <w:rFonts w:hint="eastAsia" w:ascii="仿宋_GB2312" w:hAnsi="仿宋_GB2312" w:eastAsia="仿宋_GB2312" w:cs="仿宋_GB2312"/>
          <w:sz w:val="32"/>
          <w:szCs w:val="32"/>
          <w:lang w:val="en-US" w:eastAsia="zh-CN"/>
        </w:rPr>
        <w:t>94</w:t>
      </w:r>
      <w:r>
        <w:rPr>
          <w:rFonts w:hint="eastAsia" w:ascii="仿宋_GB2312" w:hAnsi="仿宋_GB2312" w:eastAsia="仿宋_GB2312" w:cs="仿宋_GB2312"/>
          <w:sz w:val="32"/>
          <w:szCs w:val="32"/>
        </w:rPr>
        <w:t>个行政村，员工21</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人。</w:t>
      </w:r>
    </w:p>
    <w:p>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楷体" w:hAnsi="楷体" w:eastAsia="楷体" w:cs="楷体"/>
          <w:sz w:val="32"/>
          <w:szCs w:val="32"/>
          <w:lang w:val="en-US" w:eastAsia="zh-CN"/>
        </w:rPr>
      </w:pPr>
      <w:bookmarkStart w:id="35" w:name="_Toc14326_WPSOffice_Level2"/>
      <w:r>
        <w:rPr>
          <w:rFonts w:hint="eastAsia" w:ascii="楷体" w:hAnsi="楷体" w:eastAsia="楷体" w:cs="楷体"/>
          <w:sz w:val="32"/>
          <w:szCs w:val="32"/>
          <w:lang w:val="en-US" w:eastAsia="zh-CN"/>
        </w:rPr>
        <w:t>1.2实施成效</w:t>
      </w:r>
      <w:bookmarkEnd w:id="35"/>
    </w:p>
    <w:p>
      <w:pPr>
        <w:keepNext w:val="0"/>
        <w:keepLines w:val="0"/>
        <w:pageBreakBefore w:val="0"/>
        <w:kinsoku/>
        <w:wordWrap/>
        <w:overflowPunct/>
        <w:topLinePunct w:val="0"/>
        <w:autoSpaceDE/>
        <w:autoSpaceDN/>
        <w:bidi w:val="0"/>
        <w:spacing w:line="560" w:lineRule="exact"/>
        <w:ind w:firstLine="640" w:firstLineChars="200"/>
        <w:jc w:val="left"/>
        <w:textAlignment w:val="auto"/>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lang w:val="en-US" w:eastAsia="zh-CN"/>
        </w:rPr>
        <w:t>我行以贵州农信黔农村村通、金融夜校、信用工程、农民工金融服务、流动服务站老“五张名片”为依托衔接黔农贵客、绿色普惠金融、黔农智慧乡村数字服务、新市民金融服务、城市信用工程新“五张名片”</w:t>
      </w:r>
      <w:r>
        <w:rPr>
          <w:rFonts w:hint="eastAsia" w:ascii="仿宋_GB2312" w:hAnsi="仿宋_GB2312" w:eastAsia="仿宋_GB2312" w:cs="仿宋_GB2312"/>
          <w:sz w:val="32"/>
          <w:szCs w:val="32"/>
        </w:rPr>
        <w:t>，全力践行服务三农、社区和民营小微企业的普惠金融服务使命，为</w:t>
      </w:r>
      <w:r>
        <w:rPr>
          <w:rFonts w:hint="eastAsia" w:ascii="仿宋_GB2312" w:hAnsi="仿宋_GB2312" w:eastAsia="仿宋_GB2312" w:cs="仿宋_GB2312"/>
          <w:sz w:val="32"/>
          <w:szCs w:val="32"/>
          <w:lang w:val="en-US" w:eastAsia="zh-CN"/>
        </w:rPr>
        <w:t>巩固</w:t>
      </w:r>
      <w:r>
        <w:rPr>
          <w:rFonts w:hint="eastAsia" w:ascii="仿宋_GB2312" w:hAnsi="仿宋_GB2312" w:eastAsia="仿宋_GB2312" w:cs="仿宋_GB2312"/>
          <w:sz w:val="32"/>
          <w:szCs w:val="32"/>
        </w:rPr>
        <w:t>脱贫攻坚</w:t>
      </w:r>
      <w:r>
        <w:rPr>
          <w:rFonts w:hint="eastAsia" w:ascii="仿宋_GB2312" w:hAnsi="仿宋_GB2312" w:eastAsia="仿宋_GB2312" w:cs="仿宋_GB2312"/>
          <w:sz w:val="32"/>
          <w:szCs w:val="32"/>
          <w:lang w:val="en-US" w:eastAsia="zh-CN"/>
        </w:rPr>
        <w:t>成果助力乡</w:t>
      </w:r>
      <w:r>
        <w:rPr>
          <w:rFonts w:hint="eastAsia" w:ascii="仿宋_GB2312" w:hAnsi="仿宋_GB2312" w:eastAsia="仿宋_GB2312" w:cs="仿宋_GB2312"/>
          <w:sz w:val="32"/>
          <w:szCs w:val="32"/>
          <w:highlight w:val="none"/>
          <w:lang w:val="en-US" w:eastAsia="zh-CN"/>
        </w:rPr>
        <w:t>村振兴</w:t>
      </w:r>
      <w:r>
        <w:rPr>
          <w:rFonts w:hint="eastAsia" w:ascii="仿宋_GB2312" w:hAnsi="仿宋_GB2312" w:eastAsia="仿宋_GB2312" w:cs="仿宋_GB2312"/>
          <w:sz w:val="32"/>
          <w:szCs w:val="32"/>
          <w:highlight w:val="none"/>
        </w:rPr>
        <w:t>和地方经济社会发展作出了应有的积极贡献。先后荣获全省文明单位、省级守合同信用单位、省级“五好”基层党组织、贵州省银行业文明规范服务百佳示范单位、全州尊师重教先进单位、全州文明单位等荣誉称号。</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eastAsia="仿宋_GB2312"/>
          <w:bCs/>
          <w:sz w:val="32"/>
          <w:szCs w:val="32"/>
        </w:rPr>
      </w:pPr>
      <w:r>
        <w:rPr>
          <w:rFonts w:hint="eastAsia" w:ascii="仿宋_GB2312" w:eastAsia="仿宋_GB2312"/>
          <w:sz w:val="32"/>
          <w:szCs w:val="32"/>
        </w:rPr>
        <w:t>截至202</w:t>
      </w:r>
      <w:r>
        <w:rPr>
          <w:rFonts w:hint="eastAsia" w:ascii="仿宋_GB2312" w:eastAsia="仿宋_GB2312"/>
          <w:sz w:val="32"/>
          <w:szCs w:val="32"/>
          <w:lang w:val="en-US" w:eastAsia="zh-CN"/>
        </w:rPr>
        <w:t>2</w:t>
      </w:r>
      <w:r>
        <w:rPr>
          <w:rFonts w:hint="eastAsia" w:ascii="仿宋_GB2312" w:eastAsia="仿宋_GB2312"/>
          <w:sz w:val="32"/>
          <w:szCs w:val="32"/>
        </w:rPr>
        <w:t>年12月末，</w:t>
      </w:r>
      <w:r>
        <w:rPr>
          <w:rFonts w:hint="eastAsia" w:ascii="仿宋_GB2312" w:eastAsia="仿宋_GB2312"/>
          <w:sz w:val="32"/>
          <w:szCs w:val="32"/>
          <w:lang w:eastAsia="zh-CN"/>
        </w:rPr>
        <w:t>我行</w:t>
      </w:r>
      <w:r>
        <w:rPr>
          <w:rFonts w:hint="eastAsia" w:ascii="仿宋_GB2312" w:eastAsia="仿宋_GB2312"/>
          <w:bCs/>
          <w:sz w:val="32"/>
          <w:szCs w:val="32"/>
        </w:rPr>
        <w:t>绿色贷款余额为</w:t>
      </w:r>
      <w:r>
        <w:rPr>
          <w:rFonts w:hint="eastAsia" w:ascii="仿宋_GB2312" w:eastAsia="仿宋_GB2312"/>
          <w:bCs/>
          <w:sz w:val="32"/>
          <w:szCs w:val="32"/>
          <w:lang w:val="en-US" w:eastAsia="zh-CN"/>
        </w:rPr>
        <w:t>3147</w:t>
      </w:r>
      <w:r>
        <w:rPr>
          <w:rFonts w:hint="eastAsia" w:ascii="仿宋_GB2312" w:eastAsia="仿宋_GB2312"/>
          <w:bCs/>
          <w:sz w:val="32"/>
          <w:szCs w:val="32"/>
        </w:rPr>
        <w:t>万元， 较年初增长</w:t>
      </w:r>
      <w:r>
        <w:rPr>
          <w:rFonts w:hint="eastAsia" w:ascii="仿宋_GB2312" w:eastAsia="仿宋_GB2312"/>
          <w:bCs/>
          <w:sz w:val="32"/>
          <w:szCs w:val="32"/>
          <w:lang w:val="en-US" w:eastAsia="zh-CN"/>
        </w:rPr>
        <w:t>2132</w:t>
      </w:r>
      <w:r>
        <w:rPr>
          <w:rFonts w:hint="eastAsia" w:ascii="仿宋_GB2312" w:eastAsia="仿宋_GB2312"/>
          <w:bCs/>
          <w:sz w:val="32"/>
          <w:szCs w:val="32"/>
        </w:rPr>
        <w:t>万元，增幅达</w:t>
      </w:r>
      <w:r>
        <w:rPr>
          <w:rFonts w:hint="eastAsia" w:ascii="仿宋_GB2312" w:eastAsia="仿宋_GB2312"/>
          <w:bCs/>
          <w:sz w:val="32"/>
          <w:szCs w:val="32"/>
          <w:lang w:val="en-US" w:eastAsia="zh-CN"/>
        </w:rPr>
        <w:t>210.05</w:t>
      </w:r>
      <w:r>
        <w:rPr>
          <w:rFonts w:hint="eastAsia" w:ascii="仿宋_GB2312" w:eastAsia="仿宋_GB2312"/>
          <w:bCs/>
          <w:sz w:val="32"/>
          <w:szCs w:val="32"/>
        </w:rPr>
        <w:t>%，绿色贷款不良余额为0元，与年初持平，主要投向公共交通运输、林下经济等方向。</w:t>
      </w:r>
      <w:r>
        <w:rPr>
          <w:rFonts w:hint="eastAsia" w:ascii="仿宋_GB2312" w:hAnsi="仿宋_GB2312" w:eastAsia="仿宋_GB2312" w:cs="仿宋_GB2312"/>
          <w:sz w:val="32"/>
          <w:szCs w:val="32"/>
        </w:rPr>
        <w:t>镇远农商银行将进一步加大绿色信贷融资的支持力度，</w:t>
      </w:r>
      <w:r>
        <w:rPr>
          <w:rFonts w:hint="eastAsia" w:ascii="仿宋_GB2312" w:eastAsia="仿宋_GB2312"/>
          <w:bCs/>
          <w:sz w:val="32"/>
          <w:szCs w:val="32"/>
        </w:rPr>
        <w:t>确保实现“两增”目标，贷款余额不低于年初，贷款户数不低于年初。</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楷体" w:hAnsi="楷体" w:eastAsia="楷体" w:cs="楷体"/>
          <w:bCs/>
          <w:sz w:val="32"/>
          <w:szCs w:val="32"/>
          <w:lang w:val="en-US" w:eastAsia="zh-CN"/>
        </w:rPr>
      </w:pPr>
      <w:bookmarkStart w:id="36" w:name="_Toc7726_WPSOffice_Level2"/>
      <w:r>
        <w:rPr>
          <w:rFonts w:hint="eastAsia" w:ascii="楷体" w:hAnsi="楷体" w:eastAsia="楷体" w:cs="楷体"/>
          <w:bCs/>
          <w:sz w:val="32"/>
          <w:szCs w:val="32"/>
          <w:lang w:val="en-US" w:eastAsia="zh-CN"/>
        </w:rPr>
        <w:t>1.3发展方向</w:t>
      </w:r>
      <w:bookmarkEnd w:id="36"/>
    </w:p>
    <w:p>
      <w:pPr>
        <w:keepNext w:val="0"/>
        <w:keepLines w:val="0"/>
        <w:pageBreakBefore w:val="0"/>
        <w:kinsoku/>
        <w:wordWrap/>
        <w:overflowPunct/>
        <w:topLinePunct w:val="0"/>
        <w:autoSpaceDE/>
        <w:autoSpaceDN/>
        <w:bidi w:val="0"/>
        <w:spacing w:line="560" w:lineRule="exact"/>
        <w:ind w:firstLine="640" w:firstLineChars="200"/>
        <w:textAlignment w:val="auto"/>
        <w:rPr>
          <w:rFonts w:ascii="仿宋_GB2312" w:eastAsia="仿宋_GB2312"/>
          <w:bCs/>
          <w:sz w:val="32"/>
          <w:szCs w:val="32"/>
        </w:rPr>
      </w:pPr>
      <w:r>
        <w:rPr>
          <w:rFonts w:hint="eastAsia" w:ascii="仿宋_GB2312" w:eastAsia="仿宋_GB2312"/>
          <w:bCs/>
          <w:sz w:val="32"/>
          <w:szCs w:val="32"/>
          <w:lang w:val="en-US" w:eastAsia="zh-CN"/>
        </w:rPr>
        <w:t>近</w:t>
      </w:r>
      <w:r>
        <w:rPr>
          <w:rFonts w:hint="eastAsia" w:ascii="仿宋_GB2312" w:eastAsia="仿宋_GB2312"/>
          <w:bCs/>
          <w:sz w:val="32"/>
          <w:szCs w:val="32"/>
        </w:rPr>
        <w:t>年来，镇远农商银行成立了绿色金融信贷办公室，强化绿色金融理念，加</w:t>
      </w:r>
      <w:r>
        <w:rPr>
          <w:rFonts w:hint="eastAsia" w:ascii="仿宋_GB2312" w:eastAsia="仿宋_GB2312"/>
          <w:bCs/>
          <w:sz w:val="32"/>
          <w:szCs w:val="32"/>
          <w:lang w:val="en-US" w:eastAsia="zh-CN"/>
        </w:rPr>
        <w:t>大</w:t>
      </w:r>
      <w:r>
        <w:rPr>
          <w:rFonts w:hint="eastAsia" w:ascii="仿宋_GB2312" w:eastAsia="仿宋_GB2312"/>
          <w:bCs/>
          <w:sz w:val="32"/>
          <w:szCs w:val="32"/>
        </w:rPr>
        <w:t>绿色信贷支持力度，</w:t>
      </w:r>
      <w:r>
        <w:rPr>
          <w:rFonts w:hint="eastAsia" w:ascii="仿宋_GB2312" w:eastAsia="仿宋_GB2312"/>
          <w:bCs/>
          <w:sz w:val="32"/>
          <w:szCs w:val="32"/>
          <w:lang w:eastAsia="zh-CN"/>
        </w:rPr>
        <w:t>实</w:t>
      </w:r>
      <w:r>
        <w:rPr>
          <w:rFonts w:hint="eastAsia" w:ascii="仿宋_GB2312" w:eastAsia="仿宋_GB2312"/>
          <w:bCs/>
          <w:sz w:val="32"/>
          <w:szCs w:val="32"/>
        </w:rPr>
        <w:t>现绿色贷款个人经营项目零的突破。在支农支小</w:t>
      </w:r>
      <w:r>
        <w:rPr>
          <w:rFonts w:hint="eastAsia" w:ascii="仿宋_GB2312" w:eastAsia="仿宋_GB2312"/>
          <w:bCs/>
          <w:sz w:val="32"/>
          <w:szCs w:val="32"/>
          <w:lang w:val="en-US" w:eastAsia="zh-CN"/>
        </w:rPr>
        <w:t>上</w:t>
      </w:r>
      <w:r>
        <w:rPr>
          <w:rFonts w:hint="eastAsia" w:ascii="仿宋_GB2312" w:eastAsia="仿宋_GB2312"/>
          <w:bCs/>
          <w:sz w:val="32"/>
          <w:szCs w:val="32"/>
        </w:rPr>
        <w:t>，</w:t>
      </w:r>
      <w:r>
        <w:rPr>
          <w:rFonts w:hint="eastAsia" w:ascii="仿宋_GB2312" w:hAnsi="仿宋_GB2312" w:eastAsia="仿宋_GB2312" w:cs="仿宋_GB2312"/>
          <w:sz w:val="32"/>
          <w:szCs w:val="32"/>
        </w:rPr>
        <w:t>镇远农商银行</w:t>
      </w:r>
      <w:r>
        <w:rPr>
          <w:rFonts w:hint="eastAsia" w:ascii="仿宋_GB2312" w:hAnsi="仿宋_GB2312" w:eastAsia="仿宋_GB2312" w:cs="仿宋_GB2312"/>
          <w:sz w:val="32"/>
          <w:szCs w:val="32"/>
          <w:lang w:val="en-US" w:eastAsia="zh-CN"/>
        </w:rPr>
        <w:t>在</w:t>
      </w:r>
      <w:r>
        <w:rPr>
          <w:rFonts w:hint="eastAsia" w:ascii="仿宋_GB2312" w:eastAsia="仿宋_GB2312"/>
          <w:bCs/>
          <w:sz w:val="32"/>
          <w:szCs w:val="32"/>
        </w:rPr>
        <w:t>发展普惠金融的总方向下，结合全行深入农村及乡镇服务全覆盖的优势，大力支持发展林下经济、碳汇林等个人经营绿色项目。</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黑体" w:hAnsi="黑体" w:eastAsia="黑体"/>
          <w:bCs/>
          <w:sz w:val="32"/>
          <w:szCs w:val="32"/>
        </w:rPr>
      </w:pPr>
      <w:bookmarkStart w:id="37" w:name="_Toc3658_WPSOffice_Level1"/>
      <w:r>
        <w:rPr>
          <w:rFonts w:hint="eastAsia" w:ascii="黑体" w:hAnsi="黑体" w:eastAsia="黑体"/>
          <w:bCs/>
          <w:sz w:val="32"/>
          <w:szCs w:val="32"/>
          <w:lang w:val="en-US" w:eastAsia="zh-CN"/>
        </w:rPr>
        <w:t>2.绿色金融</w:t>
      </w:r>
      <w:r>
        <w:rPr>
          <w:rFonts w:hint="eastAsia" w:ascii="黑体" w:hAnsi="黑体" w:eastAsia="黑体"/>
          <w:bCs/>
          <w:sz w:val="32"/>
          <w:szCs w:val="32"/>
        </w:rPr>
        <w:t>治理结构</w:t>
      </w:r>
      <w:bookmarkEnd w:id="37"/>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Times New Roman"/>
          <w:sz w:val="32"/>
          <w:szCs w:val="32"/>
          <w:lang w:val="en-US" w:eastAsia="zh-CN"/>
        </w:rPr>
      </w:pPr>
      <w:r>
        <w:rPr>
          <w:rFonts w:ascii="Times New Roman" w:hAnsi="Times New Roman" w:eastAsia="仿宋_GB2312" w:cs="Times New Roman"/>
          <w:sz w:val="32"/>
          <w:szCs w:val="32"/>
        </w:rPr>
        <w:t>我行成立绿色金融信贷办公室</w:t>
      </w:r>
      <w:r>
        <w:rPr>
          <w:rFonts w:hint="eastAsia" w:ascii="Times New Roman" w:hAnsi="Times New Roman" w:eastAsia="仿宋_GB2312" w:cs="Times New Roman"/>
          <w:sz w:val="32"/>
          <w:szCs w:val="32"/>
          <w:lang w:eastAsia="zh-CN"/>
        </w:rPr>
        <w:t>，</w:t>
      </w:r>
      <w:r>
        <w:rPr>
          <w:rFonts w:ascii="Times New Roman" w:hAnsi="Times New Roman" w:eastAsia="仿宋_GB2312" w:cs="Times New Roman"/>
          <w:sz w:val="32"/>
          <w:szCs w:val="32"/>
        </w:rPr>
        <w:t>由</w:t>
      </w:r>
      <w:r>
        <w:rPr>
          <w:rFonts w:hint="eastAsia" w:ascii="仿宋_GB2312" w:hAnsi="宋体" w:eastAsia="仿宋_GB2312"/>
          <w:sz w:val="32"/>
          <w:szCs w:val="32"/>
          <w:lang w:eastAsia="zh-CN"/>
        </w:rPr>
        <w:t>普惠金融</w:t>
      </w:r>
      <w:r>
        <w:rPr>
          <w:rFonts w:hint="eastAsia" w:ascii="仿宋_GB2312" w:hAnsi="宋体" w:eastAsia="仿宋_GB2312"/>
          <w:sz w:val="32"/>
          <w:szCs w:val="32"/>
        </w:rPr>
        <w:t>部</w:t>
      </w:r>
      <w:r>
        <w:rPr>
          <w:rFonts w:hint="eastAsia" w:ascii="仿宋_GB2312" w:hAnsi="宋体" w:eastAsia="仿宋_GB2312"/>
          <w:sz w:val="32"/>
          <w:szCs w:val="32"/>
          <w:lang w:eastAsia="zh-CN"/>
        </w:rPr>
        <w:t>总</w:t>
      </w:r>
      <w:r>
        <w:rPr>
          <w:rFonts w:ascii="Times New Roman" w:hAnsi="Times New Roman" w:eastAsia="仿宋_GB2312" w:cs="Times New Roman"/>
          <w:sz w:val="32"/>
          <w:szCs w:val="32"/>
        </w:rPr>
        <w:t>经理兼任办公室主任，负责统筹、规划全行开展绿色信贷金融服务工作，负责绿色产品创新，绿色人才建设</w:t>
      </w:r>
      <w:r>
        <w:rPr>
          <w:rFonts w:hint="eastAsia" w:ascii="Times New Roman" w:hAnsi="Times New Roman" w:eastAsia="仿宋_GB2312" w:cs="Times New Roman"/>
          <w:sz w:val="32"/>
          <w:szCs w:val="32"/>
          <w:lang w:val="en-US" w:eastAsia="zh-CN"/>
        </w:rPr>
        <w:t>等</w:t>
      </w:r>
      <w:r>
        <w:rPr>
          <w:rFonts w:ascii="Times New Roman" w:hAnsi="Times New Roman" w:eastAsia="仿宋_GB2312" w:cs="Times New Roman"/>
          <w:sz w:val="32"/>
          <w:szCs w:val="32"/>
        </w:rPr>
        <w:t>。并以此为基础，对绿色金融和绿色贷款工作不断摸索和提升，</w:t>
      </w:r>
      <w:r>
        <w:rPr>
          <w:rFonts w:hint="eastAsia" w:ascii="Times New Roman" w:hAnsi="Times New Roman" w:eastAsia="仿宋_GB2312" w:cs="Times New Roman"/>
          <w:sz w:val="32"/>
          <w:szCs w:val="32"/>
          <w:lang w:val="en-US" w:eastAsia="zh-CN"/>
        </w:rPr>
        <w:t>促进</w:t>
      </w:r>
      <w:r>
        <w:rPr>
          <w:rFonts w:ascii="Times New Roman" w:hAnsi="Times New Roman" w:eastAsia="仿宋_GB2312" w:cs="Times New Roman"/>
          <w:sz w:val="32"/>
          <w:szCs w:val="32"/>
        </w:rPr>
        <w:t>我行绿色金融统筹管理和业务发展，更好推动环境信息披露工作的展开。</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楷体" w:hAnsi="楷体" w:eastAsia="楷体" w:cs="楷体"/>
          <w:sz w:val="32"/>
          <w:szCs w:val="32"/>
          <w:lang w:val="en-US" w:eastAsia="zh-CN"/>
        </w:rPr>
      </w:pPr>
      <w:bookmarkStart w:id="38" w:name="_Toc28157_WPSOffice_Level2"/>
      <w:r>
        <w:rPr>
          <w:rFonts w:hint="eastAsia" w:ascii="楷体" w:hAnsi="楷体" w:eastAsia="楷体" w:cs="楷体"/>
          <w:sz w:val="32"/>
          <w:szCs w:val="32"/>
          <w:lang w:val="en-US" w:eastAsia="zh-CN"/>
        </w:rPr>
        <w:t>2.1董事会层面</w:t>
      </w:r>
      <w:bookmarkEnd w:id="38"/>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eastAsia="仿宋_GB2312"/>
          <w:bCs/>
          <w:color w:val="000000" w:themeColor="text1"/>
          <w:sz w:val="32"/>
          <w:szCs w:val="32"/>
          <w:highlight w:val="none"/>
          <w14:textFill>
            <w14:solidFill>
              <w14:schemeClr w14:val="tx1"/>
            </w14:solidFill>
          </w14:textFill>
        </w:rPr>
      </w:pPr>
      <w:r>
        <w:rPr>
          <w:rFonts w:hint="eastAsia" w:ascii="Times New Roman" w:hAnsi="Times New Roman" w:eastAsia="仿宋_GB2312" w:cs="Times New Roman"/>
          <w:color w:val="000000" w:themeColor="text1"/>
          <w:sz w:val="32"/>
          <w:szCs w:val="32"/>
          <w:highlight w:val="none"/>
          <w14:textFill>
            <w14:solidFill>
              <w14:schemeClr w14:val="tx1"/>
            </w14:solidFill>
          </w14:textFill>
        </w:rPr>
        <w:t>镇远农商银行董事会作为经营管</w:t>
      </w:r>
      <w:r>
        <w:rPr>
          <w:rFonts w:hint="eastAsia" w:ascii="仿宋_GB2312" w:eastAsia="仿宋_GB2312"/>
          <w:bCs/>
          <w:color w:val="000000" w:themeColor="text1"/>
          <w:sz w:val="32"/>
          <w:szCs w:val="32"/>
          <w:highlight w:val="none"/>
          <w14:textFill>
            <w14:solidFill>
              <w14:schemeClr w14:val="tx1"/>
            </w14:solidFill>
          </w14:textFill>
        </w:rPr>
        <w:t>理的最高决策机构，由7名董事组成，具有较高的专业素养和良好信誉，在全行树立并推行绿色发展理念，定期审批绿色信贷情况报告，全面监督、评估本行绿色信贷发展战略执行情况。</w:t>
      </w:r>
    </w:p>
    <w:p>
      <w:pPr>
        <w:pStyle w:val="2"/>
      </w:pPr>
    </w:p>
    <w:p>
      <w:pPr>
        <w:pStyle w:val="2"/>
        <w:keepNext w:val="0"/>
        <w:keepLines w:val="0"/>
        <w:pageBreakBefore w:val="0"/>
        <w:kinsoku/>
        <w:wordWrap/>
        <w:overflowPunct/>
        <w:topLinePunct w:val="0"/>
        <w:autoSpaceDE/>
        <w:autoSpaceDN/>
        <w:bidi w:val="0"/>
        <w:spacing w:line="560" w:lineRule="exact"/>
        <w:ind w:left="0" w:leftChars="0" w:firstLine="640" w:firstLineChars="200"/>
        <w:textAlignment w:val="auto"/>
        <w:rPr>
          <w:rFonts w:ascii="仿宋_GB2312" w:eastAsia="仿宋_GB2312"/>
          <w:bCs/>
          <w:sz w:val="32"/>
          <w:szCs w:val="32"/>
        </w:rPr>
      </w:pPr>
    </w:p>
    <w:p>
      <w:pPr>
        <w:keepNext w:val="0"/>
        <w:keepLines w:val="0"/>
        <w:pageBreakBefore w:val="0"/>
        <w:kinsoku/>
        <w:wordWrap/>
        <w:overflowPunct/>
        <w:topLinePunct w:val="0"/>
        <w:autoSpaceDE/>
        <w:autoSpaceDN/>
        <w:bidi w:val="0"/>
        <w:spacing w:line="560" w:lineRule="exact"/>
        <w:ind w:firstLine="640" w:firstLineChars="200"/>
        <w:textAlignment w:val="auto"/>
        <w:rPr>
          <w:rFonts w:ascii="仿宋_GB2312" w:eastAsia="仿宋_GB2312"/>
          <w:bCs/>
          <w:sz w:val="32"/>
          <w:szCs w:val="32"/>
        </w:rPr>
      </w:pPr>
      <w:r>
        <w:rPr>
          <w:sz w:val="32"/>
        </w:rPr>
        <mc:AlternateContent>
          <mc:Choice Requires="wps">
            <w:drawing>
              <wp:anchor distT="0" distB="0" distL="114300" distR="114300" simplePos="0" relativeHeight="251665408" behindDoc="0" locked="0" layoutInCell="1" allowOverlap="1">
                <wp:simplePos x="0" y="0"/>
                <wp:positionH relativeFrom="column">
                  <wp:posOffset>3302000</wp:posOffset>
                </wp:positionH>
                <wp:positionV relativeFrom="paragraph">
                  <wp:posOffset>153670</wp:posOffset>
                </wp:positionV>
                <wp:extent cx="3175" cy="429895"/>
                <wp:effectExtent l="4445" t="0" r="11430" b="8255"/>
                <wp:wrapNone/>
                <wp:docPr id="7" name="直接连接符 5"/>
                <wp:cNvGraphicFramePr/>
                <a:graphic xmlns:a="http://schemas.openxmlformats.org/drawingml/2006/main">
                  <a:graphicData uri="http://schemas.microsoft.com/office/word/2010/wordprocessingShape">
                    <wps:wsp>
                      <wps:cNvCnPr/>
                      <wps:spPr>
                        <a:xfrm>
                          <a:off x="0" y="0"/>
                          <a:ext cx="3175" cy="429895"/>
                        </a:xfrm>
                        <a:prstGeom prst="straightConnector1">
                          <a:avLst/>
                        </a:prstGeom>
                        <a:ln w="6350" cap="flat" cmpd="sng">
                          <a:solidFill>
                            <a:srgbClr val="000000"/>
                          </a:solidFill>
                          <a:prstDash val="solid"/>
                          <a:miter/>
                          <a:headEnd type="none" w="med" len="med"/>
                          <a:tailEnd type="none" w="med" len="med"/>
                        </a:ln>
                      </wps:spPr>
                      <wps:bodyPr/>
                    </wps:wsp>
                  </a:graphicData>
                </a:graphic>
              </wp:anchor>
            </w:drawing>
          </mc:Choice>
          <mc:Fallback>
            <w:pict>
              <v:shape id="直接连接符 5" o:spid="_x0000_s1026" o:spt="32" type="#_x0000_t32" style="position:absolute;left:0pt;margin-left:260pt;margin-top:12.1pt;height:33.85pt;width:0.25pt;z-index:251665408;mso-width-relative:page;mso-height-relative:page;" filled="f" stroked="t" coordsize="21600,21600" o:gfxdata="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BM9b9cAAAAJ&#10;AQAADwAAAAAAAAABACAAAAAiAAAAZHJzL2Rvd25yZXYueG1sUEsBAhQAFAAAAAgAh07iQNZ8I6rk&#10;AQAApAMAAA4AAAAAAAAAAQAgAAAAJgEAAGRycy9lMm9Eb2MueG1sUEsFBgAAAAAGAAYAWQEAAHwF&#10;AAAAAA==&#10;">
                <v:fill on="f" focussize="0,0"/>
                <v:stroke weight="0.5pt" color="#000000" joinstyle="miter"/>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2744470</wp:posOffset>
                </wp:positionH>
                <wp:positionV relativeFrom="paragraph">
                  <wp:posOffset>-357505</wp:posOffset>
                </wp:positionV>
                <wp:extent cx="1114425" cy="511175"/>
                <wp:effectExtent l="4445" t="5080" r="5080" b="17145"/>
                <wp:wrapNone/>
                <wp:docPr id="3" name="文本框 99"/>
                <wp:cNvGraphicFramePr/>
                <a:graphic xmlns:a="http://schemas.openxmlformats.org/drawingml/2006/main">
                  <a:graphicData uri="http://schemas.microsoft.com/office/word/2010/wordprocessingShape">
                    <wps:wsp>
                      <wps:cNvSpPr txBox="1"/>
                      <wps:spPr>
                        <a:xfrm>
                          <a:off x="0" y="0"/>
                          <a:ext cx="1114425" cy="511175"/>
                        </a:xfrm>
                        <a:prstGeom prst="rect">
                          <a:avLst/>
                        </a:prstGeom>
                        <a:noFill/>
                        <a:ln w="9525" cap="flat" cmpd="sng">
                          <a:solidFill>
                            <a:srgbClr val="000000"/>
                          </a:solidFill>
                          <a:prstDash val="solid"/>
                          <a:round/>
                          <a:headEnd type="none" w="med" len="med"/>
                          <a:tailEnd type="none" w="med" len="med"/>
                        </a:ln>
                      </wps:spPr>
                      <wps:txbx>
                        <w:txbxContent>
                          <w:p>
                            <w:pPr>
                              <w:jc w:val="center"/>
                              <w:textAlignment w:val="baseline"/>
                              <w:rPr>
                                <w:sz w:val="28"/>
                                <w:szCs w:val="28"/>
                              </w:rPr>
                            </w:pPr>
                            <w:r>
                              <w:rPr>
                                <w:rFonts w:hAnsi="Times New Roman"/>
                                <w:color w:val="444444"/>
                                <w:kern w:val="24"/>
                                <w:sz w:val="28"/>
                                <w:szCs w:val="28"/>
                              </w:rPr>
                              <w:t>股东大会</w:t>
                            </w:r>
                          </w:p>
                        </w:txbxContent>
                      </wps:txbx>
                      <wps:bodyPr wrap="square" upright="1"/>
                    </wps:wsp>
                  </a:graphicData>
                </a:graphic>
              </wp:anchor>
            </w:drawing>
          </mc:Choice>
          <mc:Fallback>
            <w:pict>
              <v:shape id="文本框 99" o:spid="_x0000_s1026" o:spt="202" type="#_x0000_t202" style="position:absolute;left:0pt;margin-left:216.1pt;margin-top:-28.15pt;height:40.25pt;width:87.75pt;z-index:251661312;mso-width-relative:page;mso-height-relative:page;" filled="f" stroked="t" coordsize="21600,21600" o:gfxdata="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UBOq9dgAAAAKAQAADwAAAAAAAAABACAAAAAiAAAAZHJzL2Rvd25yZXYueG1sUEsBAhQA&#10;FAAAAAgAh07iQEXDC77yAQAAzgMAAA4AAAAAAAAAAQAgAAAAJwEAAGRycy9lMm9Eb2MueG1sUEsF&#10;BgAAAAAGAAYAWQEAAIsFAAAAAA==&#10;">
                <v:fill on="f" focussize="0,0"/>
                <v:stroke color="#000000" joinstyle="round"/>
                <v:imagedata o:title=""/>
                <o:lock v:ext="edit" aspectratio="f"/>
                <v:textbox>
                  <w:txbxContent>
                    <w:p>
                      <w:pPr>
                        <w:jc w:val="center"/>
                        <w:textAlignment w:val="baseline"/>
                        <w:rPr>
                          <w:sz w:val="28"/>
                          <w:szCs w:val="28"/>
                        </w:rPr>
                      </w:pPr>
                      <w:r>
                        <w:rPr>
                          <w:rFonts w:hAnsi="Times New Roman"/>
                          <w:color w:val="444444"/>
                          <w:kern w:val="24"/>
                          <w:sz w:val="28"/>
                          <w:szCs w:val="28"/>
                        </w:rPr>
                        <w:t>股东大会</w:t>
                      </w:r>
                    </w:p>
                  </w:txbxContent>
                </v:textbox>
              </v:shape>
            </w:pict>
          </mc:Fallback>
        </mc:AlternateContent>
      </w:r>
    </w:p>
    <w:p>
      <w:pPr>
        <w:keepNext w:val="0"/>
        <w:keepLines w:val="0"/>
        <w:pageBreakBefore w:val="0"/>
        <w:kinsoku/>
        <w:wordWrap/>
        <w:overflowPunct/>
        <w:topLinePunct w:val="0"/>
        <w:autoSpaceDE/>
        <w:autoSpaceDN/>
        <w:bidi w:val="0"/>
        <w:spacing w:line="560" w:lineRule="exact"/>
        <w:ind w:firstLine="640" w:firstLineChars="200"/>
        <w:textAlignment w:val="auto"/>
        <w:rPr>
          <w:rFonts w:ascii="仿宋_GB2312" w:eastAsia="仿宋_GB2312"/>
          <w:bCs/>
          <w:sz w:val="32"/>
          <w:szCs w:val="32"/>
        </w:rPr>
      </w:pPr>
      <w:r>
        <w:rPr>
          <w:sz w:val="32"/>
        </w:rPr>
        <mc:AlternateContent>
          <mc:Choice Requires="wps">
            <w:drawing>
              <wp:anchor distT="0" distB="0" distL="114300" distR="114300" simplePos="0" relativeHeight="251666432" behindDoc="0" locked="0" layoutInCell="1" allowOverlap="1">
                <wp:simplePos x="0" y="0"/>
                <wp:positionH relativeFrom="column">
                  <wp:posOffset>2406650</wp:posOffset>
                </wp:positionH>
                <wp:positionV relativeFrom="paragraph">
                  <wp:posOffset>198120</wp:posOffset>
                </wp:positionV>
                <wp:extent cx="1877695" cy="8255"/>
                <wp:effectExtent l="0" t="0" r="0" b="0"/>
                <wp:wrapNone/>
                <wp:docPr id="8" name="直接连接符 6"/>
                <wp:cNvGraphicFramePr/>
                <a:graphic xmlns:a="http://schemas.openxmlformats.org/drawingml/2006/main">
                  <a:graphicData uri="http://schemas.microsoft.com/office/word/2010/wordprocessingShape">
                    <wps:wsp>
                      <wps:cNvCnPr/>
                      <wps:spPr>
                        <a:xfrm>
                          <a:off x="0" y="0"/>
                          <a:ext cx="1877695" cy="8255"/>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w:pict>
              <v:line id="直接连接符 6" o:spid="_x0000_s1026" o:spt="20" style="position:absolute;left:0pt;margin-left:189.5pt;margin-top:15.6pt;height:0.65pt;width:147.85pt;z-index:251666432;mso-width-relative:page;mso-height-relative:page;" filled="f" stroked="t" coordsize="21600,21600" o:gfxdata="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zey0i2AAAAAkBAAAPAAAAAAAA&#10;AAEAIAAAACIAAABkcnMvZG93bnJldi54bWxQSwECFAAUAAAACACHTuJAOxMpvdkBAACXAwAADgAA&#10;AAAAAAABACAAAAAnAQAAZHJzL2Uyb0RvYy54bWxQSwUGAAAAAAYABgBZAQAAcgUAAAAA&#10;">
                <v:fill on="f" focussize="0,0"/>
                <v:stroke weight="0.5pt" color="#000000" joinstyle="miter"/>
                <v:imagedata o:title=""/>
                <o:lock v:ext="edit" aspectratio="f"/>
              </v:lin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4272280</wp:posOffset>
                </wp:positionH>
                <wp:positionV relativeFrom="paragraph">
                  <wp:posOffset>179705</wp:posOffset>
                </wp:positionV>
                <wp:extent cx="0" cy="404495"/>
                <wp:effectExtent l="5080" t="0" r="13970" b="14605"/>
                <wp:wrapNone/>
                <wp:docPr id="2" name="直接连接符 7"/>
                <wp:cNvGraphicFramePr/>
                <a:graphic xmlns:a="http://schemas.openxmlformats.org/drawingml/2006/main">
                  <a:graphicData uri="http://schemas.microsoft.com/office/word/2010/wordprocessingShape">
                    <wps:wsp>
                      <wps:cNvCnPr/>
                      <wps:spPr>
                        <a:xfrm>
                          <a:off x="0" y="0"/>
                          <a:ext cx="0" cy="404495"/>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w:pict>
              <v:line id="直接连接符 7" o:spid="_x0000_s1026" o:spt="20" style="position:absolute;left:0pt;margin-left:336.4pt;margin-top:14.15pt;height:31.85pt;width:0pt;z-index:251660288;mso-width-relative:page;mso-height-relative:page;" filled="f" stroked="t" coordsize="21600,21600" o:gfxdata="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AU5JTLWAAAACQEAAA8AAAAAAAAAAQAgAAAA&#10;IgAAAGRycy9kb3ducmV2LnhtbFBLAQIUABQAAAAIAIdO4kCXvDnV1AEAAJMDAAAOAAAAAAAAAAEA&#10;IAAAACUBAABkcnMvZTJvRG9jLnhtbFBLBQYAAAAABgAGAFkBAABrBQAAAAA=&#10;">
                <v:fill on="f" focussize="0,0"/>
                <v:stroke weight="0.5pt" color="#000000" joinstyle="miter"/>
                <v:imagedata o:title=""/>
                <o:lock v:ext="edit" aspectratio="f"/>
              </v:line>
            </w:pict>
          </mc:Fallback>
        </mc:AlternateContent>
      </w:r>
      <w:r>
        <w:rPr>
          <w:sz w:val="32"/>
        </w:rPr>
        <mc:AlternateContent>
          <mc:Choice Requires="wps">
            <w:drawing>
              <wp:anchor distT="0" distB="0" distL="114300" distR="114300" simplePos="0" relativeHeight="251659264" behindDoc="0" locked="0" layoutInCell="1" allowOverlap="1">
                <wp:simplePos x="0" y="0"/>
                <wp:positionH relativeFrom="column">
                  <wp:posOffset>2402840</wp:posOffset>
                </wp:positionH>
                <wp:positionV relativeFrom="paragraph">
                  <wp:posOffset>188595</wp:posOffset>
                </wp:positionV>
                <wp:extent cx="0" cy="404495"/>
                <wp:effectExtent l="5080" t="0" r="13970" b="14605"/>
                <wp:wrapNone/>
                <wp:docPr id="1" name="直接连接符 8"/>
                <wp:cNvGraphicFramePr/>
                <a:graphic xmlns:a="http://schemas.openxmlformats.org/drawingml/2006/main">
                  <a:graphicData uri="http://schemas.microsoft.com/office/word/2010/wordprocessingShape">
                    <wps:wsp>
                      <wps:cNvCnPr/>
                      <wps:spPr>
                        <a:xfrm>
                          <a:off x="0" y="0"/>
                          <a:ext cx="0" cy="404495"/>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w:pict>
              <v:line id="直接连接符 8" o:spid="_x0000_s1026" o:spt="20" style="position:absolute;left:0pt;margin-left:189.2pt;margin-top:14.85pt;height:31.85pt;width:0pt;z-index:251659264;mso-width-relative:page;mso-height-relative:page;" filled="f" stroked="t" coordsize="21600,21600" o:gfxdata="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C4Op09cAAAAJAQAADwAAAAAAAAABACAA&#10;AAAiAAAAZHJzL2Rvd25yZXYueG1sUEsBAhQAFAAAAAgAh07iQMgYqFzVAQAAkwMAAA4AAAAAAAAA&#10;AQAgAAAAJgEAAGRycy9lMm9Eb2MueG1sUEsFBgAAAAAGAAYAWQEAAG0FAAAAAA==&#10;">
                <v:fill on="f" focussize="0,0"/>
                <v:stroke weight="0.5pt" color="#000000" joinstyle="miter"/>
                <v:imagedata o:title=""/>
                <o:lock v:ext="edit" aspectratio="f"/>
              </v:line>
            </w:pict>
          </mc:Fallback>
        </mc:AlternateContent>
      </w:r>
    </w:p>
    <w:p>
      <w:pPr>
        <w:keepNext w:val="0"/>
        <w:keepLines w:val="0"/>
        <w:pageBreakBefore w:val="0"/>
        <w:kinsoku/>
        <w:wordWrap/>
        <w:overflowPunct/>
        <w:topLinePunct w:val="0"/>
        <w:autoSpaceDE/>
        <w:autoSpaceDN/>
        <w:bidi w:val="0"/>
        <w:spacing w:line="560" w:lineRule="exact"/>
        <w:ind w:firstLine="640" w:firstLineChars="200"/>
        <w:textAlignment w:val="auto"/>
        <w:rPr>
          <w:rFonts w:ascii="仿宋_GB2312" w:eastAsia="仿宋_GB2312"/>
          <w:bCs/>
          <w:sz w:val="32"/>
          <w:szCs w:val="32"/>
        </w:rPr>
      </w:pPr>
      <w:r>
        <w:rPr>
          <w:sz w:val="32"/>
        </w:rPr>
        <mc:AlternateContent>
          <mc:Choice Requires="wps">
            <w:drawing>
              <wp:anchor distT="0" distB="0" distL="114300" distR="114300" simplePos="0" relativeHeight="251663360" behindDoc="0" locked="0" layoutInCell="1" allowOverlap="1">
                <wp:simplePos x="0" y="0"/>
                <wp:positionH relativeFrom="column">
                  <wp:posOffset>259715</wp:posOffset>
                </wp:positionH>
                <wp:positionV relativeFrom="paragraph">
                  <wp:posOffset>191770</wp:posOffset>
                </wp:positionV>
                <wp:extent cx="941070" cy="584835"/>
                <wp:effectExtent l="4445" t="4445" r="6985" b="20320"/>
                <wp:wrapNone/>
                <wp:docPr id="5" name="文本框 2"/>
                <wp:cNvGraphicFramePr/>
                <a:graphic xmlns:a="http://schemas.openxmlformats.org/drawingml/2006/main">
                  <a:graphicData uri="http://schemas.microsoft.com/office/word/2010/wordprocessingShape">
                    <wps:wsp>
                      <wps:cNvSpPr txBox="1"/>
                      <wps:spPr>
                        <a:xfrm>
                          <a:off x="0" y="0"/>
                          <a:ext cx="941070" cy="584835"/>
                        </a:xfrm>
                        <a:prstGeom prst="rect">
                          <a:avLst/>
                        </a:prstGeom>
                        <a:noFill/>
                        <a:ln w="9525" cap="flat" cmpd="sng">
                          <a:solidFill>
                            <a:srgbClr val="000000"/>
                          </a:solidFill>
                          <a:prstDash val="solid"/>
                          <a:round/>
                          <a:headEnd type="none" w="med" len="med"/>
                          <a:tailEnd type="none" w="med" len="med"/>
                        </a:ln>
                      </wps:spPr>
                      <wps:txbx>
                        <w:txbxContent>
                          <w:p>
                            <w:pPr>
                              <w:widowControl/>
                              <w:adjustRightInd w:val="0"/>
                              <w:snapToGrid w:val="0"/>
                              <w:spacing w:line="400" w:lineRule="exact"/>
                              <w:jc w:val="center"/>
                              <w:textAlignment w:val="baseline"/>
                              <w:rPr>
                                <w:sz w:val="28"/>
                                <w:szCs w:val="28"/>
                              </w:rPr>
                            </w:pPr>
                            <w:r>
                              <w:rPr>
                                <w:rFonts w:hAnsi="Times New Roman"/>
                                <w:color w:val="444444"/>
                                <w:kern w:val="24"/>
                                <w:sz w:val="28"/>
                                <w:szCs w:val="28"/>
                              </w:rPr>
                              <w:t>战略规划委员会</w:t>
                            </w:r>
                          </w:p>
                        </w:txbxContent>
                      </wps:txbx>
                      <wps:bodyPr wrap="square" upright="1"/>
                    </wps:wsp>
                  </a:graphicData>
                </a:graphic>
              </wp:anchor>
            </w:drawing>
          </mc:Choice>
          <mc:Fallback>
            <w:pict>
              <v:shape id="文本框 2" o:spid="_x0000_s1026" o:spt="202" type="#_x0000_t202" style="position:absolute;left:0pt;margin-left:20.45pt;margin-top:15.1pt;height:46.05pt;width:74.1pt;z-index:251663360;mso-width-relative:page;mso-height-relative:page;" filled="f" stroked="t" coordsize="21600,21600" o:gfxdata="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yXwwPVAAAACQEAAA8AAAAAAAAAAQAgAAAAIgAAAGRycy9kb3ducmV2LnhtbFBLAQIUABQA&#10;AAAIAIdO4kBABNap8wEAAMwDAAAOAAAAAAAAAAEAIAAAACQBAABkcnMvZTJvRG9jLnhtbFBLBQYA&#10;AAAABgAGAFkBAACJBQAAAAA=&#10;">
                <v:fill on="f" focussize="0,0"/>
                <v:stroke color="#000000" joinstyle="round"/>
                <v:imagedata o:title=""/>
                <o:lock v:ext="edit" aspectratio="f"/>
                <v:textbox>
                  <w:txbxContent>
                    <w:p>
                      <w:pPr>
                        <w:widowControl/>
                        <w:adjustRightInd w:val="0"/>
                        <w:snapToGrid w:val="0"/>
                        <w:spacing w:line="400" w:lineRule="exact"/>
                        <w:jc w:val="center"/>
                        <w:textAlignment w:val="baseline"/>
                        <w:rPr>
                          <w:sz w:val="28"/>
                          <w:szCs w:val="28"/>
                        </w:rPr>
                      </w:pPr>
                      <w:r>
                        <w:rPr>
                          <w:rFonts w:hAnsi="Times New Roman"/>
                          <w:color w:val="444444"/>
                          <w:kern w:val="24"/>
                          <w:sz w:val="28"/>
                          <w:szCs w:val="28"/>
                        </w:rPr>
                        <w:t>战略规划委员会</w:t>
                      </w:r>
                    </w:p>
                  </w:txbxContent>
                </v:textbox>
              </v:shap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column">
                  <wp:posOffset>1860550</wp:posOffset>
                </wp:positionH>
                <wp:positionV relativeFrom="paragraph">
                  <wp:posOffset>186690</wp:posOffset>
                </wp:positionV>
                <wp:extent cx="966470" cy="511175"/>
                <wp:effectExtent l="4445" t="4445" r="19685" b="17780"/>
                <wp:wrapNone/>
                <wp:docPr id="6" name="文本框 3"/>
                <wp:cNvGraphicFramePr/>
                <a:graphic xmlns:a="http://schemas.openxmlformats.org/drawingml/2006/main">
                  <a:graphicData uri="http://schemas.microsoft.com/office/word/2010/wordprocessingShape">
                    <wps:wsp>
                      <wps:cNvSpPr txBox="1"/>
                      <wps:spPr>
                        <a:xfrm>
                          <a:off x="0" y="0"/>
                          <a:ext cx="966470" cy="511175"/>
                        </a:xfrm>
                        <a:prstGeom prst="rect">
                          <a:avLst/>
                        </a:prstGeom>
                        <a:noFill/>
                        <a:ln w="9525" cap="flat" cmpd="sng">
                          <a:solidFill>
                            <a:srgbClr val="000000"/>
                          </a:solidFill>
                          <a:prstDash val="solid"/>
                          <a:round/>
                          <a:headEnd type="none" w="med" len="med"/>
                          <a:tailEnd type="none" w="med" len="med"/>
                        </a:ln>
                      </wps:spPr>
                      <wps:txbx>
                        <w:txbxContent>
                          <w:p>
                            <w:pPr>
                              <w:jc w:val="center"/>
                              <w:textAlignment w:val="baseline"/>
                              <w:rPr>
                                <w:sz w:val="28"/>
                                <w:szCs w:val="28"/>
                              </w:rPr>
                            </w:pPr>
                            <w:r>
                              <w:rPr>
                                <w:rFonts w:hAnsi="Times New Roman"/>
                                <w:color w:val="444444"/>
                                <w:kern w:val="24"/>
                                <w:sz w:val="28"/>
                                <w:szCs w:val="28"/>
                              </w:rPr>
                              <w:t>董事会</w:t>
                            </w:r>
                          </w:p>
                        </w:txbxContent>
                      </wps:txbx>
                      <wps:bodyPr wrap="square" upright="1"/>
                    </wps:wsp>
                  </a:graphicData>
                </a:graphic>
              </wp:anchor>
            </w:drawing>
          </mc:Choice>
          <mc:Fallback>
            <w:pict>
              <v:shape id="文本框 3" o:spid="_x0000_s1026" o:spt="202" type="#_x0000_t202" style="position:absolute;left:0pt;margin-left:146.5pt;margin-top:14.7pt;height:40.25pt;width:76.1pt;z-index:251664384;mso-width-relative:page;mso-height-relative:page;" filled="f" stroked="t" coordsize="21600,21600" o:gfxdata="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mP4YtcAAAAKAQAADwAAAAAAAAABACAAAAAiAAAAZHJzL2Rvd25yZXYueG1sUEsBAhQA&#10;FAAAAAgAh07iQF4LeZDzAQAAzAMAAA4AAAAAAAAAAQAgAAAAJgEAAGRycy9lMm9Eb2MueG1sUEsF&#10;BgAAAAAGAAYAWQEAAIsFAAAAAA==&#10;">
                <v:fill on="f" focussize="0,0"/>
                <v:stroke color="#000000" joinstyle="round"/>
                <v:imagedata o:title=""/>
                <o:lock v:ext="edit" aspectratio="f"/>
                <v:textbox>
                  <w:txbxContent>
                    <w:p>
                      <w:pPr>
                        <w:jc w:val="center"/>
                        <w:textAlignment w:val="baseline"/>
                        <w:rPr>
                          <w:sz w:val="28"/>
                          <w:szCs w:val="28"/>
                        </w:rPr>
                      </w:pPr>
                      <w:r>
                        <w:rPr>
                          <w:rFonts w:hAnsi="Times New Roman"/>
                          <w:color w:val="444444"/>
                          <w:kern w:val="24"/>
                          <w:sz w:val="28"/>
                          <w:szCs w:val="28"/>
                        </w:rPr>
                        <w:t>董事会</w:t>
                      </w:r>
                    </w:p>
                  </w:txbxContent>
                </v:textbox>
              </v:shape>
            </w:pict>
          </mc:Fallback>
        </mc:AlternateContent>
      </w:r>
      <w:r>
        <w:rPr>
          <w:sz w:val="32"/>
        </w:rPr>
        <mc:AlternateContent>
          <mc:Choice Requires="wps">
            <w:drawing>
              <wp:anchor distT="0" distB="0" distL="114300" distR="114300" simplePos="0" relativeHeight="251662336" behindDoc="0" locked="0" layoutInCell="1" allowOverlap="1">
                <wp:simplePos x="0" y="0"/>
                <wp:positionH relativeFrom="column">
                  <wp:posOffset>3716655</wp:posOffset>
                </wp:positionH>
                <wp:positionV relativeFrom="paragraph">
                  <wp:posOffset>190500</wp:posOffset>
                </wp:positionV>
                <wp:extent cx="1026160" cy="511175"/>
                <wp:effectExtent l="4445" t="4445" r="17145" b="17780"/>
                <wp:wrapNone/>
                <wp:docPr id="4" name="文本框 1"/>
                <wp:cNvGraphicFramePr/>
                <a:graphic xmlns:a="http://schemas.openxmlformats.org/drawingml/2006/main">
                  <a:graphicData uri="http://schemas.microsoft.com/office/word/2010/wordprocessingShape">
                    <wps:wsp>
                      <wps:cNvSpPr txBox="1"/>
                      <wps:spPr>
                        <a:xfrm>
                          <a:off x="0" y="0"/>
                          <a:ext cx="1026160" cy="511175"/>
                        </a:xfrm>
                        <a:prstGeom prst="rect">
                          <a:avLst/>
                        </a:prstGeom>
                        <a:noFill/>
                        <a:ln w="9525" cap="flat" cmpd="sng">
                          <a:solidFill>
                            <a:srgbClr val="000000"/>
                          </a:solidFill>
                          <a:prstDash val="solid"/>
                          <a:round/>
                          <a:headEnd type="none" w="med" len="med"/>
                          <a:tailEnd type="none" w="med" len="med"/>
                        </a:ln>
                      </wps:spPr>
                      <wps:txbx>
                        <w:txbxContent>
                          <w:p>
                            <w:pPr>
                              <w:jc w:val="center"/>
                              <w:textAlignment w:val="baseline"/>
                              <w:rPr>
                                <w:sz w:val="28"/>
                                <w:szCs w:val="28"/>
                              </w:rPr>
                            </w:pPr>
                            <w:r>
                              <w:rPr>
                                <w:rFonts w:hAnsi="Times New Roman"/>
                                <w:color w:val="444444"/>
                                <w:kern w:val="24"/>
                                <w:sz w:val="28"/>
                                <w:szCs w:val="28"/>
                              </w:rPr>
                              <w:t>监事会</w:t>
                            </w:r>
                          </w:p>
                        </w:txbxContent>
                      </wps:txbx>
                      <wps:bodyPr wrap="square" upright="1"/>
                    </wps:wsp>
                  </a:graphicData>
                </a:graphic>
              </wp:anchor>
            </w:drawing>
          </mc:Choice>
          <mc:Fallback>
            <w:pict>
              <v:shape id="文本框 1" o:spid="_x0000_s1026" o:spt="202" type="#_x0000_t202" style="position:absolute;left:0pt;margin-left:292.65pt;margin-top:15pt;height:40.25pt;width:80.8pt;z-index:251662336;mso-width-relative:page;mso-height-relative:page;" filled="f" stroked="t" coordsize="21600,21600" o:gfxdata="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lZWe9cAAAAKAQAADwAAAAAAAAABACAAAAAiAAAAZHJzL2Rvd25yZXYueG1sUEsBAhQA&#10;FAAAAAgAh07iQHzYuSfzAQAAzQMAAA4AAAAAAAAAAQAgAAAAJgEAAGRycy9lMm9Eb2MueG1sUEsF&#10;BgAAAAAGAAYAWQEAAIsFAAAAAA==&#10;">
                <v:fill on="f" focussize="0,0"/>
                <v:stroke color="#000000" joinstyle="round"/>
                <v:imagedata o:title=""/>
                <o:lock v:ext="edit" aspectratio="f"/>
                <v:textbox>
                  <w:txbxContent>
                    <w:p>
                      <w:pPr>
                        <w:jc w:val="center"/>
                        <w:textAlignment w:val="baseline"/>
                        <w:rPr>
                          <w:sz w:val="28"/>
                          <w:szCs w:val="28"/>
                        </w:rPr>
                      </w:pPr>
                      <w:r>
                        <w:rPr>
                          <w:rFonts w:hAnsi="Times New Roman"/>
                          <w:color w:val="444444"/>
                          <w:kern w:val="24"/>
                          <w:sz w:val="28"/>
                          <w:szCs w:val="28"/>
                        </w:rPr>
                        <w:t>监事会</w:t>
                      </w:r>
                    </w:p>
                  </w:txbxContent>
                </v:textbox>
              </v:shape>
            </w:pict>
          </mc:Fallback>
        </mc:AlternateContent>
      </w:r>
    </w:p>
    <w:p>
      <w:pPr>
        <w:keepNext w:val="0"/>
        <w:keepLines w:val="0"/>
        <w:pageBreakBefore w:val="0"/>
        <w:kinsoku/>
        <w:wordWrap/>
        <w:overflowPunct/>
        <w:topLinePunct w:val="0"/>
        <w:autoSpaceDE/>
        <w:autoSpaceDN/>
        <w:bidi w:val="0"/>
        <w:spacing w:line="560" w:lineRule="exact"/>
        <w:ind w:firstLine="640" w:firstLineChars="200"/>
        <w:textAlignment w:val="auto"/>
        <w:rPr>
          <w:rFonts w:ascii="仿宋_GB2312" w:eastAsia="仿宋_GB2312"/>
          <w:bCs/>
          <w:sz w:val="32"/>
          <w:szCs w:val="32"/>
        </w:rPr>
      </w:pPr>
      <w:r>
        <w:rPr>
          <w:sz w:val="32"/>
        </w:rPr>
        <mc:AlternateContent>
          <mc:Choice Requires="wps">
            <w:drawing>
              <wp:anchor distT="0" distB="0" distL="114300" distR="114300" simplePos="0" relativeHeight="251667456" behindDoc="0" locked="0" layoutInCell="1" allowOverlap="1">
                <wp:simplePos x="0" y="0"/>
                <wp:positionH relativeFrom="column">
                  <wp:posOffset>1198245</wp:posOffset>
                </wp:positionH>
                <wp:positionV relativeFrom="paragraph">
                  <wp:posOffset>48895</wp:posOffset>
                </wp:positionV>
                <wp:extent cx="662305" cy="0"/>
                <wp:effectExtent l="0" t="0" r="0" b="0"/>
                <wp:wrapNone/>
                <wp:docPr id="9" name="直接连接符 9"/>
                <wp:cNvGraphicFramePr/>
                <a:graphic xmlns:a="http://schemas.openxmlformats.org/drawingml/2006/main">
                  <a:graphicData uri="http://schemas.microsoft.com/office/word/2010/wordprocessingShape">
                    <wps:wsp>
                      <wps:cNvCnPr/>
                      <wps:spPr>
                        <a:xfrm flipH="1">
                          <a:off x="0" y="0"/>
                          <a:ext cx="662305" cy="0"/>
                        </a:xfrm>
                        <a:prstGeom prst="line">
                          <a:avLst/>
                        </a:prstGeom>
                        <a:ln w="6350" cap="flat" cmpd="sng">
                          <a:solidFill>
                            <a:srgbClr val="000000"/>
                          </a:solidFill>
                          <a:prstDash val="solid"/>
                          <a:miter/>
                          <a:headEnd type="none" w="med" len="med"/>
                          <a:tailEnd type="none" w="med" len="med"/>
                        </a:ln>
                      </wps:spPr>
                      <wps:bodyPr/>
                    </wps:wsp>
                  </a:graphicData>
                </a:graphic>
              </wp:anchor>
            </w:drawing>
          </mc:Choice>
          <mc:Fallback>
            <w:pict>
              <v:line id="_x0000_s1026" o:spid="_x0000_s1026" o:spt="20" style="position:absolute;left:0pt;flip:x;margin-left:94.35pt;margin-top:3.85pt;height:0pt;width:52.15pt;z-index:251667456;mso-width-relative:page;mso-height-relative:page;" filled="f" stroked="t" coordsize="21600,21600" o:gfxdata="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4zgL+1AAAAAcBAAAPAAAAAAAA&#10;AAEAIAAAACIAAABkcnMvZG93bnJldi54bWxQSwECFAAUAAAACACHTuJAdbJpK90BAACdAwAADgAA&#10;AAAAAAABACAAAAAjAQAAZHJzL2Uyb0RvYy54bWxQSwUGAAAAAAYABgBZAQAAcgUAAAAA&#10;">
                <v:fill on="f" focussize="0,0"/>
                <v:stroke weight="0.5pt" color="#000000" joinstyle="miter"/>
                <v:imagedata o:title=""/>
                <o:lock v:ext="edit" aspectratio="f"/>
              </v:line>
            </w:pict>
          </mc:Fallback>
        </mc:AlternateContent>
      </w:r>
    </w:p>
    <w:p>
      <w:pPr>
        <w:keepNext w:val="0"/>
        <w:keepLines w:val="0"/>
        <w:pageBreakBefore w:val="0"/>
        <w:kinsoku/>
        <w:wordWrap/>
        <w:overflowPunct/>
        <w:topLinePunct w:val="0"/>
        <w:autoSpaceDE/>
        <w:autoSpaceDN/>
        <w:bidi w:val="0"/>
        <w:spacing w:line="560" w:lineRule="exact"/>
        <w:ind w:firstLine="420" w:firstLineChars="200"/>
        <w:jc w:val="center"/>
        <w:textAlignment w:val="auto"/>
        <w:rPr>
          <w:rFonts w:hint="eastAsia" w:ascii="楷体" w:hAnsi="楷体" w:eastAsia="楷体" w:cs="楷体"/>
          <w:sz w:val="32"/>
          <w:szCs w:val="32"/>
        </w:rPr>
      </w:pPr>
      <w:r>
        <w:rPr>
          <w:rFonts w:hint="eastAsia" w:ascii="楷体" w:hAnsi="楷体" w:eastAsia="楷体" w:cs="楷体"/>
        </w:rPr>
        <w:t>(图为镇远农商银行绿色金融组织架构图)</w:t>
      </w:r>
    </w:p>
    <w:p>
      <w:pPr>
        <w:keepNext w:val="0"/>
        <w:keepLines w:val="0"/>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董事会对环境相关风险和机遇的分析与判断，通过确立健全合规风险管理框架，实现对合规风险的有效识别和管理，促进全面风险管理体系建设，确保依法合规经营。银行风险管理应当严格遵循事前授权审批、事中执行和事后审计监督三道程序，有利于为银行防范风险提供三道防火墙，进一步加强商业银行在复杂的风险环境中及时、有效、系统管理风险的能力。</w:t>
      </w:r>
    </w:p>
    <w:p>
      <w:pPr>
        <w:keepNext w:val="0"/>
        <w:keepLines w:val="0"/>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定期与不定期听取和审议相关环境战略事项情况报告及风险管理事项。董事会对环境相关议题的管理、监督与讨论，为加快推进绿色、低碳、循环经济建设，加强环境和社会风险管理，本行设立战略规划委员会，并赋予战略规划委员会承担对绿色金融发展规划监督和检查的职能，对绿色信贷发展战略及目标的制定与实施进行审批和监督，同时对其他相关重大决策事项进行研究并提出建议。委员会由5名董事组成，其中设主任委员1名，负责主持委员会工作。委员会对董事会负责，对相关绿色金融工作组提供的报告进行评议，将相关书面决议材料呈报董事会审议，并根据董事会的决议监督、检查本行经营管理层的执行情况，展现了本行对绿色金融、环境保护等相关议题的重视与贡献。</w:t>
      </w:r>
    </w:p>
    <w:p>
      <w:pPr>
        <w:keepNext w:val="0"/>
        <w:keepLines w:val="0"/>
        <w:pageBreakBefore w:val="0"/>
        <w:kinsoku/>
        <w:wordWrap/>
        <w:overflowPunct/>
        <w:topLinePunct w:val="0"/>
        <w:autoSpaceDE/>
        <w:autoSpaceDN/>
        <w:bidi w:val="0"/>
        <w:spacing w:line="560" w:lineRule="exact"/>
        <w:ind w:firstLine="640" w:firstLineChars="200"/>
        <w:textAlignment w:val="auto"/>
        <w:rPr>
          <w:rFonts w:ascii="仿宋_GB2312" w:hAnsi="仿宋_GB2312" w:eastAsia="仿宋_GB2312" w:cs="仿宋_GB2312"/>
          <w:sz w:val="32"/>
          <w:szCs w:val="32"/>
          <w:highlight w:val="none"/>
          <w:shd w:val="clear" w:color="auto" w:fill="FFFFFF"/>
        </w:rPr>
      </w:pPr>
      <w:r>
        <w:rPr>
          <w:rFonts w:hint="eastAsia" w:ascii="仿宋_GB2312" w:hAnsi="仿宋_GB2312" w:eastAsia="仿宋_GB2312" w:cs="仿宋_GB2312"/>
          <w:sz w:val="32"/>
          <w:szCs w:val="32"/>
          <w:highlight w:val="none"/>
          <w:shd w:val="clear" w:color="auto" w:fill="FFFFFF"/>
        </w:rPr>
        <w:t>监事会负责监督高级管理层绿色信贷执行情况，定期审阅绿色信贷情况报告。</w:t>
      </w:r>
    </w:p>
    <w:p>
      <w:pPr>
        <w:keepNext w:val="0"/>
        <w:keepLines w:val="0"/>
        <w:pageBreakBefore w:val="0"/>
        <w:kinsoku/>
        <w:wordWrap/>
        <w:overflowPunct/>
        <w:topLinePunct w:val="0"/>
        <w:autoSpaceDE/>
        <w:autoSpaceDN/>
        <w:bidi w:val="0"/>
        <w:spacing w:line="560" w:lineRule="exact"/>
        <w:ind w:firstLine="640" w:firstLineChars="200"/>
        <w:textAlignment w:val="auto"/>
        <w:rPr>
          <w:rFonts w:ascii="楷体_GB2312" w:hAnsi="楷体_GB2312" w:eastAsia="楷体_GB2312" w:cs="楷体_GB2312"/>
          <w:color w:val="000000" w:themeColor="text1"/>
          <w:sz w:val="32"/>
          <w:szCs w:val="32"/>
          <w:highlight w:val="none"/>
          <w14:textFill>
            <w14:solidFill>
              <w14:schemeClr w14:val="tx1"/>
            </w14:solidFill>
          </w14:textFill>
        </w:rPr>
      </w:pPr>
      <w:bookmarkStart w:id="39" w:name="_Toc12954_WPSOffice_Level2"/>
      <w:r>
        <w:rPr>
          <w:rFonts w:hint="eastAsia" w:ascii="楷体_GB2312" w:hAnsi="楷体_GB2312" w:eastAsia="楷体_GB2312" w:cs="楷体_GB2312"/>
          <w:color w:val="000000" w:themeColor="text1"/>
          <w:sz w:val="32"/>
          <w:szCs w:val="32"/>
          <w:highlight w:val="none"/>
          <w:lang w:val="en-US" w:eastAsia="zh-CN"/>
          <w14:textFill>
            <w14:solidFill>
              <w14:schemeClr w14:val="tx1"/>
            </w14:solidFill>
          </w14:textFill>
        </w:rPr>
        <w:t>2.2</w:t>
      </w:r>
      <w:r>
        <w:rPr>
          <w:rFonts w:hint="eastAsia" w:ascii="楷体_GB2312" w:hAnsi="楷体_GB2312" w:eastAsia="楷体_GB2312" w:cs="楷体_GB2312"/>
          <w:color w:val="000000" w:themeColor="text1"/>
          <w:sz w:val="32"/>
          <w:szCs w:val="32"/>
          <w:highlight w:val="none"/>
          <w14:textFill>
            <w14:solidFill>
              <w14:schemeClr w14:val="tx1"/>
            </w14:solidFill>
          </w14:textFill>
        </w:rPr>
        <w:t>管理层层面</w:t>
      </w:r>
      <w:bookmarkEnd w:id="39"/>
    </w:p>
    <w:p>
      <w:pPr>
        <w:pStyle w:val="10"/>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hint="default" w:ascii="仿宋_GB2312" w:eastAsia="仿宋_GB2312"/>
          <w:bCs/>
          <w:color w:val="000000" w:themeColor="text1"/>
          <w:sz w:val="32"/>
          <w:szCs w:val="32"/>
          <w:highlight w:val="none"/>
          <w14:textFill>
            <w14:solidFill>
              <w14:schemeClr w14:val="tx1"/>
            </w14:solidFill>
          </w14:textFill>
        </w:rPr>
      </w:pPr>
      <w:r>
        <w:rPr>
          <w:rFonts w:ascii="仿宋_GB2312" w:eastAsia="仿宋_GB2312"/>
          <w:bCs/>
          <w:color w:val="000000" w:themeColor="text1"/>
          <w:sz w:val="32"/>
          <w:szCs w:val="32"/>
          <w:highlight w:val="none"/>
          <w14:textFill>
            <w14:solidFill>
              <w14:schemeClr w14:val="tx1"/>
            </w14:solidFill>
          </w14:textFill>
        </w:rPr>
        <w:t>管理层在董事会授权下，制定本机构绿色信贷目标任务、管理办法、实施细则，建立机制和流程。</w:t>
      </w:r>
    </w:p>
    <w:p>
      <w:pPr>
        <w:pStyle w:val="10"/>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ascii="仿宋_GB2312" w:eastAsia="仿宋_GB2312"/>
          <w:bCs/>
          <w:color w:val="000000" w:themeColor="text1"/>
          <w:sz w:val="32"/>
          <w:szCs w:val="32"/>
          <w:highlight w:val="none"/>
          <w14:textFill>
            <w14:solidFill>
              <w14:schemeClr w14:val="tx1"/>
            </w14:solidFill>
          </w14:textFill>
        </w:rPr>
      </w:pPr>
      <w:r>
        <w:rPr>
          <w:rFonts w:ascii="仿宋_GB2312" w:eastAsia="仿宋_GB2312"/>
          <w:bCs/>
          <w:color w:val="000000" w:themeColor="text1"/>
          <w:sz w:val="32"/>
          <w:szCs w:val="32"/>
          <w:highlight w:val="none"/>
          <w14:textFill>
            <w14:solidFill>
              <w14:schemeClr w14:val="tx1"/>
            </w14:solidFill>
          </w14:textFill>
        </w:rPr>
        <w:t>管理层层面下设综合办公室，协调推进我行董事会、经营管理层决策部署的贯彻落实、组织起草全行综合性材料、开展调研活动、党委对外联络、重大事项报告；全行战略制定与管理、研究与分析、股权治理、改革改制；督查督办、文秘管理、保密工作、工会工作、会议管理、应急管理、印章及证照管理、后勤保障；食堂管理；公车管理；水电管理；基建工程管理、网点标准化建设等，负责全行绿色发展，节能减排的主导部门。</w:t>
      </w:r>
    </w:p>
    <w:p>
      <w:pPr>
        <w:pStyle w:val="10"/>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hint="eastAsia" w:ascii="楷体" w:hAnsi="楷体" w:eastAsia="楷体" w:cs="楷体"/>
          <w:bCs/>
          <w:sz w:val="32"/>
          <w:szCs w:val="32"/>
          <w:lang w:val="en-US" w:eastAsia="zh-CN"/>
        </w:rPr>
      </w:pPr>
      <w:bookmarkStart w:id="40" w:name="_Toc22107_WPSOffice_Level2"/>
      <w:r>
        <w:rPr>
          <w:rFonts w:hint="eastAsia" w:ascii="楷体" w:hAnsi="楷体" w:eastAsia="楷体" w:cs="楷体"/>
          <w:bCs/>
          <w:sz w:val="32"/>
          <w:szCs w:val="32"/>
          <w:lang w:val="en-US" w:eastAsia="zh-CN"/>
        </w:rPr>
        <w:t>2.3</w:t>
      </w:r>
      <w:r>
        <w:rPr>
          <w:rFonts w:hint="eastAsia" w:ascii="楷体" w:hAnsi="楷体" w:eastAsia="楷体" w:cs="楷体"/>
          <w:sz w:val="32"/>
          <w:szCs w:val="32"/>
        </w:rPr>
        <w:t>专业部门</w:t>
      </w:r>
      <w:bookmarkEnd w:id="40"/>
    </w:p>
    <w:p>
      <w:pPr>
        <w:pStyle w:val="10"/>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hint="default" w:ascii="仿宋_GB2312" w:hAnsi="黑体" w:eastAsia="仿宋_GB2312"/>
          <w:sz w:val="32"/>
          <w:szCs w:val="32"/>
        </w:rPr>
      </w:pPr>
      <w:r>
        <w:rPr>
          <w:rFonts w:ascii="仿宋_GB2312" w:hAnsi="黑体" w:eastAsia="仿宋_GB2312"/>
          <w:sz w:val="32"/>
          <w:szCs w:val="32"/>
        </w:rPr>
        <w:t>专业部门层面下设普惠金融部，为绿色金融信贷办公室，工作职责：认真贯彻执行政府、人民银行、银保监有关于绿色金融的相关政策和文件，提供更全面的农村金融服务；认真制定绿色金融</w:t>
      </w:r>
      <w:r>
        <w:rPr>
          <w:rFonts w:hint="eastAsia" w:ascii="仿宋_GB2312" w:hAnsi="黑体" w:eastAsia="仿宋_GB2312"/>
          <w:sz w:val="32"/>
          <w:szCs w:val="32"/>
          <w:lang w:eastAsia="zh-CN"/>
        </w:rPr>
        <w:t>、</w:t>
      </w:r>
      <w:r>
        <w:rPr>
          <w:rFonts w:ascii="仿宋_GB2312" w:hAnsi="黑体" w:eastAsia="仿宋_GB2312"/>
          <w:sz w:val="32"/>
          <w:szCs w:val="32"/>
        </w:rPr>
        <w:t>普惠金融规划，制定绿色金融贷款授信管理制度，优化绿色贷款授信审批流程；结合当地产业发展实际情况，逐步建立绿色金融支持企业数据库，创新绿色金融信贷产品，加大对绿色产业的信贷投入；对本行的绿色金融信贷制度执行情况进行监督、管理，并</w:t>
      </w:r>
      <w:r>
        <w:rPr>
          <w:rFonts w:hint="eastAsia" w:ascii="仿宋_GB2312" w:hAnsi="黑体" w:eastAsia="仿宋_GB2312"/>
          <w:sz w:val="32"/>
          <w:szCs w:val="32"/>
          <w:lang w:val="en-US" w:eastAsia="zh-CN"/>
        </w:rPr>
        <w:t>做</w:t>
      </w:r>
      <w:r>
        <w:rPr>
          <w:rFonts w:ascii="仿宋_GB2312" w:hAnsi="黑体" w:eastAsia="仿宋_GB2312"/>
          <w:sz w:val="32"/>
          <w:szCs w:val="32"/>
          <w:highlight w:val="none"/>
        </w:rPr>
        <w:t>好对</w:t>
      </w:r>
      <w:r>
        <w:rPr>
          <w:rFonts w:ascii="仿宋_GB2312" w:hAnsi="黑体" w:eastAsia="仿宋_GB2312"/>
          <w:sz w:val="32"/>
          <w:szCs w:val="32"/>
        </w:rPr>
        <w:t>基层网点绿色金融业务的指导、服务和风险预警、监测工作；建立绿色金融信贷激励和约束机制，对我行的绿色信贷实施情况进行评估；组织培养绿色金融信贷专业人才，建立熟悉绿色金融业务的高素质人才队伍，能够正确评审绿色贷款项目或产业；做好绿色金融的宣传报道、经验交流工作；认真按照绿色贷款统计制度，做好绿色金融的统计工作；加强与政府、银保监、人行的沟通交流，积极报告本行的绿色金融工作实施情况。</w:t>
      </w:r>
    </w:p>
    <w:p>
      <w:pPr>
        <w:keepNext w:val="0"/>
        <w:keepLines w:val="0"/>
        <w:pageBreakBefore w:val="0"/>
        <w:kinsoku/>
        <w:wordWrap/>
        <w:overflowPunct/>
        <w:topLinePunct w:val="0"/>
        <w:autoSpaceDE/>
        <w:autoSpaceDN/>
        <w:bidi w:val="0"/>
        <w:spacing w:line="560" w:lineRule="exact"/>
        <w:ind w:firstLine="640" w:firstLineChars="200"/>
        <w:textAlignment w:val="auto"/>
        <w:rPr>
          <w:rFonts w:ascii="黑体" w:hAnsi="黑体" w:eastAsia="黑体"/>
          <w:bCs/>
          <w:sz w:val="32"/>
          <w:szCs w:val="32"/>
        </w:rPr>
      </w:pPr>
      <w:bookmarkStart w:id="41" w:name="_Toc14326_WPSOffice_Level1"/>
      <w:r>
        <w:rPr>
          <w:rFonts w:hint="eastAsia" w:ascii="黑体" w:hAnsi="黑体" w:eastAsia="黑体"/>
          <w:bCs/>
          <w:sz w:val="32"/>
          <w:szCs w:val="32"/>
          <w:lang w:val="en-US" w:eastAsia="zh-CN"/>
        </w:rPr>
        <w:t>3.绿色金融</w:t>
      </w:r>
      <w:r>
        <w:rPr>
          <w:rFonts w:hint="eastAsia" w:ascii="黑体" w:hAnsi="黑体" w:eastAsia="黑体"/>
          <w:bCs/>
          <w:sz w:val="32"/>
          <w:szCs w:val="32"/>
        </w:rPr>
        <w:t>相关政策制度</w:t>
      </w:r>
      <w:bookmarkEnd w:id="41"/>
    </w:p>
    <w:p>
      <w:pPr>
        <w:pStyle w:val="10"/>
        <w:keepNext w:val="0"/>
        <w:keepLines w:val="0"/>
        <w:pageBreakBefore w:val="0"/>
        <w:widowControl/>
        <w:tabs>
          <w:tab w:val="left" w:pos="1746"/>
          <w:tab w:val="clear" w:pos="1832"/>
          <w:tab w:val="clear" w:pos="3664"/>
          <w:tab w:val="clear" w:pos="5496"/>
          <w:tab w:val="clear" w:pos="7328"/>
          <w:tab w:val="clear" w:pos="9160"/>
          <w:tab w:val="clear" w:pos="10992"/>
          <w:tab w:val="clear" w:pos="12824"/>
          <w:tab w:val="clear" w:pos="14656"/>
        </w:tabs>
        <w:kinsoku/>
        <w:wordWrap/>
        <w:overflowPunct/>
        <w:topLinePunct w:val="0"/>
        <w:autoSpaceDE/>
        <w:autoSpaceDN/>
        <w:bidi w:val="0"/>
        <w:spacing w:line="560" w:lineRule="exact"/>
        <w:ind w:firstLine="640" w:firstLineChars="200"/>
        <w:jc w:val="both"/>
        <w:textAlignment w:val="auto"/>
        <w:rPr>
          <w:rFonts w:hint="default" w:ascii="楷体_GB2312" w:hAnsi="楷体_GB2312" w:eastAsia="楷体_GB2312" w:cs="楷体_GB2312"/>
          <w:sz w:val="32"/>
          <w:szCs w:val="32"/>
        </w:rPr>
      </w:pPr>
      <w:r>
        <w:rPr>
          <w:rFonts w:ascii="仿宋_GB2312" w:hAnsi="黑体" w:eastAsia="仿宋_GB2312" w:cs="宋体"/>
          <w:sz w:val="32"/>
          <w:szCs w:val="32"/>
        </w:rPr>
        <w:t>在《贵州省农村信用社绿色信贷管理指引（暂行）》基础上，镇远农商银行结合区域产业、行业特点，进一步细化相关统计标准，以“行业分类”“行业投向”为双向维度建立分类标准，覆盖绿色行业、细类项目，明确、细化了绿色金融的服务范围以及统计标准，为开展绿色信贷工作打好基础。对不同分类的客户，在贷款准入、贷款授信、审批流程和风险控制等环节实行差别化管理，高度关注客户及项目的环境和社会风险情况，对违反国家产业政策、环境政策、安全政策及信贷政策的企业和项目，实行“一票否决制”，一律不予授信；对存量高耗能、重污染企业和出现重大环境</w:t>
      </w:r>
      <w:r>
        <w:rPr>
          <w:rFonts w:hint="eastAsia" w:ascii="仿宋_GB2312" w:hAnsi="黑体" w:eastAsia="仿宋_GB2312" w:cs="宋体"/>
          <w:sz w:val="32"/>
          <w:szCs w:val="32"/>
          <w:lang w:eastAsia="zh-CN"/>
        </w:rPr>
        <w:t>及</w:t>
      </w:r>
      <w:r>
        <w:rPr>
          <w:rFonts w:ascii="仿宋_GB2312" w:hAnsi="黑体" w:eastAsia="仿宋_GB2312" w:cs="宋体"/>
          <w:sz w:val="32"/>
          <w:szCs w:val="32"/>
        </w:rPr>
        <w:t>社会风险的客户，实行名单制管理并逐步进行压缩退出。</w:t>
      </w:r>
    </w:p>
    <w:p>
      <w:pPr>
        <w:pStyle w:val="10"/>
        <w:keepNext w:val="0"/>
        <w:keepLines w:val="0"/>
        <w:pageBreakBefore w:val="0"/>
        <w:widowControl/>
        <w:tabs>
          <w:tab w:val="left" w:pos="1746"/>
          <w:tab w:val="clear" w:pos="1832"/>
          <w:tab w:val="clear" w:pos="3664"/>
          <w:tab w:val="clear" w:pos="5496"/>
          <w:tab w:val="clear" w:pos="7328"/>
          <w:tab w:val="clear" w:pos="9160"/>
          <w:tab w:val="clear" w:pos="10992"/>
          <w:tab w:val="clear" w:pos="12824"/>
          <w:tab w:val="clear" w:pos="14656"/>
        </w:tabs>
        <w:kinsoku/>
        <w:wordWrap/>
        <w:overflowPunct/>
        <w:topLinePunct w:val="0"/>
        <w:autoSpaceDE/>
        <w:autoSpaceDN/>
        <w:bidi w:val="0"/>
        <w:spacing w:line="560" w:lineRule="exact"/>
        <w:ind w:firstLine="640" w:firstLineChars="200"/>
        <w:jc w:val="both"/>
        <w:textAlignment w:val="auto"/>
        <w:rPr>
          <w:rFonts w:hint="default" w:ascii="仿宋_GB2312" w:eastAsia="仿宋_GB2312"/>
          <w:bCs/>
          <w:sz w:val="32"/>
          <w:szCs w:val="32"/>
          <w:highlight w:val="green"/>
          <w:lang w:val="en-US" w:eastAsia="zh-CN"/>
        </w:rPr>
      </w:pPr>
      <w:r>
        <w:rPr>
          <w:rFonts w:hint="default" w:ascii="仿宋_GB2312" w:hAnsi="黑体" w:eastAsia="仿宋_GB2312" w:cs="宋体"/>
          <w:sz w:val="32"/>
          <w:szCs w:val="32"/>
        </w:rPr>
        <w:t>对国家及所在地区环境政策的贯彻落实</w:t>
      </w:r>
      <w:r>
        <w:rPr>
          <w:rFonts w:ascii="仿宋_GB2312" w:hAnsi="黑体" w:eastAsia="仿宋_GB2312" w:cs="宋体"/>
          <w:sz w:val="32"/>
          <w:szCs w:val="32"/>
        </w:rPr>
        <w:t>方面，一是聚焦支农支小主责，做实做优存贷主业。不断提升发展质效、管理质效和服务质效，以质量保稳定，以质量促发展，以质量出效益，竭尽全力支持壮大县域经济发展，为县域实施乡村振兴战略和全面小康作出新的贡献。</w:t>
      </w:r>
      <w:r>
        <w:rPr>
          <w:rFonts w:ascii="仿宋_GB2312" w:hAnsi="黑体" w:eastAsia="仿宋_GB2312" w:cs="宋体"/>
          <w:sz w:val="32"/>
          <w:szCs w:val="32"/>
          <w:highlight w:val="none"/>
        </w:rPr>
        <w:t>支农方面，202</w:t>
      </w:r>
      <w:r>
        <w:rPr>
          <w:rFonts w:hint="eastAsia" w:ascii="仿宋_GB2312" w:hAnsi="黑体" w:eastAsia="仿宋_GB2312" w:cs="宋体"/>
          <w:sz w:val="32"/>
          <w:szCs w:val="32"/>
          <w:highlight w:val="none"/>
          <w:lang w:val="en-US" w:eastAsia="zh-CN"/>
        </w:rPr>
        <w:t>2</w:t>
      </w:r>
      <w:r>
        <w:rPr>
          <w:rFonts w:ascii="仿宋_GB2312" w:hAnsi="黑体" w:eastAsia="仿宋_GB2312" w:cs="宋体"/>
          <w:sz w:val="32"/>
          <w:szCs w:val="32"/>
          <w:highlight w:val="none"/>
        </w:rPr>
        <w:t>年末，涉农贷款余额为</w:t>
      </w:r>
      <w:r>
        <w:rPr>
          <w:rFonts w:hint="eastAsia" w:ascii="仿宋_GB2312" w:hAnsi="黑体" w:eastAsia="仿宋_GB2312" w:cs="宋体"/>
          <w:sz w:val="32"/>
          <w:szCs w:val="32"/>
          <w:highlight w:val="none"/>
          <w:lang w:val="en-US" w:eastAsia="zh-CN"/>
        </w:rPr>
        <w:t>338202.44万</w:t>
      </w:r>
      <w:r>
        <w:rPr>
          <w:rFonts w:ascii="仿宋_GB2312" w:hAnsi="黑体" w:eastAsia="仿宋_GB2312" w:cs="宋体"/>
          <w:sz w:val="32"/>
          <w:szCs w:val="32"/>
          <w:highlight w:val="none"/>
        </w:rPr>
        <w:t>元，较年初</w:t>
      </w:r>
      <w:r>
        <w:rPr>
          <w:rFonts w:hint="eastAsia" w:ascii="仿宋_GB2312" w:hAnsi="黑体" w:eastAsia="仿宋_GB2312" w:cs="宋体"/>
          <w:sz w:val="32"/>
          <w:szCs w:val="32"/>
          <w:highlight w:val="none"/>
          <w:lang w:val="en-US" w:eastAsia="zh-CN"/>
        </w:rPr>
        <w:t>增加12771.33万</w:t>
      </w:r>
      <w:r>
        <w:rPr>
          <w:rFonts w:ascii="仿宋_GB2312" w:hAnsi="黑体" w:eastAsia="仿宋_GB2312" w:cs="宋体"/>
          <w:sz w:val="32"/>
          <w:szCs w:val="32"/>
          <w:highlight w:val="none"/>
        </w:rPr>
        <w:t>元，增速</w:t>
      </w:r>
      <w:r>
        <w:rPr>
          <w:rFonts w:hint="eastAsia" w:ascii="仿宋_GB2312" w:hAnsi="黑体" w:eastAsia="仿宋_GB2312" w:cs="宋体"/>
          <w:sz w:val="32"/>
          <w:szCs w:val="32"/>
          <w:highlight w:val="none"/>
          <w:lang w:val="en-US" w:eastAsia="zh-CN"/>
        </w:rPr>
        <w:t>3.92</w:t>
      </w:r>
      <w:r>
        <w:rPr>
          <w:rFonts w:ascii="仿宋_GB2312" w:hAnsi="黑体" w:eastAsia="仿宋_GB2312" w:cs="宋体"/>
          <w:sz w:val="32"/>
          <w:szCs w:val="32"/>
          <w:highlight w:val="none"/>
        </w:rPr>
        <w:t>%，涉农贷款占比93.</w:t>
      </w:r>
      <w:r>
        <w:rPr>
          <w:rFonts w:hint="eastAsia" w:ascii="仿宋_GB2312" w:hAnsi="黑体" w:eastAsia="仿宋_GB2312" w:cs="宋体"/>
          <w:sz w:val="32"/>
          <w:szCs w:val="32"/>
          <w:highlight w:val="none"/>
          <w:lang w:val="en-US" w:eastAsia="zh-CN"/>
        </w:rPr>
        <w:t>79</w:t>
      </w:r>
      <w:r>
        <w:rPr>
          <w:rFonts w:ascii="仿宋_GB2312" w:hAnsi="黑体" w:eastAsia="仿宋_GB2312" w:cs="宋体"/>
          <w:sz w:val="32"/>
          <w:szCs w:val="32"/>
          <w:highlight w:val="none"/>
        </w:rPr>
        <w:t>%。支小方面，普惠小微企业贷款余额</w:t>
      </w:r>
      <w:r>
        <w:rPr>
          <w:rFonts w:hint="eastAsia" w:ascii="仿宋_GB2312" w:hAnsi="黑体" w:eastAsia="仿宋_GB2312" w:cs="宋体"/>
          <w:sz w:val="32"/>
          <w:szCs w:val="32"/>
          <w:highlight w:val="none"/>
          <w:lang w:val="en-US" w:eastAsia="zh-CN"/>
        </w:rPr>
        <w:t>68626.73</w:t>
      </w:r>
      <w:r>
        <w:rPr>
          <w:rFonts w:ascii="仿宋_GB2312" w:hAnsi="黑体" w:eastAsia="仿宋_GB2312" w:cs="宋体"/>
          <w:sz w:val="32"/>
          <w:szCs w:val="32"/>
          <w:highlight w:val="none"/>
        </w:rPr>
        <w:t>万元，较年初</w:t>
      </w:r>
      <w:r>
        <w:rPr>
          <w:rFonts w:hint="eastAsia" w:ascii="仿宋_GB2312" w:hAnsi="黑体" w:eastAsia="仿宋_GB2312" w:cs="宋体"/>
          <w:sz w:val="32"/>
          <w:szCs w:val="32"/>
          <w:highlight w:val="none"/>
          <w:lang w:val="en-US" w:eastAsia="zh-CN"/>
        </w:rPr>
        <w:t>上升7799.76</w:t>
      </w:r>
      <w:r>
        <w:rPr>
          <w:rFonts w:ascii="仿宋_GB2312" w:hAnsi="黑体" w:eastAsia="仿宋_GB2312" w:cs="宋体"/>
          <w:sz w:val="32"/>
          <w:szCs w:val="32"/>
          <w:highlight w:val="none"/>
        </w:rPr>
        <w:t>万元，增速</w:t>
      </w:r>
      <w:r>
        <w:rPr>
          <w:rFonts w:hint="eastAsia" w:ascii="仿宋_GB2312" w:hAnsi="黑体" w:eastAsia="仿宋_GB2312" w:cs="宋体"/>
          <w:sz w:val="32"/>
          <w:szCs w:val="32"/>
          <w:highlight w:val="none"/>
          <w:lang w:val="en-US" w:eastAsia="zh-CN"/>
        </w:rPr>
        <w:t>12.82</w:t>
      </w:r>
      <w:r>
        <w:rPr>
          <w:rFonts w:ascii="仿宋_GB2312" w:hAnsi="黑体" w:eastAsia="仿宋_GB2312" w:cs="宋体"/>
          <w:sz w:val="32"/>
          <w:szCs w:val="32"/>
          <w:highlight w:val="none"/>
        </w:rPr>
        <w:t>%，普惠小微企业贷款增速高于各项贷款增速</w:t>
      </w:r>
      <w:r>
        <w:rPr>
          <w:rFonts w:hint="eastAsia" w:ascii="仿宋_GB2312" w:hAnsi="黑体" w:eastAsia="仿宋_GB2312" w:cs="宋体"/>
          <w:sz w:val="32"/>
          <w:szCs w:val="32"/>
          <w:highlight w:val="none"/>
          <w:lang w:val="en-US" w:eastAsia="zh-CN"/>
        </w:rPr>
        <w:t>6.9</w:t>
      </w:r>
      <w:r>
        <w:rPr>
          <w:rFonts w:ascii="仿宋_GB2312" w:hAnsi="黑体" w:eastAsia="仿宋_GB2312" w:cs="宋体"/>
          <w:sz w:val="32"/>
          <w:szCs w:val="32"/>
          <w:highlight w:val="none"/>
        </w:rPr>
        <w:t>个百分点；普惠小微企业贷款余额户数较年初上升</w:t>
      </w:r>
      <w:r>
        <w:rPr>
          <w:rFonts w:hint="eastAsia" w:ascii="仿宋_GB2312" w:hAnsi="黑体" w:eastAsia="仿宋_GB2312" w:cs="宋体"/>
          <w:sz w:val="32"/>
          <w:szCs w:val="32"/>
          <w:highlight w:val="none"/>
          <w:lang w:val="en-US" w:eastAsia="zh-CN"/>
        </w:rPr>
        <w:t>72</w:t>
      </w:r>
      <w:r>
        <w:rPr>
          <w:rFonts w:ascii="仿宋_GB2312" w:hAnsi="黑体" w:eastAsia="仿宋_GB2312" w:cs="宋体"/>
          <w:sz w:val="32"/>
          <w:szCs w:val="32"/>
          <w:highlight w:val="none"/>
        </w:rPr>
        <w:t>户。</w:t>
      </w:r>
      <w:r>
        <w:rPr>
          <w:rFonts w:ascii="仿宋_GB2312" w:hAnsi="黑体" w:eastAsia="仿宋_GB2312" w:cs="宋体"/>
          <w:sz w:val="32"/>
          <w:szCs w:val="32"/>
        </w:rPr>
        <w:t>二是秉持绿色发展理念，优化信贷资产。</w:t>
      </w:r>
      <w:r>
        <w:rPr>
          <w:rFonts w:ascii="仿宋_GB2312" w:hAnsi="仿宋_GB2312" w:eastAsia="仿宋_GB2312" w:cs="仿宋_GB2312"/>
          <w:sz w:val="32"/>
          <w:szCs w:val="32"/>
        </w:rPr>
        <w:t>紧跟国家节能减排政策动态、行业信息和环境指标水平，梳理产能过剩、高耗能、高排放行业节能减排政策标准，严格信贷投放准入条件和项目准入标准；及时收回“两高”企业存量授信，严格限制新增授信，达到落后产能标准的贷款客户列入主动退出客户名单，对不符合国家产业政策要求和节能减排标准，不符合行业授信政策的项目或客户，实行环保一票否决制。</w:t>
      </w:r>
      <w:r>
        <w:rPr>
          <w:rFonts w:ascii="仿宋_GB2312" w:hAnsi="黑体" w:eastAsia="仿宋_GB2312" w:cs="宋体"/>
          <w:sz w:val="32"/>
          <w:szCs w:val="32"/>
        </w:rPr>
        <w:t>近</w:t>
      </w:r>
      <w:r>
        <w:rPr>
          <w:rFonts w:ascii="仿宋_GB2312" w:eastAsia="仿宋_GB2312"/>
          <w:bCs/>
          <w:sz w:val="32"/>
          <w:szCs w:val="32"/>
        </w:rPr>
        <w:t>三年未投放“两高一剩”及落后产能等行业信贷资金，</w:t>
      </w:r>
      <w:r>
        <w:rPr>
          <w:rFonts w:ascii="仿宋_GB2312" w:eastAsia="仿宋_GB2312"/>
          <w:bCs/>
          <w:sz w:val="32"/>
          <w:szCs w:val="32"/>
          <w:highlight w:val="none"/>
        </w:rPr>
        <w:t>截至</w:t>
      </w:r>
      <w:r>
        <w:rPr>
          <w:rFonts w:ascii="仿宋_GB2312" w:hAnsi="仿宋_GB2312" w:eastAsia="仿宋_GB2312" w:cs="仿宋_GB2312"/>
          <w:sz w:val="32"/>
          <w:szCs w:val="32"/>
          <w:highlight w:val="none"/>
        </w:rPr>
        <w:t>202</w:t>
      </w:r>
      <w:r>
        <w:rPr>
          <w:rFonts w:hint="eastAsia" w:ascii="仿宋_GB2312" w:hAnsi="仿宋_GB2312" w:eastAsia="仿宋_GB2312" w:cs="仿宋_GB2312"/>
          <w:sz w:val="32"/>
          <w:szCs w:val="32"/>
          <w:highlight w:val="none"/>
          <w:lang w:val="en-US" w:eastAsia="zh-CN"/>
        </w:rPr>
        <w:t>2</w:t>
      </w:r>
      <w:r>
        <w:rPr>
          <w:rFonts w:ascii="仿宋_GB2312" w:hAnsi="仿宋_GB2312" w:eastAsia="仿宋_GB2312" w:cs="仿宋_GB2312"/>
          <w:sz w:val="32"/>
          <w:szCs w:val="32"/>
          <w:highlight w:val="none"/>
        </w:rPr>
        <w:t>年末，煤炭贷款余额0万元，较年初持平；钢铁行业贷款余额</w:t>
      </w:r>
      <w:r>
        <w:rPr>
          <w:rFonts w:hint="eastAsia" w:ascii="仿宋_GB2312" w:hAnsi="仿宋_GB2312" w:eastAsia="仿宋_GB2312" w:cs="仿宋_GB2312"/>
          <w:sz w:val="32"/>
          <w:szCs w:val="32"/>
          <w:highlight w:val="none"/>
          <w:lang w:val="en-US" w:eastAsia="zh-CN"/>
        </w:rPr>
        <w:t>2977.5</w:t>
      </w:r>
      <w:r>
        <w:rPr>
          <w:rFonts w:ascii="仿宋_GB2312" w:hAnsi="仿宋_GB2312" w:eastAsia="仿宋_GB2312" w:cs="仿宋_GB2312"/>
          <w:sz w:val="32"/>
          <w:szCs w:val="32"/>
          <w:highlight w:val="none"/>
        </w:rPr>
        <w:t>万元，较年初下降</w:t>
      </w:r>
      <w:r>
        <w:rPr>
          <w:rFonts w:hint="eastAsia" w:ascii="仿宋_GB2312" w:hAnsi="仿宋_GB2312" w:eastAsia="仿宋_GB2312" w:cs="仿宋_GB2312"/>
          <w:sz w:val="32"/>
          <w:szCs w:val="32"/>
          <w:highlight w:val="none"/>
          <w:lang w:val="en-US" w:eastAsia="zh-CN"/>
        </w:rPr>
        <w:t>300.5</w:t>
      </w:r>
      <w:r>
        <w:rPr>
          <w:rFonts w:ascii="仿宋_GB2312" w:hAnsi="仿宋_GB2312" w:eastAsia="仿宋_GB2312" w:cs="仿宋_GB2312"/>
          <w:sz w:val="32"/>
          <w:szCs w:val="32"/>
          <w:highlight w:val="none"/>
        </w:rPr>
        <w:t>万元，正逐步退出</w:t>
      </w:r>
      <w:r>
        <w:rPr>
          <w:rFonts w:ascii="仿宋_GB2312" w:eastAsia="仿宋_GB2312"/>
          <w:bCs/>
          <w:sz w:val="32"/>
          <w:szCs w:val="32"/>
          <w:highlight w:val="none"/>
        </w:rPr>
        <w:t>“两高一剩”及落后产能行业信贷投放。</w:t>
      </w:r>
    </w:p>
    <w:p>
      <w:pPr>
        <w:pStyle w:val="10"/>
        <w:keepNext w:val="0"/>
        <w:keepLines w:val="0"/>
        <w:pageBreakBefore w:val="0"/>
        <w:widowControl/>
        <w:tabs>
          <w:tab w:val="left" w:pos="1746"/>
          <w:tab w:val="clear" w:pos="1832"/>
          <w:tab w:val="clear" w:pos="3664"/>
          <w:tab w:val="clear" w:pos="5496"/>
          <w:tab w:val="clear" w:pos="7328"/>
          <w:tab w:val="clear" w:pos="9160"/>
          <w:tab w:val="clear" w:pos="10992"/>
          <w:tab w:val="clear" w:pos="12824"/>
          <w:tab w:val="clear" w:pos="14656"/>
        </w:tabs>
        <w:kinsoku/>
        <w:wordWrap/>
        <w:overflowPunct/>
        <w:topLinePunct w:val="0"/>
        <w:autoSpaceDE/>
        <w:autoSpaceDN/>
        <w:bidi w:val="0"/>
        <w:spacing w:line="560" w:lineRule="exact"/>
        <w:ind w:firstLine="640" w:firstLineChars="200"/>
        <w:jc w:val="both"/>
        <w:textAlignment w:val="auto"/>
        <w:rPr>
          <w:rFonts w:hint="default" w:ascii="仿宋_GB2312" w:eastAsia="仿宋_GB2312"/>
          <w:bCs/>
          <w:sz w:val="32"/>
          <w:szCs w:val="32"/>
        </w:rPr>
      </w:pPr>
      <w:bookmarkStart w:id="42" w:name="_Toc7726_WPSOffice_Level1"/>
      <w:r>
        <w:rPr>
          <w:rFonts w:hint="eastAsia" w:ascii="黑体" w:hAnsi="黑体" w:eastAsia="黑体"/>
          <w:bCs/>
          <w:kern w:val="2"/>
          <w:sz w:val="32"/>
          <w:szCs w:val="32"/>
          <w:lang w:val="en-US" w:eastAsia="zh-CN"/>
        </w:rPr>
        <w:t>4.绿色金融</w:t>
      </w:r>
      <w:r>
        <w:rPr>
          <w:rFonts w:ascii="黑体" w:hAnsi="黑体" w:eastAsia="黑体"/>
          <w:bCs/>
          <w:kern w:val="2"/>
          <w:sz w:val="32"/>
          <w:szCs w:val="32"/>
        </w:rPr>
        <w:t>产品与服务</w:t>
      </w:r>
      <w:bookmarkEnd w:id="42"/>
    </w:p>
    <w:p>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楷体" w:hAnsi="楷体" w:eastAsia="楷体" w:cs="楷体"/>
          <w:sz w:val="32"/>
          <w:szCs w:val="32"/>
        </w:rPr>
      </w:pPr>
      <w:bookmarkStart w:id="43" w:name="_Toc11580_WPSOffice_Level2"/>
      <w:r>
        <w:rPr>
          <w:rFonts w:hint="eastAsia" w:ascii="楷体" w:hAnsi="楷体" w:eastAsia="楷体" w:cs="楷体"/>
          <w:sz w:val="32"/>
          <w:szCs w:val="32"/>
          <w:lang w:val="en-US" w:eastAsia="zh-CN"/>
        </w:rPr>
        <w:t>4.1</w:t>
      </w:r>
      <w:r>
        <w:rPr>
          <w:rFonts w:hint="eastAsia" w:ascii="楷体" w:hAnsi="楷体" w:eastAsia="楷体" w:cs="楷体"/>
          <w:sz w:val="32"/>
          <w:szCs w:val="32"/>
        </w:rPr>
        <w:t>落实绿色</w:t>
      </w:r>
      <w:r>
        <w:rPr>
          <w:rFonts w:hint="eastAsia" w:ascii="楷体" w:hAnsi="楷体" w:eastAsia="楷体" w:cs="楷体"/>
          <w:sz w:val="32"/>
          <w:szCs w:val="32"/>
          <w:lang w:val="en-US" w:eastAsia="zh-CN"/>
        </w:rPr>
        <w:t>信贷</w:t>
      </w:r>
      <w:r>
        <w:rPr>
          <w:rFonts w:hint="eastAsia" w:ascii="楷体" w:hAnsi="楷体" w:eastAsia="楷体" w:cs="楷体"/>
          <w:sz w:val="32"/>
          <w:szCs w:val="32"/>
        </w:rPr>
        <w:t>，助力乡村振兴</w:t>
      </w:r>
      <w:bookmarkEnd w:id="43"/>
    </w:p>
    <w:p>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镇远农商银行</w:t>
      </w:r>
      <w:r>
        <w:rPr>
          <w:rFonts w:hint="eastAsia" w:ascii="仿宋_GB2312" w:hAnsi="仿宋_GB2312" w:eastAsia="仿宋_GB2312" w:cs="仿宋_GB2312"/>
          <w:sz w:val="32"/>
          <w:szCs w:val="32"/>
        </w:rPr>
        <w:t>加强制度体系建设，推进绿色信贷分类识别、绿色信用体系等制度落地，在信贷结构、授信前端、客户评级、利率定价等环节做好规范化、标准化改造。积极推广使用黔农云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发展线上客户，实现线上贷款无缝对接。</w:t>
      </w:r>
    </w:p>
    <w:p>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截至2022年末，镇远农商银行绿色贷款余额3147万元，占各项贷款余额的0.86%，较年初上升2132万元，增幅210.05%。信贷资金主要投放在植树种草及林木种苗花卉、林下种养殖、新能源出租车公交车领域，主要支持辖内各类新型农业经营主体。</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pPr>
              <w:pStyle w:val="2"/>
              <w:keepNext w:val="0"/>
              <w:keepLines w:val="0"/>
              <w:pageBreakBefore w:val="0"/>
              <w:kinsoku/>
              <w:wordWrap/>
              <w:overflowPunct/>
              <w:topLinePunct w:val="0"/>
              <w:autoSpaceDE/>
              <w:autoSpaceDN/>
              <w:bidi w:val="0"/>
              <w:spacing w:line="560" w:lineRule="exact"/>
              <w:ind w:firstLine="420" w:firstLineChars="200"/>
              <w:jc w:val="center"/>
              <w:textAlignment w:val="auto"/>
              <w:rPr>
                <w:rFonts w:hint="default"/>
                <w:vertAlign w:val="baseline"/>
                <w:lang w:val="en-US" w:eastAsia="zh-CN"/>
              </w:rPr>
            </w:pPr>
            <w:r>
              <w:rPr>
                <w:rFonts w:hint="eastAsia"/>
                <w:vertAlign w:val="baseline"/>
                <w:lang w:val="en-US" w:eastAsia="zh-CN"/>
              </w:rPr>
              <w:t>指标名称</w:t>
            </w:r>
          </w:p>
        </w:tc>
        <w:tc>
          <w:tcPr>
            <w:tcW w:w="2841" w:type="dxa"/>
          </w:tcPr>
          <w:p>
            <w:pPr>
              <w:pStyle w:val="2"/>
              <w:keepNext w:val="0"/>
              <w:keepLines w:val="0"/>
              <w:pageBreakBefore w:val="0"/>
              <w:kinsoku/>
              <w:wordWrap/>
              <w:overflowPunct/>
              <w:topLinePunct w:val="0"/>
              <w:autoSpaceDE/>
              <w:autoSpaceDN/>
              <w:bidi w:val="0"/>
              <w:spacing w:line="560" w:lineRule="exact"/>
              <w:ind w:firstLine="420" w:firstLineChars="200"/>
              <w:jc w:val="center"/>
              <w:textAlignment w:val="auto"/>
              <w:rPr>
                <w:rFonts w:hint="default"/>
                <w:vertAlign w:val="baseline"/>
                <w:lang w:val="en-US" w:eastAsia="zh-CN"/>
              </w:rPr>
            </w:pPr>
            <w:r>
              <w:rPr>
                <w:rFonts w:hint="eastAsia"/>
                <w:vertAlign w:val="baseline"/>
                <w:lang w:val="en-US" w:eastAsia="zh-CN"/>
              </w:rPr>
              <w:t>指标值</w:t>
            </w:r>
          </w:p>
        </w:tc>
        <w:tc>
          <w:tcPr>
            <w:tcW w:w="2841" w:type="dxa"/>
          </w:tcPr>
          <w:p>
            <w:pPr>
              <w:pStyle w:val="2"/>
              <w:keepNext w:val="0"/>
              <w:keepLines w:val="0"/>
              <w:pageBreakBefore w:val="0"/>
              <w:kinsoku/>
              <w:wordWrap/>
              <w:overflowPunct/>
              <w:topLinePunct w:val="0"/>
              <w:autoSpaceDE/>
              <w:autoSpaceDN/>
              <w:bidi w:val="0"/>
              <w:spacing w:line="560" w:lineRule="exact"/>
              <w:ind w:left="0" w:leftChars="0" w:firstLine="420" w:firstLineChars="200"/>
              <w:jc w:val="center"/>
              <w:textAlignment w:val="auto"/>
              <w:rPr>
                <w:rFonts w:hint="default"/>
                <w:vertAlign w:val="baseline"/>
                <w:lang w:val="en-US" w:eastAsia="zh-CN"/>
              </w:rPr>
            </w:pPr>
            <w:r>
              <w:rPr>
                <w:rFonts w:hint="eastAsia"/>
                <w:vertAlign w:val="baseline"/>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2"/>
              <w:keepNext w:val="0"/>
              <w:keepLines w:val="0"/>
              <w:pageBreakBefore w:val="0"/>
              <w:kinsoku/>
              <w:wordWrap/>
              <w:overflowPunct/>
              <w:topLinePunct w:val="0"/>
              <w:autoSpaceDE/>
              <w:autoSpaceDN/>
              <w:bidi w:val="0"/>
              <w:spacing w:line="560" w:lineRule="exact"/>
              <w:ind w:firstLine="420" w:firstLineChars="200"/>
              <w:jc w:val="center"/>
              <w:textAlignment w:val="auto"/>
              <w:rPr>
                <w:rFonts w:hint="default"/>
                <w:vertAlign w:val="baseline"/>
                <w:lang w:val="en-US" w:eastAsia="zh-CN"/>
              </w:rPr>
            </w:pPr>
            <w:r>
              <w:rPr>
                <w:rFonts w:hint="eastAsia"/>
                <w:vertAlign w:val="baseline"/>
                <w:lang w:val="en-US" w:eastAsia="zh-CN"/>
              </w:rPr>
              <w:t>绿色贷款余额</w:t>
            </w:r>
          </w:p>
        </w:tc>
        <w:tc>
          <w:tcPr>
            <w:tcW w:w="2841" w:type="dxa"/>
          </w:tcPr>
          <w:p>
            <w:pPr>
              <w:pStyle w:val="2"/>
              <w:keepNext w:val="0"/>
              <w:keepLines w:val="0"/>
              <w:pageBreakBefore w:val="0"/>
              <w:kinsoku/>
              <w:wordWrap/>
              <w:overflowPunct/>
              <w:topLinePunct w:val="0"/>
              <w:autoSpaceDE/>
              <w:autoSpaceDN/>
              <w:bidi w:val="0"/>
              <w:spacing w:line="560" w:lineRule="exact"/>
              <w:ind w:firstLine="420" w:firstLineChars="200"/>
              <w:jc w:val="center"/>
              <w:textAlignment w:val="auto"/>
              <w:rPr>
                <w:rFonts w:hint="default"/>
                <w:vertAlign w:val="baseline"/>
                <w:lang w:val="en-US" w:eastAsia="zh-CN"/>
              </w:rPr>
            </w:pPr>
            <w:r>
              <w:rPr>
                <w:rFonts w:hint="eastAsia"/>
                <w:vertAlign w:val="baseline"/>
                <w:lang w:val="en-US" w:eastAsia="zh-CN"/>
              </w:rPr>
              <w:t>0.31</w:t>
            </w:r>
          </w:p>
        </w:tc>
        <w:tc>
          <w:tcPr>
            <w:tcW w:w="2841" w:type="dxa"/>
          </w:tcPr>
          <w:p>
            <w:pPr>
              <w:pStyle w:val="2"/>
              <w:keepNext w:val="0"/>
              <w:keepLines w:val="0"/>
              <w:pageBreakBefore w:val="0"/>
              <w:kinsoku/>
              <w:wordWrap/>
              <w:overflowPunct/>
              <w:topLinePunct w:val="0"/>
              <w:autoSpaceDE/>
              <w:autoSpaceDN/>
              <w:bidi w:val="0"/>
              <w:spacing w:line="560" w:lineRule="exact"/>
              <w:ind w:firstLine="420" w:firstLineChars="200"/>
              <w:jc w:val="both"/>
              <w:textAlignment w:val="auto"/>
              <w:rPr>
                <w:rFonts w:hint="default"/>
                <w:vertAlign w:val="baseline"/>
                <w:lang w:val="en-US" w:eastAsia="zh-CN"/>
              </w:rPr>
            </w:pPr>
            <w:r>
              <w:rPr>
                <w:rFonts w:hint="eastAsia"/>
                <w:vertAlign w:val="baseline"/>
                <w:lang w:val="en-US" w:eastAsia="zh-CN"/>
              </w:rPr>
              <w:t>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2"/>
              <w:keepNext w:val="0"/>
              <w:keepLines w:val="0"/>
              <w:pageBreakBefore w:val="0"/>
              <w:kinsoku/>
              <w:wordWrap/>
              <w:overflowPunct/>
              <w:topLinePunct w:val="0"/>
              <w:autoSpaceDE/>
              <w:autoSpaceDN/>
              <w:bidi w:val="0"/>
              <w:spacing w:line="560" w:lineRule="exact"/>
              <w:ind w:firstLine="420" w:firstLineChars="200"/>
              <w:jc w:val="center"/>
              <w:textAlignment w:val="auto"/>
              <w:rPr>
                <w:rFonts w:hint="default"/>
                <w:vertAlign w:val="baseline"/>
                <w:lang w:val="en-US" w:eastAsia="zh-CN"/>
              </w:rPr>
            </w:pPr>
            <w:r>
              <w:rPr>
                <w:rFonts w:hint="eastAsia"/>
                <w:vertAlign w:val="baseline"/>
                <w:lang w:val="en-US" w:eastAsia="zh-CN"/>
              </w:rPr>
              <w:t>绿色贷款占比</w:t>
            </w:r>
          </w:p>
        </w:tc>
        <w:tc>
          <w:tcPr>
            <w:tcW w:w="2841" w:type="dxa"/>
          </w:tcPr>
          <w:p>
            <w:pPr>
              <w:pStyle w:val="2"/>
              <w:keepNext w:val="0"/>
              <w:keepLines w:val="0"/>
              <w:pageBreakBefore w:val="0"/>
              <w:kinsoku/>
              <w:wordWrap/>
              <w:overflowPunct/>
              <w:topLinePunct w:val="0"/>
              <w:autoSpaceDE/>
              <w:autoSpaceDN/>
              <w:bidi w:val="0"/>
              <w:spacing w:line="560" w:lineRule="exact"/>
              <w:ind w:firstLine="420" w:firstLineChars="200"/>
              <w:jc w:val="center"/>
              <w:textAlignment w:val="auto"/>
              <w:rPr>
                <w:rFonts w:hint="default"/>
                <w:vertAlign w:val="baseline"/>
                <w:lang w:val="en-US" w:eastAsia="zh-CN"/>
              </w:rPr>
            </w:pPr>
            <w:r>
              <w:rPr>
                <w:rFonts w:hint="eastAsia"/>
                <w:vertAlign w:val="baseline"/>
                <w:lang w:val="en-US" w:eastAsia="zh-CN"/>
              </w:rPr>
              <w:t>0.86</w:t>
            </w:r>
          </w:p>
        </w:tc>
        <w:tc>
          <w:tcPr>
            <w:tcW w:w="2841" w:type="dxa"/>
          </w:tcPr>
          <w:p>
            <w:pPr>
              <w:pStyle w:val="2"/>
              <w:keepNext w:val="0"/>
              <w:keepLines w:val="0"/>
              <w:pageBreakBefore w:val="0"/>
              <w:kinsoku/>
              <w:wordWrap/>
              <w:overflowPunct/>
              <w:topLinePunct w:val="0"/>
              <w:autoSpaceDE/>
              <w:autoSpaceDN/>
              <w:bidi w:val="0"/>
              <w:spacing w:line="560" w:lineRule="exact"/>
              <w:ind w:firstLine="420" w:firstLineChars="200"/>
              <w:jc w:val="both"/>
              <w:textAlignment w:val="auto"/>
              <w:rPr>
                <w:rFonts w:hint="default"/>
                <w:vertAlign w:val="baseline"/>
                <w:lang w:val="en-US" w:eastAsia="zh-CN"/>
              </w:rPr>
            </w:pPr>
            <w:r>
              <w:rPr>
                <w:rFonts w:hint="eastAsia"/>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pStyle w:val="2"/>
              <w:keepNext w:val="0"/>
              <w:keepLines w:val="0"/>
              <w:pageBreakBefore w:val="0"/>
              <w:kinsoku/>
              <w:wordWrap/>
              <w:overflowPunct/>
              <w:topLinePunct w:val="0"/>
              <w:autoSpaceDE/>
              <w:autoSpaceDN/>
              <w:bidi w:val="0"/>
              <w:spacing w:line="560" w:lineRule="exact"/>
              <w:ind w:firstLine="420" w:firstLineChars="200"/>
              <w:jc w:val="center"/>
              <w:textAlignment w:val="auto"/>
              <w:rPr>
                <w:rFonts w:hint="default"/>
                <w:vertAlign w:val="baseline"/>
                <w:lang w:val="en-US" w:eastAsia="zh-CN"/>
              </w:rPr>
            </w:pPr>
            <w:r>
              <w:rPr>
                <w:rFonts w:hint="eastAsia"/>
                <w:vertAlign w:val="baseline"/>
                <w:lang w:val="en-US" w:eastAsia="zh-CN"/>
              </w:rPr>
              <w:t>绿色贷款客户数量</w:t>
            </w:r>
          </w:p>
        </w:tc>
        <w:tc>
          <w:tcPr>
            <w:tcW w:w="2841" w:type="dxa"/>
          </w:tcPr>
          <w:p>
            <w:pPr>
              <w:pStyle w:val="2"/>
              <w:keepNext w:val="0"/>
              <w:keepLines w:val="0"/>
              <w:pageBreakBefore w:val="0"/>
              <w:kinsoku/>
              <w:wordWrap/>
              <w:overflowPunct/>
              <w:topLinePunct w:val="0"/>
              <w:autoSpaceDE/>
              <w:autoSpaceDN/>
              <w:bidi w:val="0"/>
              <w:spacing w:line="560" w:lineRule="exact"/>
              <w:ind w:firstLine="420" w:firstLineChars="200"/>
              <w:jc w:val="center"/>
              <w:textAlignment w:val="auto"/>
              <w:rPr>
                <w:rFonts w:hint="default"/>
                <w:vertAlign w:val="baseline"/>
                <w:lang w:val="en-US" w:eastAsia="zh-CN"/>
              </w:rPr>
            </w:pPr>
            <w:r>
              <w:rPr>
                <w:rFonts w:hint="eastAsia"/>
                <w:vertAlign w:val="baseline"/>
                <w:lang w:val="en-US" w:eastAsia="zh-CN"/>
              </w:rPr>
              <w:t>178</w:t>
            </w:r>
          </w:p>
        </w:tc>
        <w:tc>
          <w:tcPr>
            <w:tcW w:w="2841" w:type="dxa"/>
          </w:tcPr>
          <w:p>
            <w:pPr>
              <w:pStyle w:val="2"/>
              <w:keepNext w:val="0"/>
              <w:keepLines w:val="0"/>
              <w:pageBreakBefore w:val="0"/>
              <w:kinsoku/>
              <w:wordWrap/>
              <w:overflowPunct/>
              <w:topLinePunct w:val="0"/>
              <w:autoSpaceDE/>
              <w:autoSpaceDN/>
              <w:bidi w:val="0"/>
              <w:spacing w:line="560" w:lineRule="exact"/>
              <w:ind w:firstLine="420" w:firstLineChars="200"/>
              <w:jc w:val="both"/>
              <w:textAlignment w:val="auto"/>
              <w:rPr>
                <w:rFonts w:hint="default"/>
                <w:vertAlign w:val="baseline"/>
                <w:lang w:val="en-US" w:eastAsia="zh-CN"/>
              </w:rPr>
            </w:pPr>
            <w:r>
              <w:rPr>
                <w:rFonts w:hint="eastAsia"/>
                <w:vertAlign w:val="baseline"/>
                <w:lang w:val="en-US" w:eastAsia="zh-CN"/>
              </w:rPr>
              <w:t>户</w:t>
            </w:r>
          </w:p>
        </w:tc>
      </w:tr>
    </w:tbl>
    <w:p>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楷体" w:hAnsi="楷体" w:eastAsia="楷体" w:cs="楷体"/>
          <w:sz w:val="32"/>
          <w:szCs w:val="32"/>
          <w:lang w:val="en-US" w:eastAsia="zh-CN"/>
        </w:rPr>
      </w:pPr>
      <w:bookmarkStart w:id="44" w:name="_Toc23898_WPSOffice_Level2"/>
      <w:r>
        <w:rPr>
          <w:rFonts w:hint="eastAsia" w:ascii="楷体" w:hAnsi="楷体" w:eastAsia="楷体" w:cs="楷体"/>
          <w:sz w:val="32"/>
          <w:szCs w:val="32"/>
          <w:lang w:val="en-US" w:eastAsia="zh-CN"/>
        </w:rPr>
        <w:t>4.2强化绿色服务，提升绿色效益</w:t>
      </w:r>
      <w:bookmarkEnd w:id="44"/>
    </w:p>
    <w:p>
      <w:pPr>
        <w:keepNext w:val="0"/>
        <w:keepLines w:val="0"/>
        <w:pageBreakBefore w:val="0"/>
        <w:kinsoku/>
        <w:wordWrap/>
        <w:overflowPunct/>
        <w:topLinePunct w:val="0"/>
        <w:autoSpaceDE/>
        <w:autoSpaceDN/>
        <w:bidi w:val="0"/>
        <w:spacing w:line="560" w:lineRule="exact"/>
        <w:ind w:firstLine="640" w:firstLineChars="200"/>
        <w:jc w:val="left"/>
        <w:textAlignment w:val="auto"/>
        <w:rPr>
          <w:rFonts w:ascii="仿宋_GB2312" w:hAnsi="仿宋_GB2312" w:eastAsia="仿宋_GB2312" w:cs="仿宋_GB2312"/>
          <w:sz w:val="32"/>
          <w:szCs w:val="32"/>
        </w:rPr>
      </w:pPr>
      <w:r>
        <w:rPr>
          <w:rFonts w:hint="eastAsia" w:ascii="Times New Roman" w:hAnsi="Times New Roman" w:eastAsia="仿宋_GB2312"/>
          <w:sz w:val="32"/>
          <w:szCs w:val="32"/>
          <w:lang w:val="en-US" w:eastAsia="zh-CN"/>
        </w:rPr>
        <w:t>镇远农商银行有效利用省联社平台</w:t>
      </w:r>
      <w:r>
        <w:rPr>
          <w:rFonts w:ascii="Times New Roman" w:hAnsi="Times New Roman" w:eastAsia="仿宋_GB2312"/>
          <w:sz w:val="32"/>
          <w:szCs w:val="32"/>
        </w:rPr>
        <w:t>开展绿色支付体系建设，打造智慧停车场、智慧医院、智慧校园等绿色场景。</w:t>
      </w:r>
      <w:r>
        <w:rPr>
          <w:rFonts w:hint="eastAsia" w:ascii="仿宋_GB2312" w:hAnsi="仿宋_GB2312" w:eastAsia="仿宋_GB2312" w:cs="仿宋_GB2312"/>
          <w:sz w:val="32"/>
          <w:szCs w:val="32"/>
        </w:rPr>
        <w:t>降低企业融资成本，助推地方绿色优势产业发展，促进绿色农业产业提质增效。</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pPr>
      <w:r>
        <w:rPr>
          <w:rFonts w:hint="eastAsia"/>
        </w:rPr>
        <w:drawing>
          <wp:inline distT="0" distB="0" distL="114300" distR="114300">
            <wp:extent cx="4676140" cy="2537460"/>
            <wp:effectExtent l="0" t="0" r="10160" b="15240"/>
            <wp:docPr id="17" name="图片 24" descr="mmexport165024483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descr="mmexport1650244830837"/>
                    <pic:cNvPicPr>
                      <a:picLocks noChangeAspect="1"/>
                    </pic:cNvPicPr>
                  </pic:nvPicPr>
                  <pic:blipFill>
                    <a:blip r:embed="rId6"/>
                    <a:srcRect l="5426" r="5788"/>
                    <a:stretch>
                      <a:fillRect/>
                    </a:stretch>
                  </pic:blipFill>
                  <pic:spPr>
                    <a:xfrm>
                      <a:off x="0" y="0"/>
                      <a:ext cx="4676140" cy="253746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（图为智慧停车场）</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ascii="楷体" w:hAnsi="楷体" w:eastAsia="楷体" w:cs="楷体"/>
        </w:rPr>
      </w:pPr>
      <w:r>
        <w:rPr>
          <w:rFonts w:hint="eastAsia" w:ascii="楷体" w:hAnsi="楷体" w:eastAsia="楷体" w:cs="楷体"/>
        </w:rPr>
        <w:drawing>
          <wp:inline distT="0" distB="0" distL="114300" distR="114300">
            <wp:extent cx="4903470" cy="2746375"/>
            <wp:effectExtent l="0" t="0" r="11430" b="15875"/>
            <wp:docPr id="16" name="图片 23" descr="mmexport1650244884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3" descr="mmexport1650244884443"/>
                    <pic:cNvPicPr>
                      <a:picLocks noChangeAspect="1"/>
                    </pic:cNvPicPr>
                  </pic:nvPicPr>
                  <pic:blipFill>
                    <a:blip r:embed="rId7"/>
                    <a:srcRect t="11998" b="13329"/>
                    <a:stretch>
                      <a:fillRect/>
                    </a:stretch>
                  </pic:blipFill>
                  <pic:spPr>
                    <a:xfrm>
                      <a:off x="0" y="0"/>
                      <a:ext cx="4903470" cy="274637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（图为智慧医院）</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ascii="楷体" w:hAnsi="楷体" w:eastAsia="楷体" w:cs="楷体"/>
        </w:rPr>
      </w:pPr>
      <w:r>
        <w:rPr>
          <w:rFonts w:hint="eastAsia" w:ascii="楷体" w:hAnsi="楷体" w:eastAsia="楷体" w:cs="楷体"/>
        </w:rPr>
        <w:drawing>
          <wp:inline distT="0" distB="0" distL="114300" distR="114300">
            <wp:extent cx="4903470" cy="2461260"/>
            <wp:effectExtent l="0" t="0" r="11430" b="15240"/>
            <wp:docPr id="15" name="图片 22" descr="mmexport165024481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descr="mmexport1650244811661"/>
                    <pic:cNvPicPr>
                      <a:picLocks noChangeAspect="1"/>
                    </pic:cNvPicPr>
                  </pic:nvPicPr>
                  <pic:blipFill>
                    <a:blip r:embed="rId8"/>
                    <a:srcRect t="19553" b="13528"/>
                    <a:stretch>
                      <a:fillRect/>
                    </a:stretch>
                  </pic:blipFill>
                  <pic:spPr>
                    <a:xfrm>
                      <a:off x="0" y="0"/>
                      <a:ext cx="4903470" cy="246126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（图为黔农智慧快递柜）</w:t>
      </w:r>
    </w:p>
    <w:p>
      <w:pPr>
        <w:pStyle w:val="10"/>
        <w:keepNext w:val="0"/>
        <w:keepLines w:val="0"/>
        <w:pageBreakBefore w:val="0"/>
        <w:widowControl/>
        <w:kinsoku/>
        <w:wordWrap/>
        <w:overflowPunct/>
        <w:topLinePunct w:val="0"/>
        <w:autoSpaceDE/>
        <w:autoSpaceDN/>
        <w:bidi w:val="0"/>
        <w:spacing w:line="560" w:lineRule="exact"/>
        <w:ind w:firstLine="640" w:firstLineChars="200"/>
        <w:jc w:val="both"/>
        <w:textAlignment w:val="auto"/>
        <w:rPr>
          <w:rFonts w:hint="eastAsia" w:ascii="仿宋_GB2312" w:hAnsi="BatangChe" w:eastAsia="黑体"/>
          <w:sz w:val="32"/>
          <w:szCs w:val="32"/>
          <w:lang w:val="en-US" w:eastAsia="zh-CN"/>
        </w:rPr>
      </w:pPr>
      <w:bookmarkStart w:id="45" w:name="_Toc28157_WPSOffice_Level1"/>
      <w:r>
        <w:rPr>
          <w:rFonts w:hint="eastAsia" w:ascii="黑体" w:hAnsi="黑体" w:eastAsia="黑体"/>
          <w:bCs/>
          <w:kern w:val="2"/>
          <w:sz w:val="32"/>
          <w:szCs w:val="32"/>
          <w:lang w:val="en-US" w:eastAsia="zh-CN"/>
        </w:rPr>
        <w:t>5.</w:t>
      </w:r>
      <w:r>
        <w:rPr>
          <w:rFonts w:ascii="黑体" w:hAnsi="黑体" w:eastAsia="黑体"/>
          <w:bCs/>
          <w:kern w:val="2"/>
          <w:sz w:val="32"/>
          <w:szCs w:val="32"/>
        </w:rPr>
        <w:t>环境风险管理</w:t>
      </w:r>
      <w:r>
        <w:rPr>
          <w:rFonts w:hint="eastAsia" w:ascii="黑体" w:hAnsi="黑体" w:eastAsia="黑体"/>
          <w:bCs/>
          <w:kern w:val="2"/>
          <w:sz w:val="32"/>
          <w:szCs w:val="32"/>
          <w:lang w:val="en-US" w:eastAsia="zh-CN"/>
        </w:rPr>
        <w:t>措施</w:t>
      </w:r>
      <w:bookmarkEnd w:id="45"/>
    </w:p>
    <w:p>
      <w:pPr>
        <w:keepNext w:val="0"/>
        <w:keepLines w:val="0"/>
        <w:pageBreakBefore w:val="0"/>
        <w:kinsoku/>
        <w:wordWrap/>
        <w:overflowPunct/>
        <w:topLinePunct w:val="0"/>
        <w:autoSpaceDE/>
        <w:autoSpaceDN/>
        <w:bidi w:val="0"/>
        <w:spacing w:line="560" w:lineRule="exact"/>
        <w:ind w:firstLine="640" w:firstLineChars="200"/>
        <w:jc w:val="both"/>
        <w:textAlignment w:val="auto"/>
        <w:rPr>
          <w:rFonts w:hint="eastAsia" w:ascii="仿宋_GB2312" w:eastAsia="仿宋_GB2312"/>
          <w:sz w:val="32"/>
          <w:szCs w:val="32"/>
          <w:highlight w:val="none"/>
          <w:lang w:val="en-US" w:eastAsia="zh-CN"/>
        </w:rPr>
      </w:pPr>
      <w:bookmarkStart w:id="46" w:name="_Toc32047_WPSOffice_Level2"/>
      <w:r>
        <w:rPr>
          <w:rFonts w:hint="eastAsia" w:ascii="仿宋_GB2312" w:eastAsia="仿宋_GB2312"/>
          <w:sz w:val="32"/>
          <w:szCs w:val="32"/>
          <w:highlight w:val="none"/>
          <w:lang w:val="en-US" w:eastAsia="zh-CN"/>
        </w:rPr>
        <w:t>5.1制度建设</w:t>
      </w:r>
      <w:bookmarkEnd w:id="46"/>
    </w:p>
    <w:p>
      <w:pPr>
        <w:keepNext w:val="0"/>
        <w:keepLines w:val="0"/>
        <w:pageBreakBefore w:val="0"/>
        <w:kinsoku/>
        <w:wordWrap/>
        <w:overflowPunct/>
        <w:topLinePunct w:val="0"/>
        <w:autoSpaceDE/>
        <w:autoSpaceDN/>
        <w:bidi w:val="0"/>
        <w:spacing w:line="560" w:lineRule="exact"/>
        <w:ind w:firstLine="640" w:firstLineChars="200"/>
        <w:jc w:val="both"/>
        <w:textAlignment w:val="auto"/>
        <w:rPr>
          <w:rFonts w:hint="eastAsia" w:ascii="仿宋_GB2312" w:eastAsia="仿宋_GB2312"/>
          <w:sz w:val="32"/>
          <w:szCs w:val="32"/>
          <w:highlight w:val="none"/>
        </w:rPr>
      </w:pPr>
      <w:r>
        <w:rPr>
          <w:rFonts w:hint="eastAsia" w:ascii="仿宋_GB2312" w:eastAsia="仿宋_GB2312"/>
          <w:sz w:val="32"/>
          <w:szCs w:val="32"/>
          <w:highlight w:val="none"/>
        </w:rPr>
        <w:t>以做好信用风险、操作风险、流动性风险、市场风险管理为核心，严防环境风险转化为金融风险。制定有《贵州镇远农村商业银行股份有限公司全面风险管理办法》《总行关于印发贵州镇远农村商业银行股份有限公司流动性风险管理办法的通知》《贵州镇远农村商业银行股份有限公司信用风险管理办法》《贵州镇远农村商业银行股份有限公司操作风险识别、评估与控制规程》《贵州镇远农村商业银行股份有限公司市场风险管理办法》《贵州镇远农村商业银行股份有限公司案件（风险）应急处置预案》《贵州镇远农村商业银行股份有限公司重大风险事件应急预案》《贵州镇远农村商业银行股份有限公司重大风险事件管理办法》等制度，指导全行规范信贷业务、客户、行业、产品，严防环境风险转化为金融风险，明确操作风险管理组织架构、职责和权限，操作风险的识别、评估、监测、控制和缓释程序，操作风险管理报告程序，突发事件应急处置，管理考评等。</w:t>
      </w:r>
    </w:p>
    <w:p>
      <w:pPr>
        <w:keepNext w:val="0"/>
        <w:keepLines w:val="0"/>
        <w:pageBreakBefore w:val="0"/>
        <w:kinsoku/>
        <w:wordWrap/>
        <w:overflowPunct/>
        <w:topLinePunct w:val="0"/>
        <w:autoSpaceDE/>
        <w:autoSpaceDN/>
        <w:bidi w:val="0"/>
        <w:spacing w:line="560" w:lineRule="exact"/>
        <w:ind w:firstLine="640" w:firstLineChars="200"/>
        <w:jc w:val="both"/>
        <w:textAlignment w:val="auto"/>
        <w:rPr>
          <w:rFonts w:hint="default" w:ascii="仿宋_GB2312" w:eastAsia="仿宋_GB2312"/>
          <w:sz w:val="32"/>
          <w:szCs w:val="32"/>
          <w:highlight w:val="none"/>
          <w:lang w:val="en-US" w:eastAsia="zh-CN"/>
        </w:rPr>
      </w:pPr>
      <w:bookmarkStart w:id="47" w:name="_Toc25047_WPSOffice_Level2"/>
      <w:r>
        <w:rPr>
          <w:rFonts w:hint="eastAsia" w:ascii="仿宋_GB2312" w:eastAsia="仿宋_GB2312"/>
          <w:sz w:val="32"/>
          <w:szCs w:val="32"/>
          <w:highlight w:val="none"/>
          <w:lang w:val="en-US" w:eastAsia="zh-CN"/>
        </w:rPr>
        <w:t>5.2信贷管理</w:t>
      </w:r>
      <w:bookmarkEnd w:id="47"/>
    </w:p>
    <w:p>
      <w:pPr>
        <w:keepNext w:val="0"/>
        <w:keepLines w:val="0"/>
        <w:pageBreakBefore w:val="0"/>
        <w:kinsoku/>
        <w:wordWrap/>
        <w:overflowPunct/>
        <w:topLinePunct w:val="0"/>
        <w:autoSpaceDE/>
        <w:autoSpaceDN/>
        <w:bidi w:val="0"/>
        <w:spacing w:line="560" w:lineRule="exact"/>
        <w:ind w:firstLine="640" w:firstLineChars="200"/>
        <w:jc w:val="both"/>
        <w:textAlignment w:val="auto"/>
        <w:rPr>
          <w:rFonts w:hint="eastAsia" w:ascii="仿宋_GB2312" w:eastAsia="仿宋_GB2312"/>
          <w:sz w:val="32"/>
          <w:szCs w:val="32"/>
          <w:highlight w:val="none"/>
          <w:lang w:eastAsia="zh-CN"/>
        </w:rPr>
      </w:pPr>
      <w:r>
        <w:rPr>
          <w:rFonts w:hint="eastAsia" w:ascii="仿宋_GB2312" w:eastAsia="仿宋_GB2312"/>
          <w:sz w:val="32"/>
          <w:szCs w:val="32"/>
          <w:highlight w:val="none"/>
        </w:rPr>
        <w:t>严格信贷投放准入条件和项目准入标准；及时收回“两高”企业存量授信，严格限制新增授信，达到落后产能标准的贷款客户列入主动退出客户名单，对不符合国家产业政策要求和节能减排标准，不符合行业授信政策的项目或客户，实行环保一票否决制。严把信贷准入关，科学决策信贷投放，在信贷投放过程中，认真贯彻落实国家节能减排政策，积极推进绿色信贷战略，增加对节能环保项目的支持，从操作层面上将“两高一剩”行业作为信贷管理的分析重点和监控对象，通过提高准入门槛、强化额度管控，减少或退出“两高一剩”和落后产能的信贷投放。把节能降耗、资源循环利用等指标纳入贷款项目调查、审批环节，在受理贷款项目时，重点审查环保部门批复或验收报告、各项污染排放等各项指标达标情况。对获得环保荣誉称号（如绿色企业、国家环境友好企业等）的企业予以优先审批。对符合绿色信贷鼓励类项目，简化贷款手续，实行“三优先”，即优先调查，优先审批，优先发放，同时在利率执行方面给予优惠。对高能耗、高污染企业和限制类、淘汰类等存量“两高一剩”行业贷款，不予任何形式新增贷款。</w:t>
      </w:r>
    </w:p>
    <w:p>
      <w:pPr>
        <w:keepNext w:val="0"/>
        <w:keepLines w:val="0"/>
        <w:pageBreakBefore w:val="0"/>
        <w:kinsoku/>
        <w:wordWrap/>
        <w:overflowPunct/>
        <w:topLinePunct w:val="0"/>
        <w:autoSpaceDE/>
        <w:autoSpaceDN/>
        <w:bidi w:val="0"/>
        <w:spacing w:line="560" w:lineRule="exact"/>
        <w:ind w:firstLine="640" w:firstLineChars="200"/>
        <w:jc w:val="left"/>
        <w:textAlignment w:val="auto"/>
        <w:rPr>
          <w:rFonts w:hint="eastAsia" w:ascii="黑体" w:hAnsi="黑体" w:eastAsia="黑体" w:cs="黑体"/>
          <w:sz w:val="32"/>
          <w:szCs w:val="32"/>
        </w:rPr>
      </w:pPr>
      <w:bookmarkStart w:id="48" w:name="_Toc12954_WPSOffice_Level1"/>
      <w:r>
        <w:rPr>
          <w:rFonts w:hint="eastAsia" w:ascii="黑体" w:hAnsi="黑体" w:eastAsia="黑体" w:cs="黑体"/>
          <w:sz w:val="32"/>
          <w:szCs w:val="32"/>
          <w:lang w:val="en-US" w:eastAsia="zh-CN"/>
        </w:rPr>
        <w:t>6.</w:t>
      </w:r>
      <w:r>
        <w:rPr>
          <w:rFonts w:hint="eastAsia" w:ascii="黑体" w:hAnsi="黑体" w:eastAsia="黑体" w:cs="黑体"/>
          <w:sz w:val="32"/>
          <w:szCs w:val="32"/>
        </w:rPr>
        <w:t>环境风险、机遇的分析与管理</w:t>
      </w:r>
      <w:bookmarkEnd w:id="48"/>
    </w:p>
    <w:p>
      <w:pPr>
        <w:pStyle w:val="2"/>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楷体" w:hAnsi="楷体" w:eastAsia="楷体" w:cs="楷体"/>
          <w:sz w:val="32"/>
          <w:szCs w:val="32"/>
          <w:lang w:val="en-US" w:eastAsia="zh-CN"/>
        </w:rPr>
      </w:pPr>
      <w:bookmarkStart w:id="49" w:name="_Toc10582_WPSOffice_Level2"/>
      <w:r>
        <w:rPr>
          <w:rFonts w:hint="eastAsia" w:ascii="楷体" w:hAnsi="楷体" w:eastAsia="楷体" w:cs="楷体"/>
          <w:sz w:val="32"/>
          <w:szCs w:val="32"/>
          <w:lang w:val="en-US" w:eastAsia="zh-CN"/>
        </w:rPr>
        <w:t>6.1环境风险</w:t>
      </w:r>
      <w:bookmarkEnd w:id="49"/>
    </w:p>
    <w:p>
      <w:pPr>
        <w:pStyle w:val="2"/>
        <w:keepNext w:val="0"/>
        <w:keepLines w:val="0"/>
        <w:pageBreakBefore w:val="0"/>
        <w:kinsoku/>
        <w:wordWrap/>
        <w:overflowPunct/>
        <w:topLinePunct w:val="0"/>
        <w:autoSpaceDE/>
        <w:autoSpaceDN/>
        <w:bidi w:val="0"/>
        <w:spacing w:line="560" w:lineRule="exact"/>
        <w:ind w:left="0" w:leftChars="0" w:firstLine="640" w:firstLineChars="200"/>
        <w:jc w:val="both"/>
        <w:textAlignment w:val="auto"/>
        <w:rPr>
          <w:rFonts w:hint="eastAsia" w:ascii="仿宋_GB2312" w:eastAsia="仿宋_GB2312"/>
          <w:sz w:val="32"/>
          <w:szCs w:val="32"/>
        </w:rPr>
      </w:pPr>
      <w:r>
        <w:rPr>
          <w:rFonts w:hint="eastAsia" w:ascii="仿宋_GB2312" w:eastAsia="仿宋_GB2312"/>
          <w:sz w:val="32"/>
          <w:szCs w:val="32"/>
        </w:rPr>
        <w:t>镇远县主要以传统种养殖及旅游服务业为主要支柱产业，冰雹、洪涝干旱等自然灾害会对农户种养殖造成较大影响，</w:t>
      </w:r>
      <w:r>
        <w:rPr>
          <w:rFonts w:hint="eastAsia" w:ascii="仿宋_GB2312" w:eastAsia="仿宋_GB2312"/>
          <w:sz w:val="32"/>
          <w:szCs w:val="32"/>
          <w:lang w:eastAsia="zh-CN"/>
        </w:rPr>
        <w:t>由此导致客户不能期结息还本，</w:t>
      </w:r>
      <w:r>
        <w:rPr>
          <w:rFonts w:hint="eastAsia" w:ascii="仿宋_GB2312" w:eastAsia="仿宋_GB2312"/>
          <w:sz w:val="32"/>
          <w:szCs w:val="32"/>
        </w:rPr>
        <w:t>将对我行形成金融风险</w:t>
      </w:r>
      <w:r>
        <w:rPr>
          <w:rFonts w:hint="eastAsia" w:ascii="仿宋_GB2312" w:eastAsia="仿宋_GB2312"/>
          <w:sz w:val="32"/>
          <w:szCs w:val="32"/>
          <w:lang w:eastAsia="zh-CN"/>
        </w:rPr>
        <w:t>，</w:t>
      </w:r>
      <w:r>
        <w:rPr>
          <w:rFonts w:hint="eastAsia" w:ascii="仿宋_GB2312" w:eastAsia="仿宋_GB2312"/>
          <w:sz w:val="32"/>
          <w:szCs w:val="32"/>
        </w:rPr>
        <w:t>其次极端天气、自然灾害及疫情影响等环境因素，对我县旅游业及周边餐饮住宿业形成较大且深远的影响，</w:t>
      </w:r>
      <w:r>
        <w:rPr>
          <w:rFonts w:hint="eastAsia" w:ascii="仿宋_GB2312" w:eastAsia="仿宋_GB2312"/>
          <w:sz w:val="32"/>
          <w:szCs w:val="32"/>
          <w:lang w:eastAsia="zh-CN"/>
        </w:rPr>
        <w:t>导致</w:t>
      </w:r>
      <w:r>
        <w:rPr>
          <w:rFonts w:hint="eastAsia" w:ascii="仿宋_GB2312" w:eastAsia="仿宋_GB2312"/>
          <w:sz w:val="32"/>
          <w:szCs w:val="32"/>
        </w:rPr>
        <w:t>个体小微贷款户，不能按期结息还本，将对我行形成金融风险。</w:t>
      </w:r>
    </w:p>
    <w:p>
      <w:pPr>
        <w:pStyle w:val="2"/>
        <w:keepNext w:val="0"/>
        <w:keepLines w:val="0"/>
        <w:pageBreakBefore w:val="0"/>
        <w:kinsoku/>
        <w:wordWrap/>
        <w:overflowPunct/>
        <w:topLinePunct w:val="0"/>
        <w:autoSpaceDE/>
        <w:autoSpaceDN/>
        <w:bidi w:val="0"/>
        <w:spacing w:line="560" w:lineRule="exact"/>
        <w:ind w:left="0" w:leftChars="0" w:firstLine="640" w:firstLineChars="200"/>
        <w:jc w:val="both"/>
        <w:textAlignment w:val="auto"/>
        <w:rPr>
          <w:rFonts w:hint="eastAsia" w:ascii="楷体" w:hAnsi="楷体" w:eastAsia="楷体" w:cs="楷体"/>
          <w:sz w:val="32"/>
          <w:szCs w:val="32"/>
          <w:lang w:val="en-US" w:eastAsia="zh-CN"/>
        </w:rPr>
      </w:pPr>
      <w:bookmarkStart w:id="50" w:name="_Toc27807_WPSOffice_Level2"/>
      <w:r>
        <w:rPr>
          <w:rFonts w:hint="eastAsia" w:ascii="楷体" w:hAnsi="楷体" w:eastAsia="楷体" w:cs="楷体"/>
          <w:sz w:val="32"/>
          <w:szCs w:val="32"/>
          <w:lang w:val="en-US" w:eastAsia="zh-CN"/>
        </w:rPr>
        <w:t>6.2机遇分析</w:t>
      </w:r>
      <w:bookmarkEnd w:id="50"/>
    </w:p>
    <w:p>
      <w:pPr>
        <w:pStyle w:val="2"/>
        <w:keepNext w:val="0"/>
        <w:keepLines w:val="0"/>
        <w:pageBreakBefore w:val="0"/>
        <w:kinsoku/>
        <w:wordWrap/>
        <w:overflowPunct/>
        <w:topLinePunct w:val="0"/>
        <w:autoSpaceDE/>
        <w:autoSpaceDN/>
        <w:bidi w:val="0"/>
        <w:spacing w:line="560" w:lineRule="exact"/>
        <w:ind w:left="0" w:leftChars="0" w:firstLine="640" w:firstLineChars="200"/>
        <w:jc w:val="both"/>
        <w:textAlignment w:val="auto"/>
        <w:rPr>
          <w:rFonts w:ascii="Times New Roman" w:hAnsi="Times New Roman" w:eastAsia="仿宋_GB2312"/>
          <w:sz w:val="32"/>
          <w:szCs w:val="32"/>
        </w:rPr>
      </w:pPr>
      <w:r>
        <w:rPr>
          <w:rFonts w:hint="eastAsia" w:ascii="仿宋_GB2312" w:eastAsia="仿宋_GB2312"/>
          <w:sz w:val="32"/>
          <w:szCs w:val="32"/>
        </w:rPr>
        <w:t>从机遇方面来看，</w:t>
      </w:r>
      <w:r>
        <w:rPr>
          <w:rFonts w:ascii="Times New Roman" w:hAnsi="Times New Roman" w:eastAsia="仿宋_GB2312"/>
          <w:sz w:val="32"/>
          <w:szCs w:val="32"/>
        </w:rPr>
        <w:t>在“碳达峰、碳中和”背景下，我国产业结构将发生重大调整变化</w:t>
      </w:r>
      <w:r>
        <w:rPr>
          <w:rFonts w:hint="eastAsia" w:ascii="Times New Roman" w:hAnsi="Times New Roman" w:eastAsia="仿宋_GB2312"/>
          <w:sz w:val="32"/>
          <w:szCs w:val="32"/>
        </w:rPr>
        <w:t>，各行业都将向着</w:t>
      </w:r>
      <w:r>
        <w:rPr>
          <w:rFonts w:ascii="Times New Roman" w:hAnsi="Times New Roman" w:eastAsia="仿宋_GB2312"/>
          <w:sz w:val="32"/>
          <w:szCs w:val="32"/>
        </w:rPr>
        <w:t>生态农业、新能源等</w:t>
      </w:r>
      <w:r>
        <w:rPr>
          <w:rFonts w:hint="eastAsia" w:ascii="Times New Roman" w:hAnsi="Times New Roman" w:eastAsia="仿宋_GB2312"/>
          <w:sz w:val="32"/>
          <w:szCs w:val="32"/>
        </w:rPr>
        <w:t>环境友好方向发展，结合我县5</w:t>
      </w:r>
      <w:r>
        <w:rPr>
          <w:rFonts w:ascii="Times New Roman" w:hAnsi="Times New Roman" w:eastAsia="仿宋_GB2312"/>
          <w:sz w:val="32"/>
          <w:szCs w:val="32"/>
        </w:rPr>
        <w:t>A</w:t>
      </w:r>
      <w:r>
        <w:rPr>
          <w:rFonts w:hint="eastAsia" w:ascii="Times New Roman" w:hAnsi="Times New Roman" w:eastAsia="仿宋_GB2312"/>
          <w:sz w:val="32"/>
          <w:szCs w:val="32"/>
        </w:rPr>
        <w:t>景区优势，周边餐饮、住宿、生态农业方面将得到加大发展并</w:t>
      </w:r>
      <w:r>
        <w:rPr>
          <w:rFonts w:ascii="Times New Roman" w:hAnsi="Times New Roman" w:eastAsia="仿宋_GB2312"/>
          <w:sz w:val="32"/>
          <w:szCs w:val="32"/>
        </w:rPr>
        <w:t>蕴含着巨大业务机会。通过提前研究布局，积极支持</w:t>
      </w:r>
      <w:r>
        <w:rPr>
          <w:rFonts w:hint="eastAsia" w:ascii="Times New Roman" w:hAnsi="Times New Roman" w:eastAsia="仿宋_GB2312"/>
          <w:sz w:val="32"/>
          <w:szCs w:val="32"/>
        </w:rPr>
        <w:t>绿色环保节能产业的发展</w:t>
      </w:r>
      <w:r>
        <w:rPr>
          <w:rFonts w:ascii="Times New Roman" w:hAnsi="Times New Roman" w:eastAsia="仿宋_GB2312"/>
          <w:sz w:val="32"/>
          <w:szCs w:val="32"/>
        </w:rPr>
        <w:t>，是我</w:t>
      </w:r>
      <w:r>
        <w:rPr>
          <w:rFonts w:hint="eastAsia" w:ascii="Times New Roman" w:hAnsi="Times New Roman" w:eastAsia="仿宋_GB2312"/>
          <w:sz w:val="32"/>
          <w:szCs w:val="32"/>
        </w:rPr>
        <w:t>行</w:t>
      </w:r>
      <w:r>
        <w:rPr>
          <w:rFonts w:ascii="Times New Roman" w:hAnsi="Times New Roman" w:eastAsia="仿宋_GB2312"/>
          <w:sz w:val="32"/>
          <w:szCs w:val="32"/>
        </w:rPr>
        <w:t>未来一段时期的重要发展机遇。</w:t>
      </w:r>
    </w:p>
    <w:p>
      <w:pPr>
        <w:pStyle w:val="2"/>
        <w:keepNext w:val="0"/>
        <w:keepLines w:val="0"/>
        <w:pageBreakBefore w:val="0"/>
        <w:kinsoku/>
        <w:wordWrap/>
        <w:overflowPunct/>
        <w:topLinePunct w:val="0"/>
        <w:autoSpaceDE/>
        <w:autoSpaceDN/>
        <w:bidi w:val="0"/>
        <w:spacing w:line="560" w:lineRule="exact"/>
        <w:ind w:left="0" w:leftChars="0" w:firstLine="640" w:firstLineChars="200"/>
        <w:jc w:val="both"/>
        <w:textAlignment w:val="auto"/>
        <w:rPr>
          <w:rFonts w:hint="eastAsia" w:ascii="黑体" w:hAnsi="黑体" w:eastAsia="黑体" w:cs="黑体"/>
          <w:sz w:val="32"/>
          <w:szCs w:val="32"/>
          <w:lang w:val="en-US" w:eastAsia="zh-CN"/>
        </w:rPr>
      </w:pPr>
      <w:bookmarkStart w:id="51" w:name="_Toc22107_WPSOffice_Level1"/>
      <w:r>
        <w:rPr>
          <w:rFonts w:hint="eastAsia" w:ascii="黑体" w:hAnsi="黑体" w:eastAsia="黑体" w:cs="黑体"/>
          <w:sz w:val="32"/>
          <w:szCs w:val="32"/>
          <w:lang w:val="en-US" w:eastAsia="zh-CN"/>
        </w:rPr>
        <w:t>7.自身运营的环境影响</w:t>
      </w:r>
      <w:bookmarkEnd w:id="51"/>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BatangChe" w:eastAsia="仿宋_GB2312" w:cs="Times New Roman"/>
          <w:kern w:val="2"/>
          <w:sz w:val="32"/>
          <w:szCs w:val="32"/>
          <w:lang w:val="en-US" w:eastAsia="zh-CN" w:bidi="ar-SA"/>
        </w:rPr>
      </w:pPr>
      <w:r>
        <w:rPr>
          <w:rFonts w:hint="eastAsia" w:ascii="仿宋_GB2312" w:hAnsi="BatangChe" w:eastAsia="仿宋_GB2312" w:cs="Times New Roman"/>
          <w:kern w:val="2"/>
          <w:sz w:val="32"/>
          <w:szCs w:val="32"/>
          <w:lang w:val="en-US" w:eastAsia="zh-CN" w:bidi="ar-SA"/>
        </w:rPr>
        <w:t>我行制定有《</w:t>
      </w:r>
      <w:r>
        <w:rPr>
          <w:rFonts w:ascii="仿宋_GB2312" w:hAnsi="BatangChe" w:eastAsia="仿宋_GB2312" w:cs="Times New Roman"/>
          <w:kern w:val="2"/>
          <w:sz w:val="32"/>
          <w:szCs w:val="32"/>
          <w:lang w:val="en-US" w:eastAsia="zh-CN" w:bidi="ar-SA"/>
        </w:rPr>
        <w:t>贵州镇远农村商业银行股份有限公司</w:t>
      </w:r>
      <w:r>
        <w:rPr>
          <w:rFonts w:hint="eastAsia" w:ascii="仿宋_GB2312" w:hAnsi="BatangChe" w:eastAsia="仿宋_GB2312" w:cs="Times New Roman"/>
          <w:kern w:val="2"/>
          <w:sz w:val="32"/>
          <w:szCs w:val="32"/>
          <w:lang w:val="en-US" w:eastAsia="zh-CN" w:bidi="ar-SA"/>
        </w:rPr>
        <w:t>厉行节约打造绿色银行工作措施》，全面贯彻落实勤俭办社的优良传统，坚持厉行节约、勤俭办社原则，以不浪费“一张纸、一滴水、一度电、一粒饭、一叶菜”的精神，推行绿色办公，引导全体员工养成简约适度、绿色低碳的生活和工作方式。</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40" w:firstLineChars="200"/>
        <w:jc w:val="left"/>
        <w:textAlignment w:val="auto"/>
        <w:rPr>
          <w:rFonts w:hint="eastAsia" w:ascii="楷体" w:hAnsi="楷体" w:eastAsia="楷体" w:cs="楷体"/>
          <w:kern w:val="2"/>
          <w:sz w:val="32"/>
          <w:szCs w:val="32"/>
          <w:lang w:val="en-US" w:eastAsia="zh-CN" w:bidi="ar-SA"/>
        </w:rPr>
      </w:pPr>
      <w:bookmarkStart w:id="52" w:name="_Toc9957_WPSOffice_Level2"/>
      <w:r>
        <w:rPr>
          <w:rFonts w:hint="eastAsia" w:ascii="楷体" w:hAnsi="楷体" w:eastAsia="楷体" w:cs="楷体"/>
          <w:kern w:val="2"/>
          <w:sz w:val="32"/>
          <w:szCs w:val="32"/>
          <w:lang w:val="en-US" w:eastAsia="zh-CN" w:bidi="ar-SA"/>
        </w:rPr>
        <w:t>7.1加强食堂管理</w:t>
      </w:r>
      <w:bookmarkEnd w:id="52"/>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20" w:firstLineChars="200"/>
        <w:textAlignment w:val="auto"/>
        <w:rPr>
          <w:rFonts w:hint="eastAsia" w:ascii="仿宋_GB2312" w:eastAsia="仿宋_GB2312" w:cs="仿宋_GB2312"/>
          <w:color w:val="000000"/>
          <w:sz w:val="31"/>
          <w:szCs w:val="31"/>
        </w:rPr>
      </w:pPr>
      <w:r>
        <w:rPr>
          <w:rFonts w:ascii="仿宋_GB2312" w:eastAsia="仿宋_GB2312" w:cs="仿宋_GB2312"/>
          <w:color w:val="000000"/>
          <w:sz w:val="31"/>
          <w:szCs w:val="31"/>
        </w:rPr>
        <w:t>积极开展厉行节约、文明餐桌、</w:t>
      </w:r>
      <w:r>
        <w:rPr>
          <w:rFonts w:hint="eastAsia" w:ascii="仿宋_GB2312" w:eastAsia="仿宋_GB2312" w:cs="仿宋_GB2312"/>
          <w:color w:val="000000"/>
          <w:sz w:val="31"/>
          <w:szCs w:val="31"/>
        </w:rPr>
        <w:t>光盘行动等活动，在食堂显著位置或餐桌上展示</w:t>
      </w:r>
      <w:r>
        <w:rPr>
          <w:rFonts w:hint="default" w:ascii="Times New Roman" w:hAnsi="Times New Roman" w:cs="Times New Roman"/>
          <w:color w:val="000000"/>
          <w:sz w:val="31"/>
          <w:szCs w:val="31"/>
        </w:rPr>
        <w:t>“</w:t>
      </w:r>
      <w:r>
        <w:rPr>
          <w:rFonts w:hint="eastAsia" w:ascii="仿宋_GB2312" w:eastAsia="仿宋_GB2312" w:cs="仿宋_GB2312"/>
          <w:color w:val="000000"/>
          <w:sz w:val="31"/>
          <w:szCs w:val="31"/>
        </w:rPr>
        <w:t>光盘行动</w:t>
      </w:r>
      <w:r>
        <w:rPr>
          <w:rFonts w:hint="default" w:ascii="Times New Roman" w:hAnsi="Times New Roman" w:cs="Times New Roman"/>
          <w:color w:val="000000"/>
          <w:sz w:val="31"/>
          <w:szCs w:val="31"/>
        </w:rPr>
        <w:t>”“</w:t>
      </w:r>
      <w:r>
        <w:rPr>
          <w:rFonts w:hint="eastAsia" w:ascii="仿宋_GB2312" w:eastAsia="仿宋_GB2312" w:cs="仿宋_GB2312"/>
          <w:color w:val="000000"/>
          <w:sz w:val="31"/>
          <w:szCs w:val="31"/>
        </w:rPr>
        <w:t>严禁浪费</w:t>
      </w:r>
      <w:r>
        <w:rPr>
          <w:rFonts w:hint="default" w:ascii="Times New Roman" w:hAnsi="Times New Roman" w:cs="Times New Roman"/>
          <w:color w:val="000000"/>
          <w:sz w:val="31"/>
          <w:szCs w:val="31"/>
        </w:rPr>
        <w:t>”</w:t>
      </w:r>
      <w:r>
        <w:rPr>
          <w:rFonts w:hint="eastAsia" w:ascii="仿宋_GB2312" w:eastAsia="仿宋_GB2312" w:cs="仿宋_GB2312"/>
          <w:color w:val="000000"/>
          <w:sz w:val="31"/>
          <w:szCs w:val="31"/>
        </w:rPr>
        <w:t>等文明提示牌，引导广大干部职工就餐时适量取食，不剩饭菜，人走盘光，杜绝出现食物浪费、餐后夹带行为。</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620" w:firstLineChars="200"/>
        <w:textAlignment w:val="auto"/>
        <w:rPr>
          <w:rFonts w:hint="eastAsia" w:ascii="楷体" w:hAnsi="楷体" w:eastAsia="楷体" w:cs="楷体"/>
          <w:kern w:val="2"/>
          <w:sz w:val="32"/>
          <w:szCs w:val="32"/>
          <w:lang w:val="en-US" w:eastAsia="zh-CN" w:bidi="ar-SA"/>
        </w:rPr>
      </w:pPr>
      <w:r>
        <w:rPr>
          <w:rFonts w:hint="eastAsia" w:ascii="仿宋_GB2312" w:eastAsia="仿宋_GB2312" w:cs="仿宋_GB2312"/>
          <w:color w:val="000000"/>
          <w:sz w:val="31"/>
          <w:szCs w:val="31"/>
          <w:lang w:eastAsia="zh-CN"/>
        </w:rPr>
        <w:drawing>
          <wp:inline distT="0" distB="0" distL="114300" distR="114300">
            <wp:extent cx="2183130" cy="2183130"/>
            <wp:effectExtent l="0" t="0" r="7620" b="7620"/>
            <wp:docPr id="11" name="图片 11" descr="mmexport168722101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mmexport1687221018199"/>
                    <pic:cNvPicPr>
                      <a:picLocks noChangeAspect="1"/>
                    </pic:cNvPicPr>
                  </pic:nvPicPr>
                  <pic:blipFill>
                    <a:blip r:embed="rId9"/>
                    <a:stretch>
                      <a:fillRect/>
                    </a:stretch>
                  </pic:blipFill>
                  <pic:spPr>
                    <a:xfrm>
                      <a:off x="0" y="0"/>
                      <a:ext cx="2183130" cy="2183130"/>
                    </a:xfrm>
                    <a:prstGeom prst="rect">
                      <a:avLst/>
                    </a:prstGeom>
                  </pic:spPr>
                </pic:pic>
              </a:graphicData>
            </a:graphic>
          </wp:inline>
        </w:drawing>
      </w:r>
      <w:r>
        <w:rPr>
          <w:rFonts w:hint="eastAsia" w:ascii="楷体" w:hAnsi="楷体" w:eastAsia="楷体" w:cs="楷体"/>
          <w:kern w:val="2"/>
          <w:sz w:val="32"/>
          <w:szCs w:val="32"/>
          <w:lang w:val="en-US" w:eastAsia="zh-CN" w:bidi="ar-SA"/>
        </w:rPr>
        <w:drawing>
          <wp:inline distT="0" distB="0" distL="114300" distR="114300">
            <wp:extent cx="2171065" cy="2171065"/>
            <wp:effectExtent l="0" t="0" r="635" b="635"/>
            <wp:docPr id="12" name="图片 12" descr="mmexport1687221015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687221015765"/>
                    <pic:cNvPicPr>
                      <a:picLocks noChangeAspect="1"/>
                    </pic:cNvPicPr>
                  </pic:nvPicPr>
                  <pic:blipFill>
                    <a:blip r:embed="rId10"/>
                    <a:stretch>
                      <a:fillRect/>
                    </a:stretch>
                  </pic:blipFill>
                  <pic:spPr>
                    <a:xfrm>
                      <a:off x="0" y="0"/>
                      <a:ext cx="2171065" cy="217106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楷体" w:hAnsi="楷体" w:eastAsia="楷体" w:cs="楷体"/>
          <w:kern w:val="2"/>
          <w:sz w:val="32"/>
          <w:szCs w:val="32"/>
          <w:lang w:val="en-US" w:eastAsia="zh-CN" w:bidi="ar-SA"/>
        </w:rPr>
      </w:pPr>
      <w:r>
        <w:rPr>
          <w:rFonts w:hint="eastAsia" w:ascii="楷体" w:hAnsi="楷体" w:eastAsia="楷体" w:cs="楷体"/>
          <w:sz w:val="21"/>
          <w:szCs w:val="21"/>
          <w:lang w:val="en-US" w:eastAsia="zh-CN"/>
        </w:rPr>
        <w:t>（图为食堂节俭宣传）</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textAlignment w:val="auto"/>
        <w:rPr>
          <w:rFonts w:hint="eastAsia" w:ascii="楷体" w:hAnsi="楷体" w:eastAsia="楷体" w:cs="楷体"/>
          <w:kern w:val="2"/>
          <w:sz w:val="32"/>
          <w:szCs w:val="32"/>
          <w:lang w:val="en-US" w:eastAsia="zh-CN" w:bidi="ar-SA"/>
        </w:rPr>
      </w:pPr>
      <w:bookmarkStart w:id="53" w:name="_Toc14180_WPSOffice_Level2"/>
      <w:r>
        <w:rPr>
          <w:rFonts w:hint="eastAsia" w:ascii="楷体" w:hAnsi="楷体" w:eastAsia="楷体" w:cs="楷体"/>
          <w:kern w:val="2"/>
          <w:sz w:val="32"/>
          <w:szCs w:val="32"/>
          <w:lang w:val="en-US" w:eastAsia="zh-CN" w:bidi="ar-SA"/>
        </w:rPr>
        <w:t>7.2加强用水节约管理</w:t>
      </w:r>
      <w:bookmarkEnd w:id="53"/>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BatangChe" w:eastAsia="仿宋_GB2312" w:cs="Times New Roman"/>
          <w:kern w:val="2"/>
          <w:sz w:val="32"/>
          <w:szCs w:val="32"/>
          <w:lang w:val="en-US" w:eastAsia="zh-CN" w:bidi="ar-SA"/>
        </w:rPr>
      </w:pPr>
      <w:r>
        <w:rPr>
          <w:rFonts w:hint="default" w:ascii="仿宋_GB2312" w:hAnsi="BatangChe" w:eastAsia="仿宋_GB2312" w:cs="Times New Roman"/>
          <w:kern w:val="2"/>
          <w:sz w:val="32"/>
          <w:szCs w:val="32"/>
          <w:lang w:val="en-US" w:eastAsia="zh-CN" w:bidi="ar-SA"/>
        </w:rPr>
        <w:t>严格落实用水节约制度，加强供水系统的检查维护管理，及时检查更换老化的供水管路及零件，防止出现“跑冒滴漏”现象。</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BatangChe" w:eastAsia="仿宋_GB2312"/>
          <w:sz w:val="32"/>
          <w:szCs w:val="32"/>
        </w:rPr>
      </w:pPr>
      <w:r>
        <w:rPr>
          <w:rFonts w:hint="eastAsia" w:ascii="仿宋_GB2312" w:hAnsi="BatangChe" w:eastAsia="仿宋_GB2312"/>
          <w:sz w:val="32"/>
          <w:szCs w:val="32"/>
        </w:rPr>
        <w:drawing>
          <wp:inline distT="0" distB="0" distL="114300" distR="114300">
            <wp:extent cx="4946015" cy="3296285"/>
            <wp:effectExtent l="0" t="0" r="6985" b="18415"/>
            <wp:docPr id="19" name="图片 1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1"/>
                    <pic:cNvPicPr>
                      <a:picLocks noChangeAspect="1"/>
                    </pic:cNvPicPr>
                  </pic:nvPicPr>
                  <pic:blipFill>
                    <a:blip r:embed="rId11"/>
                    <a:stretch>
                      <a:fillRect/>
                    </a:stretch>
                  </pic:blipFill>
                  <pic:spPr>
                    <a:xfrm>
                      <a:off x="0" y="0"/>
                      <a:ext cx="4946015" cy="329628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（图为节水宣传）</w:t>
      </w:r>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楷体" w:hAnsi="楷体" w:eastAsia="楷体" w:cs="楷体"/>
          <w:kern w:val="2"/>
          <w:sz w:val="32"/>
          <w:szCs w:val="32"/>
          <w:lang w:val="en-US" w:eastAsia="zh-CN" w:bidi="ar-SA"/>
        </w:rPr>
      </w:pPr>
      <w:bookmarkStart w:id="54" w:name="_Toc9439_WPSOffice_Level2"/>
      <w:r>
        <w:rPr>
          <w:rFonts w:hint="eastAsia" w:ascii="楷体" w:hAnsi="楷体" w:eastAsia="楷体" w:cs="楷体"/>
          <w:kern w:val="2"/>
          <w:sz w:val="32"/>
          <w:szCs w:val="32"/>
          <w:lang w:val="en-US" w:eastAsia="zh-CN" w:bidi="ar-SA"/>
        </w:rPr>
        <w:t>7.3加强用电节约管理</w:t>
      </w:r>
      <w:bookmarkEnd w:id="54"/>
    </w:p>
    <w:p>
      <w:pPr>
        <w:pStyle w:val="2"/>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default" w:ascii="仿宋_GB2312" w:hAnsi="BatangChe" w:eastAsia="仿宋_GB2312" w:cs="Times New Roman"/>
          <w:kern w:val="2"/>
          <w:sz w:val="32"/>
          <w:szCs w:val="32"/>
          <w:lang w:val="en-US" w:eastAsia="zh-CN" w:bidi="ar-SA"/>
        </w:rPr>
      </w:pPr>
      <w:r>
        <w:rPr>
          <w:rFonts w:hint="eastAsia" w:ascii="仿宋_GB2312" w:hAnsi="BatangChe" w:eastAsia="仿宋_GB2312" w:cs="Times New Roman"/>
          <w:kern w:val="2"/>
          <w:sz w:val="32"/>
          <w:szCs w:val="32"/>
          <w:lang w:val="en-US" w:eastAsia="zh-CN" w:bidi="ar-SA"/>
        </w:rPr>
        <w:t>根据季节</w:t>
      </w:r>
      <w:r>
        <w:rPr>
          <w:rFonts w:hint="default" w:ascii="仿宋_GB2312" w:hAnsi="BatangChe" w:eastAsia="仿宋_GB2312" w:cs="Times New Roman"/>
          <w:kern w:val="2"/>
          <w:sz w:val="32"/>
          <w:szCs w:val="32"/>
          <w:lang w:val="en-US" w:eastAsia="zh-CN" w:bidi="ar-SA"/>
        </w:rPr>
        <w:t>严格执行室内空调温度设置</w:t>
      </w:r>
      <w:r>
        <w:rPr>
          <w:rFonts w:hint="eastAsia" w:ascii="仿宋_GB2312" w:hAnsi="BatangChe" w:eastAsia="仿宋_GB2312" w:cs="Times New Roman"/>
          <w:kern w:val="2"/>
          <w:sz w:val="32"/>
          <w:szCs w:val="32"/>
          <w:lang w:val="en-US" w:eastAsia="zh-CN" w:bidi="ar-SA"/>
        </w:rPr>
        <w:t>，</w:t>
      </w:r>
      <w:r>
        <w:rPr>
          <w:rFonts w:hint="default" w:ascii="仿宋_GB2312" w:hAnsi="BatangChe" w:eastAsia="仿宋_GB2312" w:cs="Times New Roman"/>
          <w:kern w:val="2"/>
          <w:sz w:val="32"/>
          <w:szCs w:val="32"/>
          <w:lang w:val="en-US" w:eastAsia="zh-CN" w:bidi="ar-SA"/>
        </w:rPr>
        <w:t>不得在开窗的情况下使用空调</w:t>
      </w:r>
      <w:r>
        <w:rPr>
          <w:rFonts w:hint="eastAsia" w:ascii="仿宋_GB2312" w:hAnsi="BatangChe" w:eastAsia="仿宋_GB2312" w:cs="Times New Roman"/>
          <w:kern w:val="2"/>
          <w:sz w:val="32"/>
          <w:szCs w:val="32"/>
          <w:lang w:val="en-US" w:eastAsia="zh-CN" w:bidi="ar-SA"/>
        </w:rPr>
        <w:t>；</w:t>
      </w:r>
      <w:r>
        <w:rPr>
          <w:rFonts w:ascii="仿宋_GB2312" w:hAnsi="BatangChe" w:eastAsia="仿宋_GB2312"/>
          <w:sz w:val="32"/>
          <w:szCs w:val="32"/>
        </w:rPr>
        <w:t>使用节能灯具，减少照明设备电耗</w:t>
      </w:r>
      <w:r>
        <w:rPr>
          <w:rFonts w:hint="eastAsia" w:ascii="仿宋_GB2312" w:hAnsi="BatangChe" w:eastAsia="仿宋_GB2312"/>
          <w:sz w:val="32"/>
          <w:szCs w:val="32"/>
          <w:lang w:eastAsia="zh-CN"/>
        </w:rPr>
        <w:t>，</w:t>
      </w:r>
      <w:r>
        <w:rPr>
          <w:rFonts w:hint="default" w:ascii="仿宋_GB2312" w:hAnsi="BatangChe" w:eastAsia="仿宋_GB2312" w:cs="Times New Roman"/>
          <w:kern w:val="2"/>
          <w:sz w:val="32"/>
          <w:szCs w:val="32"/>
          <w:lang w:val="en-US" w:eastAsia="zh-CN" w:bidi="ar-SA"/>
        </w:rPr>
        <w:t>合理使用光照，办公室、会议室、走廊等场所内自然光亮度足够时不开灯，杜绝长明灯、白昼灯，做到人走灯灭</w:t>
      </w:r>
      <w:r>
        <w:rPr>
          <w:rFonts w:hint="eastAsia" w:ascii="仿宋_GB2312" w:hAnsi="BatangChe" w:eastAsia="仿宋_GB2312" w:cs="Times New Roman"/>
          <w:kern w:val="2"/>
          <w:sz w:val="32"/>
          <w:szCs w:val="32"/>
          <w:lang w:val="en-US" w:eastAsia="zh-CN" w:bidi="ar-SA"/>
        </w:rPr>
        <w:t>；</w:t>
      </w:r>
      <w:r>
        <w:rPr>
          <w:rFonts w:ascii="仿宋_GB2312" w:hAnsi="BatangChe" w:eastAsia="仿宋_GB2312"/>
          <w:sz w:val="32"/>
          <w:szCs w:val="32"/>
        </w:rPr>
        <w:t>强化日常节电措施，建立健全节电管理制度和设备操作规程，减少不必要的办公电器和非办公用电。</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仿宋_GB2312" w:hAnsi="BatangChe" w:eastAsia="仿宋_GB2312"/>
          <w:sz w:val="32"/>
          <w:szCs w:val="32"/>
        </w:rPr>
      </w:pPr>
      <w:r>
        <w:rPr>
          <w:rFonts w:ascii="仿宋_GB2312" w:hAnsi="BatangChe" w:eastAsia="仿宋_GB2312"/>
          <w:sz w:val="32"/>
          <w:szCs w:val="32"/>
        </w:rPr>
        <w:drawing>
          <wp:inline distT="0" distB="0" distL="114300" distR="114300">
            <wp:extent cx="4367530" cy="2910205"/>
            <wp:effectExtent l="0" t="0" r="13970" b="4445"/>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12"/>
                    <a:stretch>
                      <a:fillRect/>
                    </a:stretch>
                  </pic:blipFill>
                  <pic:spPr>
                    <a:xfrm>
                      <a:off x="0" y="0"/>
                      <a:ext cx="4367530" cy="291020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default" w:ascii="楷体" w:hAnsi="楷体" w:eastAsia="楷体" w:cs="楷体"/>
          <w:sz w:val="21"/>
          <w:szCs w:val="21"/>
          <w:lang w:val="en-US" w:eastAsia="zh-CN"/>
        </w:rPr>
      </w:pPr>
      <w:r>
        <w:rPr>
          <w:rFonts w:hint="eastAsia" w:ascii="楷体" w:hAnsi="楷体" w:eastAsia="楷体" w:cs="楷体"/>
          <w:sz w:val="21"/>
          <w:szCs w:val="21"/>
          <w:lang w:val="en-US" w:eastAsia="zh-CN"/>
        </w:rPr>
        <w:t>（图为节电宣传）</w:t>
      </w:r>
    </w:p>
    <w:p>
      <w:pPr>
        <w:pStyle w:val="2"/>
        <w:keepNext w:val="0"/>
        <w:keepLines w:val="0"/>
        <w:pageBreakBefore w:val="0"/>
        <w:kinsoku/>
        <w:wordWrap/>
        <w:overflowPunct/>
        <w:topLinePunct w:val="0"/>
        <w:autoSpaceDE/>
        <w:autoSpaceDN/>
        <w:bidi w:val="0"/>
        <w:spacing w:line="560" w:lineRule="exact"/>
        <w:ind w:left="0" w:leftChars="0" w:firstLine="640" w:firstLineChars="200"/>
        <w:jc w:val="both"/>
        <w:textAlignment w:val="auto"/>
        <w:rPr>
          <w:rFonts w:hint="eastAsia" w:ascii="楷体" w:hAnsi="楷体" w:eastAsia="楷体" w:cs="楷体"/>
          <w:sz w:val="32"/>
          <w:szCs w:val="32"/>
          <w:lang w:val="en-US" w:eastAsia="zh-CN"/>
        </w:rPr>
      </w:pPr>
      <w:bookmarkStart w:id="55" w:name="_Toc10422_WPSOffice_Level2"/>
      <w:r>
        <w:rPr>
          <w:rFonts w:hint="eastAsia" w:ascii="楷体" w:hAnsi="楷体" w:eastAsia="楷体" w:cs="楷体"/>
          <w:sz w:val="32"/>
          <w:szCs w:val="32"/>
          <w:lang w:val="en-US" w:eastAsia="zh-CN"/>
        </w:rPr>
        <w:t>7.4加强办公节约管理</w:t>
      </w:r>
      <w:bookmarkEnd w:id="55"/>
    </w:p>
    <w:p>
      <w:pPr>
        <w:pStyle w:val="2"/>
        <w:keepNext w:val="0"/>
        <w:keepLines w:val="0"/>
        <w:pageBreakBefore w:val="0"/>
        <w:kinsoku/>
        <w:wordWrap/>
        <w:overflowPunct/>
        <w:topLinePunct w:val="0"/>
        <w:autoSpaceDE/>
        <w:autoSpaceDN/>
        <w:bidi w:val="0"/>
        <w:spacing w:line="560" w:lineRule="exact"/>
        <w:ind w:left="0" w:leftChars="0" w:firstLine="640" w:firstLineChars="200"/>
        <w:jc w:val="both"/>
        <w:textAlignment w:val="auto"/>
        <w:rPr>
          <w:rFonts w:hint="eastAsia" w:ascii="仿宋_GB2312" w:hAnsi="BatangChe" w:eastAsia="仿宋_GB2312"/>
          <w:sz w:val="32"/>
          <w:szCs w:val="32"/>
          <w:lang w:val="en-US" w:eastAsia="zh-CN"/>
        </w:rPr>
      </w:pPr>
      <w:r>
        <w:rPr>
          <w:rFonts w:hint="eastAsia" w:ascii="仿宋_GB2312" w:hAnsi="BatangChe" w:eastAsia="仿宋_GB2312"/>
          <w:sz w:val="32"/>
          <w:szCs w:val="32"/>
          <w:lang w:val="en-US" w:eastAsia="zh-CN"/>
        </w:rPr>
        <w:t>严格执行办公物资领用登记制度，本着节约的原则领取、使用办公用品。大力倡导使用</w:t>
      </w:r>
      <w:r>
        <w:rPr>
          <w:rFonts w:ascii="仿宋_GB2312" w:hAnsi="BatangChe" w:eastAsia="仿宋_GB2312"/>
          <w:sz w:val="32"/>
          <w:szCs w:val="32"/>
        </w:rPr>
        <w:t>内联网功能</w:t>
      </w:r>
      <w:r>
        <w:rPr>
          <w:rFonts w:hint="eastAsia" w:ascii="仿宋_GB2312" w:hAnsi="BatangChe" w:eastAsia="仿宋_GB2312"/>
          <w:sz w:val="32"/>
          <w:szCs w:val="32"/>
          <w:lang w:val="en-US" w:eastAsia="zh-CN"/>
        </w:rPr>
        <w:t>，推行线上无纸化办公、双面打印，有效减少打印耗材纸张等一次性办公用品消耗。坚持保留笔壳更换笔芯，减少圆珠笔或一次性签字笔的使用量。</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both"/>
        <w:textAlignment w:val="auto"/>
        <w:rPr>
          <w:rFonts w:hint="eastAsia" w:ascii="仿宋_GB2312" w:hAnsi="BatangChe" w:eastAsia="仿宋_GB2312"/>
          <w:sz w:val="32"/>
          <w:szCs w:val="32"/>
          <w:lang w:val="en-US" w:eastAsia="zh-CN"/>
        </w:rPr>
      </w:pPr>
      <w:r>
        <w:rPr>
          <w:rFonts w:ascii="宋体" w:hAnsi="宋体" w:eastAsia="宋体" w:cs="宋体"/>
          <w:sz w:val="24"/>
          <w:szCs w:val="24"/>
        </w:rPr>
        <w:drawing>
          <wp:inline distT="0" distB="0" distL="114300" distR="114300">
            <wp:extent cx="4975860" cy="2445385"/>
            <wp:effectExtent l="0" t="0" r="15240" b="12065"/>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13"/>
                    <a:stretch>
                      <a:fillRect/>
                    </a:stretch>
                  </pic:blipFill>
                  <pic:spPr>
                    <a:xfrm>
                      <a:off x="0" y="0"/>
                      <a:ext cx="4975860" cy="2445385"/>
                    </a:xfrm>
                    <a:prstGeom prst="rect">
                      <a:avLst/>
                    </a:prstGeom>
                    <a:noFill/>
                    <a:ln w="9525">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（图为线上办公系统）</w:t>
      </w:r>
    </w:p>
    <w:p>
      <w:pPr>
        <w:pStyle w:val="2"/>
        <w:keepNext w:val="0"/>
        <w:keepLines w:val="0"/>
        <w:pageBreakBefore w:val="0"/>
        <w:kinsoku/>
        <w:wordWrap/>
        <w:overflowPunct/>
        <w:topLinePunct w:val="0"/>
        <w:autoSpaceDE/>
        <w:autoSpaceDN/>
        <w:bidi w:val="0"/>
        <w:spacing w:line="560" w:lineRule="exact"/>
        <w:ind w:left="0" w:leftChars="0" w:firstLine="640" w:firstLineChars="200"/>
        <w:jc w:val="both"/>
        <w:textAlignment w:val="auto"/>
        <w:rPr>
          <w:rFonts w:hint="eastAsia" w:ascii="楷体" w:hAnsi="楷体" w:eastAsia="楷体" w:cs="楷体"/>
          <w:sz w:val="32"/>
          <w:szCs w:val="32"/>
          <w:lang w:val="en-US" w:eastAsia="zh-CN"/>
        </w:rPr>
      </w:pPr>
      <w:bookmarkStart w:id="56" w:name="_Toc31949_WPSOffice_Level2"/>
      <w:r>
        <w:rPr>
          <w:rFonts w:hint="eastAsia" w:ascii="楷体" w:hAnsi="楷体" w:eastAsia="楷体" w:cs="楷体"/>
          <w:sz w:val="32"/>
          <w:szCs w:val="32"/>
          <w:lang w:val="en-US" w:eastAsia="zh-CN"/>
        </w:rPr>
        <w:t>7.5加强会议支出管理</w:t>
      </w:r>
      <w:bookmarkEnd w:id="56"/>
    </w:p>
    <w:p>
      <w:pPr>
        <w:pStyle w:val="2"/>
        <w:keepNext w:val="0"/>
        <w:keepLines w:val="0"/>
        <w:pageBreakBefore w:val="0"/>
        <w:kinsoku/>
        <w:wordWrap/>
        <w:overflowPunct/>
        <w:topLinePunct w:val="0"/>
        <w:autoSpaceDE/>
        <w:autoSpaceDN/>
        <w:bidi w:val="0"/>
        <w:spacing w:line="560" w:lineRule="exact"/>
        <w:ind w:left="0" w:leftChars="0" w:firstLine="640" w:firstLineChars="200"/>
        <w:jc w:val="both"/>
        <w:textAlignment w:val="auto"/>
        <w:rPr>
          <w:rFonts w:hint="eastAsia" w:ascii="仿宋_GB2312" w:hAnsi="BatangChe" w:eastAsia="仿宋_GB2312"/>
          <w:sz w:val="32"/>
          <w:szCs w:val="32"/>
          <w:lang w:val="en-US" w:eastAsia="zh-CN"/>
        </w:rPr>
      </w:pPr>
      <w:r>
        <w:rPr>
          <w:rFonts w:ascii="仿宋_GB2312" w:hAnsi="BatangChe" w:eastAsia="仿宋_GB2312"/>
          <w:sz w:val="32"/>
          <w:szCs w:val="32"/>
        </w:rPr>
        <w:t>精简会议，提升会议质量，</w:t>
      </w:r>
      <w:r>
        <w:rPr>
          <w:rFonts w:hint="eastAsia" w:ascii="仿宋_GB2312" w:hAnsi="BatangChe" w:eastAsia="仿宋_GB2312"/>
          <w:sz w:val="32"/>
          <w:szCs w:val="32"/>
          <w:lang w:val="en-US" w:eastAsia="zh-CN"/>
        </w:rPr>
        <w:t>充分运用电视电话等方式召开会议，</w:t>
      </w:r>
      <w:r>
        <w:rPr>
          <w:rFonts w:ascii="仿宋_GB2312" w:hAnsi="BatangChe" w:eastAsia="仿宋_GB2312"/>
          <w:sz w:val="32"/>
          <w:szCs w:val="32"/>
        </w:rPr>
        <w:t>减少不必要的出差旅行，降低会议成本</w:t>
      </w:r>
      <w:r>
        <w:rPr>
          <w:rFonts w:hint="eastAsia" w:ascii="仿宋_GB2312" w:hAnsi="BatangChe" w:eastAsia="仿宋_GB2312"/>
          <w:sz w:val="32"/>
          <w:szCs w:val="32"/>
          <w:lang w:val="en-US" w:eastAsia="zh-CN"/>
        </w:rPr>
        <w:t>。按照节俭高效原则组织举办各类会议，从严控制会议数量、会期、参会人员规模，严格会议开支范围、开支标准。</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640" w:firstLineChars="200"/>
        <w:jc w:val="both"/>
        <w:textAlignment w:val="auto"/>
        <w:rPr>
          <w:rFonts w:hint="eastAsia" w:ascii="仿宋_GB2312" w:hAnsi="BatangChe" w:eastAsia="仿宋_GB2312"/>
          <w:sz w:val="32"/>
          <w:szCs w:val="32"/>
          <w:lang w:val="en-US" w:eastAsia="zh-CN"/>
        </w:rPr>
      </w:pPr>
      <w:r>
        <w:rPr>
          <w:rFonts w:hint="eastAsia" w:ascii="仿宋_GB2312" w:hAnsi="BatangChe" w:eastAsia="仿宋_GB2312"/>
          <w:sz w:val="32"/>
          <w:szCs w:val="32"/>
          <w:lang w:val="en-US" w:eastAsia="zh-CN"/>
        </w:rPr>
        <w:drawing>
          <wp:inline distT="0" distB="0" distL="114300" distR="114300">
            <wp:extent cx="4838700" cy="2562225"/>
            <wp:effectExtent l="0" t="0" r="0" b="9525"/>
            <wp:docPr id="24" name="图片 24" descr="65c60853d5c0d212b0d966d6f03a82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5c60853d5c0d212b0d966d6f03a821e"/>
                    <pic:cNvPicPr>
                      <a:picLocks noChangeAspect="1"/>
                    </pic:cNvPicPr>
                  </pic:nvPicPr>
                  <pic:blipFill>
                    <a:blip r:embed="rId14"/>
                    <a:stretch>
                      <a:fillRect/>
                    </a:stretch>
                  </pic:blipFill>
                  <pic:spPr>
                    <a:xfrm>
                      <a:off x="0" y="0"/>
                      <a:ext cx="4838700" cy="2562225"/>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（图为视频会现场）</w:t>
      </w:r>
    </w:p>
    <w:p>
      <w:pPr>
        <w:pStyle w:val="2"/>
        <w:keepNext w:val="0"/>
        <w:keepLines w:val="0"/>
        <w:pageBreakBefore w:val="0"/>
        <w:kinsoku/>
        <w:wordWrap/>
        <w:overflowPunct/>
        <w:topLinePunct w:val="0"/>
        <w:autoSpaceDE/>
        <w:autoSpaceDN/>
        <w:bidi w:val="0"/>
        <w:spacing w:line="560" w:lineRule="exact"/>
        <w:ind w:left="0" w:leftChars="0" w:firstLine="640" w:firstLineChars="200"/>
        <w:jc w:val="both"/>
        <w:textAlignment w:val="auto"/>
        <w:rPr>
          <w:rFonts w:hint="eastAsia" w:ascii="楷体" w:hAnsi="楷体" w:eastAsia="楷体" w:cs="楷体"/>
          <w:sz w:val="32"/>
          <w:szCs w:val="32"/>
        </w:rPr>
      </w:pPr>
      <w:bookmarkStart w:id="57" w:name="_Toc21603_WPSOffice_Level2"/>
      <w:r>
        <w:rPr>
          <w:rFonts w:hint="eastAsia" w:ascii="楷体" w:hAnsi="楷体" w:eastAsia="楷体" w:cs="楷体"/>
          <w:sz w:val="32"/>
          <w:szCs w:val="32"/>
          <w:lang w:val="en-US" w:eastAsia="zh-CN"/>
        </w:rPr>
        <w:t>7.6加强用车节约</w:t>
      </w:r>
      <w:r>
        <w:rPr>
          <w:rFonts w:hint="eastAsia" w:ascii="楷体" w:hAnsi="楷体" w:eastAsia="楷体" w:cs="楷体"/>
          <w:sz w:val="32"/>
          <w:szCs w:val="32"/>
        </w:rPr>
        <w:t>管理</w:t>
      </w:r>
      <w:bookmarkEnd w:id="57"/>
    </w:p>
    <w:p>
      <w:pPr>
        <w:pStyle w:val="2"/>
        <w:keepNext w:val="0"/>
        <w:keepLines w:val="0"/>
        <w:pageBreakBefore w:val="0"/>
        <w:kinsoku/>
        <w:wordWrap/>
        <w:overflowPunct/>
        <w:topLinePunct w:val="0"/>
        <w:autoSpaceDE/>
        <w:autoSpaceDN/>
        <w:bidi w:val="0"/>
        <w:spacing w:line="560" w:lineRule="exact"/>
        <w:ind w:left="0" w:leftChars="0" w:firstLine="640" w:firstLineChars="200"/>
        <w:jc w:val="both"/>
        <w:textAlignment w:val="auto"/>
        <w:rPr>
          <w:rFonts w:ascii="宋体" w:hAnsi="宋体"/>
          <w:szCs w:val="21"/>
        </w:rPr>
      </w:pPr>
      <w:r>
        <w:rPr>
          <w:rFonts w:ascii="仿宋_GB2312" w:hAnsi="BatangChe" w:eastAsia="仿宋_GB2312"/>
          <w:sz w:val="32"/>
          <w:szCs w:val="32"/>
        </w:rPr>
        <w:t>坚持派车审批单制度，严禁公车私用。统筹用车计划，合理合并出行派车，减少多车同地外派。鼓励员工树立科学节能意识，提倡低碳出行。</w:t>
      </w:r>
    </w:p>
    <w:p>
      <w:pPr>
        <w:pStyle w:val="2"/>
        <w:keepNext w:val="0"/>
        <w:keepLines w:val="0"/>
        <w:pageBreakBefore w:val="0"/>
        <w:kinsoku/>
        <w:wordWrap/>
        <w:overflowPunct/>
        <w:topLinePunct w:val="0"/>
        <w:autoSpaceDE/>
        <w:autoSpaceDN/>
        <w:bidi w:val="0"/>
        <w:spacing w:line="560" w:lineRule="exact"/>
        <w:ind w:left="0" w:leftChars="0" w:firstLine="640" w:firstLineChars="200"/>
        <w:textAlignment w:val="auto"/>
        <w:rPr>
          <w:rFonts w:hint="eastAsia" w:ascii="黑体" w:hAnsi="黑体" w:eastAsia="黑体" w:cs="黑体"/>
          <w:kern w:val="2"/>
          <w:sz w:val="32"/>
          <w:szCs w:val="32"/>
          <w:lang w:val="en-US" w:eastAsia="zh-CN" w:bidi="ar-SA"/>
        </w:rPr>
      </w:pPr>
      <w:bookmarkStart w:id="58" w:name="_Toc11580_WPSOffice_Level1"/>
      <w:r>
        <w:rPr>
          <w:rFonts w:hint="eastAsia" w:ascii="黑体" w:hAnsi="黑体" w:eastAsia="黑体" w:cs="黑体"/>
          <w:kern w:val="2"/>
          <w:sz w:val="32"/>
          <w:szCs w:val="32"/>
          <w:lang w:val="en-US" w:eastAsia="zh-CN" w:bidi="ar-SA"/>
        </w:rPr>
        <w:t>8.数据梳理、校验及保护</w:t>
      </w:r>
      <w:bookmarkEnd w:id="58"/>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楷体" w:hAnsi="楷体" w:eastAsia="楷体" w:cs="楷体"/>
          <w:kern w:val="2"/>
          <w:sz w:val="32"/>
          <w:szCs w:val="32"/>
          <w:lang w:val="en-US" w:eastAsia="zh-CN" w:bidi="ar-SA"/>
        </w:rPr>
      </w:pPr>
      <w:bookmarkStart w:id="59" w:name="_Toc14852_WPSOffice_Level2"/>
      <w:r>
        <w:rPr>
          <w:rFonts w:hint="eastAsia" w:ascii="楷体" w:hAnsi="楷体" w:eastAsia="楷体" w:cs="楷体"/>
          <w:kern w:val="2"/>
          <w:sz w:val="32"/>
          <w:szCs w:val="32"/>
          <w:lang w:val="en-US" w:eastAsia="zh-CN" w:bidi="ar-SA"/>
        </w:rPr>
        <w:t>8.1信息安全基本情况</w:t>
      </w:r>
      <w:bookmarkEnd w:id="59"/>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我行机房安装得有机房精密空调、柜式空调和中央空调（制冷时可用），保障机房温度在21±2℃，精密空调在市电恢复时可自动启动并达到设计的温度。我行使用的核心系统都由省联社统一开发和管理，重要的系统和网络都有双机备份，避免单点隐患。</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信息安全制度及管理体系建设情况根据《贵州镇远农村商业银行股份有限公司信息科技管理委员会工作细则》（镇农商银发〔2019〕154号）第八条及《关于成立镇远农村商业银行信息科技风险管理委员会的通知》（镇农商银发〔2019〕106号）第十一条，明确了董事会承担贵州镇远农村商业银行股份有限公司信息科技风险管理的最终职责；明确了法定代表人本机构信息科技风险管理的第一责任人。建立了信息科技管理相关工作制度。如《贵州镇远农村商业银行股份有限公司计算机信息系统安全管理暂行办法》（镇农商银发〔2019〕107号）等。</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防火墙等安全控制策略按省联社业务需求进行了有效控制。</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楷体" w:hAnsi="楷体" w:eastAsia="楷体" w:cs="楷体"/>
          <w:kern w:val="2"/>
          <w:sz w:val="32"/>
          <w:szCs w:val="32"/>
          <w:lang w:val="en-US" w:eastAsia="zh-CN" w:bidi="ar-SA"/>
        </w:rPr>
      </w:pPr>
      <w:bookmarkStart w:id="60" w:name="_Toc19491_WPSOffice_Level2"/>
      <w:r>
        <w:rPr>
          <w:rFonts w:hint="eastAsia" w:ascii="楷体" w:hAnsi="楷体" w:eastAsia="楷体" w:cs="楷体"/>
          <w:kern w:val="2"/>
          <w:sz w:val="32"/>
          <w:szCs w:val="32"/>
          <w:lang w:val="en-US" w:eastAsia="zh-CN" w:bidi="ar-SA"/>
        </w:rPr>
        <w:t>8.2运维管理情况</w:t>
      </w:r>
      <w:bookmarkEnd w:id="60"/>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根据《关于明确信息科技相关岗位人员的通知》（镇农商银发〔2019〕12号），我行明确了“系统管理岗位、网络管理岗位、运行维护岗位”岗位职责；建立有运维工作日志，并对运维处理进行了详细记录；建立了《前置系统维护检查登记簿》；在《设备运行日志》上每日详细记录设备运行情况；建立了《外来人员出入机房登记簿》并认真登记；机房实行工作日值班制度，周末及节假日指定人员值班；严格管理对主机资源的访问控制，禁止非授权人员登录主机进行访问。</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楷体" w:hAnsi="楷体" w:eastAsia="楷体" w:cs="楷体"/>
          <w:kern w:val="2"/>
          <w:sz w:val="32"/>
          <w:szCs w:val="32"/>
          <w:lang w:val="en-US" w:eastAsia="zh-CN" w:bidi="ar-SA"/>
        </w:rPr>
      </w:pPr>
      <w:bookmarkStart w:id="61" w:name="_Toc29741_WPSOffice_Level2"/>
      <w:r>
        <w:rPr>
          <w:rFonts w:hint="eastAsia" w:ascii="楷体" w:hAnsi="楷体" w:eastAsia="楷体" w:cs="楷体"/>
          <w:kern w:val="2"/>
          <w:sz w:val="32"/>
          <w:szCs w:val="32"/>
          <w:lang w:val="en-US" w:eastAsia="zh-CN" w:bidi="ar-SA"/>
        </w:rPr>
        <w:t>8.3终端安全管理情况</w:t>
      </w:r>
      <w:bookmarkEnd w:id="61"/>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（1）准入控制情况。根据省联社统一部署的桌面安全系统作终端准入控制。</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（2）终端接入情况。需要接入内网的终端必须进行认</w:t>
      </w:r>
    </w:p>
    <w:p>
      <w:pPr>
        <w:keepNext w:val="0"/>
        <w:keepLines w:val="0"/>
        <w:pageBreakBefore w:val="0"/>
        <w:kinsoku/>
        <w:wordWrap/>
        <w:overflowPunct/>
        <w:topLinePunct w:val="0"/>
        <w:autoSpaceDE/>
        <w:autoSpaceDN/>
        <w:bidi w:val="0"/>
        <w:spacing w:line="560" w:lineRule="exact"/>
        <w:ind w:left="0" w:leftChars="0" w:firstLine="0" w:firstLineChars="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证。</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（3）终端软件安装情况。对可以安装软件的机子已安</w:t>
      </w:r>
    </w:p>
    <w:p>
      <w:pPr>
        <w:keepNext w:val="0"/>
        <w:keepLines w:val="0"/>
        <w:pageBreakBefore w:val="0"/>
        <w:kinsoku/>
        <w:wordWrap/>
        <w:overflowPunct/>
        <w:topLinePunct w:val="0"/>
        <w:autoSpaceDE/>
        <w:autoSpaceDN/>
        <w:bidi w:val="0"/>
        <w:spacing w:line="560" w:lineRule="exact"/>
        <w:ind w:left="0" w:leftChars="0" w:firstLine="0" w:firstLineChars="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装，对安装不了的，进行MAC认证。</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楷体" w:hAnsi="楷体" w:eastAsia="楷体" w:cs="楷体"/>
          <w:kern w:val="2"/>
          <w:sz w:val="32"/>
          <w:szCs w:val="32"/>
          <w:lang w:val="en-US" w:eastAsia="zh-CN" w:bidi="ar-SA"/>
        </w:rPr>
      </w:pPr>
      <w:bookmarkStart w:id="62" w:name="_Toc10893_WPSOffice_Level2"/>
      <w:r>
        <w:rPr>
          <w:rFonts w:hint="eastAsia" w:ascii="楷体" w:hAnsi="楷体" w:eastAsia="楷体" w:cs="楷体"/>
          <w:kern w:val="2"/>
          <w:sz w:val="32"/>
          <w:szCs w:val="32"/>
          <w:lang w:val="en-US" w:eastAsia="zh-CN" w:bidi="ar-SA"/>
        </w:rPr>
        <w:t>8.4应急预案与演练情况</w:t>
      </w:r>
      <w:bookmarkEnd w:id="62"/>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制定了信息科技系统故障相关应急预案。相关文件：《贵州镇远农村商业银行股份有限公司业务连续性应急预案》（镇农商银发〔2020〕106号）、《贵州镇远农村商业银行股份有限公司自助设备突发事件应急预案》（镇农商银发〔2019〕141号）、《贵州镇远农村商业银行股份有限公司信息科技突发事件应急风险管理政策》（镇农商银发〔2019〕156号），《贵州镇远农村商业银行股份有限公司信息科技应急预案》（镇农商银发〔2022〕323号），根据《关于进一步加强网络安全管理的通知》（黔农信科技〔2022〕13号）、《黔关于做好2022年统一支付平台灾备切换演练相关工作的通知》（农信风险〔2022〕20号），我行于2022年8月18和2022年12月3日-5日分别做了网络安全、网络切换、信息安全、参加省联社统一支付平台灾备切换等演练。</w:t>
      </w:r>
    </w:p>
    <w:p>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黑体" w:hAnsi="黑体" w:eastAsia="黑体" w:cs="黑体"/>
          <w:kern w:val="2"/>
          <w:sz w:val="32"/>
          <w:szCs w:val="32"/>
          <w:lang w:val="en-US" w:eastAsia="zh-CN" w:bidi="ar-SA"/>
        </w:rPr>
      </w:pPr>
      <w:bookmarkStart w:id="63" w:name="_Toc23898_WPSOffice_Level1"/>
      <w:r>
        <w:rPr>
          <w:rFonts w:hint="eastAsia" w:ascii="黑体" w:hAnsi="黑体" w:eastAsia="黑体" w:cs="黑体"/>
          <w:b w:val="0"/>
          <w:bCs w:val="0"/>
          <w:sz w:val="32"/>
          <w:szCs w:val="32"/>
          <w:lang w:val="en-US" w:eastAsia="zh-CN"/>
        </w:rPr>
        <w:t>9.</w:t>
      </w:r>
      <w:r>
        <w:rPr>
          <w:rFonts w:hint="eastAsia" w:ascii="黑体" w:hAnsi="黑体" w:eastAsia="黑体" w:cs="黑体"/>
          <w:b w:val="0"/>
          <w:bCs w:val="0"/>
          <w:sz w:val="32"/>
          <w:szCs w:val="32"/>
        </w:rPr>
        <w:t>绿色金融典型案</w:t>
      </w:r>
      <w:r>
        <w:rPr>
          <w:rFonts w:hint="eastAsia" w:ascii="黑体" w:hAnsi="黑体" w:eastAsia="黑体" w:cs="黑体"/>
          <w:b w:val="0"/>
          <w:bCs w:val="0"/>
          <w:sz w:val="32"/>
          <w:szCs w:val="32"/>
          <w:lang w:val="en-US" w:eastAsia="zh-CN"/>
        </w:rPr>
        <w:t>例</w:t>
      </w:r>
      <w:bookmarkEnd w:id="63"/>
    </w:p>
    <w:p>
      <w:pPr>
        <w:keepNext w:val="0"/>
        <w:keepLines w:val="0"/>
        <w:pageBreakBefore w:val="0"/>
        <w:kinsoku/>
        <w:wordWrap/>
        <w:overflowPunct/>
        <w:topLinePunct w:val="0"/>
        <w:autoSpaceDE/>
        <w:autoSpaceDN/>
        <w:bidi w:val="0"/>
        <w:spacing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highlight w:val="none"/>
        </w:rPr>
        <w:t>促进可再生能源及清洁能源项目发展，我行累计支持镇远县城市公交有限责任公司信贷资金</w:t>
      </w:r>
      <w:r>
        <w:rPr>
          <w:rFonts w:hint="eastAsia" w:ascii="仿宋_GB2312" w:hAnsi="仿宋_GB2312" w:eastAsia="仿宋_GB2312" w:cs="仿宋_GB2312"/>
          <w:sz w:val="32"/>
          <w:szCs w:val="32"/>
          <w:highlight w:val="none"/>
          <w:lang w:val="en-US" w:eastAsia="zh-CN"/>
        </w:rPr>
        <w:t>1770</w:t>
      </w:r>
      <w:r>
        <w:rPr>
          <w:rFonts w:hint="eastAsia" w:ascii="仿宋_GB2312" w:hAnsi="仿宋_GB2312" w:eastAsia="仿宋_GB2312" w:cs="仿宋_GB2312"/>
          <w:sz w:val="32"/>
          <w:szCs w:val="32"/>
          <w:highlight w:val="none"/>
        </w:rPr>
        <w:t>万元，贷款余额为</w:t>
      </w:r>
      <w:r>
        <w:rPr>
          <w:rFonts w:hint="eastAsia" w:ascii="仿宋_GB2312" w:hAnsi="仿宋_GB2312" w:eastAsia="仿宋_GB2312" w:cs="仿宋_GB2312"/>
          <w:sz w:val="32"/>
          <w:szCs w:val="32"/>
          <w:highlight w:val="none"/>
          <w:lang w:val="en-US" w:eastAsia="zh-CN"/>
        </w:rPr>
        <w:t>670</w:t>
      </w:r>
      <w:r>
        <w:rPr>
          <w:rFonts w:hint="eastAsia" w:ascii="仿宋_GB2312" w:hAnsi="仿宋_GB2312" w:eastAsia="仿宋_GB2312" w:cs="仿宋_GB2312"/>
          <w:sz w:val="32"/>
          <w:szCs w:val="32"/>
          <w:highlight w:val="none"/>
        </w:rPr>
        <w:t>万元，</w:t>
      </w:r>
      <w:bookmarkStart w:id="65" w:name="_GoBack"/>
      <w:bookmarkEnd w:id="65"/>
      <w:r>
        <w:rPr>
          <w:rFonts w:hint="eastAsia" w:ascii="仿宋_GB2312" w:hAnsi="仿宋_GB2312" w:eastAsia="仿宋_GB2312" w:cs="仿宋_GB2312"/>
          <w:sz w:val="32"/>
          <w:szCs w:val="32"/>
        </w:rPr>
        <w:t>用于购买新能源电动公交车和建设一个综合充电站等配套设施，根据镇府函〔2017〕197号镇远县人民政府关于镇远古城创建5A旅游景区公交运营实施方案的批复，为推动我县旅游发展合理衔接文德关旅游接待中心、芽溪旅游接待中心、东关上旅游接待中心游客乘车便捷，采取公交线路延伸方式运行，该绿色能源公交车的采购，有效减少污染物及碳排量的减少，保护古城美丽蓝天起到较大作用，有效地促进可再生能源及清洁能源项目的发展。</w:t>
      </w:r>
    </w:p>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420" w:firstLineChars="200"/>
        <w:jc w:val="center"/>
        <w:textAlignment w:val="auto"/>
      </w:pPr>
      <w:r>
        <w:rPr>
          <w:rFonts w:hint="eastAsia"/>
        </w:rPr>
        <w:drawing>
          <wp:inline distT="0" distB="0" distL="114300" distR="114300">
            <wp:extent cx="4578985" cy="3061335"/>
            <wp:effectExtent l="0" t="0" r="12065" b="5715"/>
            <wp:docPr id="14" name="图片 18" descr="纯电动公交车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纯电动公交车2"/>
                    <pic:cNvPicPr>
                      <a:picLocks noChangeAspect="1"/>
                    </pic:cNvPicPr>
                  </pic:nvPicPr>
                  <pic:blipFill>
                    <a:blip r:embed="rId15"/>
                    <a:stretch>
                      <a:fillRect/>
                    </a:stretch>
                  </pic:blipFill>
                  <pic:spPr>
                    <a:xfrm>
                      <a:off x="0" y="0"/>
                      <a:ext cx="4578985" cy="3061335"/>
                    </a:xfrm>
                    <a:prstGeom prst="rect">
                      <a:avLst/>
                    </a:prstGeom>
                    <a:noFill/>
                    <a:ln>
                      <a:noFill/>
                    </a:ln>
                  </pic:spPr>
                </pic:pic>
              </a:graphicData>
            </a:graphic>
          </wp:inline>
        </w:drawing>
      </w:r>
    </w:p>
    <w:p>
      <w:pPr>
        <w:pStyle w:val="2"/>
        <w:keepNext w:val="0"/>
        <w:keepLines w:val="0"/>
        <w:pageBreakBefore w:val="0"/>
        <w:kinsoku/>
        <w:wordWrap/>
        <w:overflowPunct/>
        <w:topLinePunct w:val="0"/>
        <w:autoSpaceDE/>
        <w:autoSpaceDN/>
        <w:bidi w:val="0"/>
        <w:spacing w:line="560" w:lineRule="exact"/>
        <w:ind w:left="0" w:leftChars="0" w:firstLine="420" w:firstLineChars="200"/>
        <w:jc w:val="center"/>
        <w:textAlignment w:val="auto"/>
      </w:pPr>
      <w:r>
        <w:rPr>
          <w:rFonts w:hint="eastAsia" w:ascii="楷体" w:hAnsi="楷体" w:eastAsia="楷体" w:cs="楷体"/>
        </w:rPr>
        <w:t>（图为镇远县公交公司购买的纯电动车）</w:t>
      </w:r>
    </w:p>
    <w:p>
      <w:pPr>
        <w:pStyle w:val="10"/>
        <w:keepNext w:val="0"/>
        <w:keepLines w:val="0"/>
        <w:pageBreakBefore w:val="0"/>
        <w:widowControl/>
        <w:tabs>
          <w:tab w:val="left" w:pos="0"/>
          <w:tab w:val="left" w:pos="1746"/>
          <w:tab w:val="clear" w:pos="916"/>
          <w:tab w:val="clear" w:pos="1832"/>
          <w:tab w:val="clear" w:pos="3664"/>
          <w:tab w:val="clear" w:pos="5496"/>
          <w:tab w:val="clear" w:pos="7328"/>
          <w:tab w:val="clear" w:pos="9160"/>
          <w:tab w:val="clear" w:pos="10992"/>
          <w:tab w:val="clear" w:pos="12824"/>
          <w:tab w:val="clear" w:pos="14656"/>
        </w:tabs>
        <w:kinsoku/>
        <w:wordWrap/>
        <w:overflowPunct/>
        <w:topLinePunct w:val="0"/>
        <w:autoSpaceDE/>
        <w:autoSpaceDN/>
        <w:bidi w:val="0"/>
        <w:adjustRightInd w:val="0"/>
        <w:spacing w:line="560" w:lineRule="exact"/>
        <w:ind w:firstLine="640" w:firstLineChars="200"/>
        <w:jc w:val="both"/>
        <w:textAlignment w:val="auto"/>
        <w:rPr>
          <w:rFonts w:hint="default" w:ascii="仿宋_GB2312" w:hAnsi="仿宋_GB2312" w:eastAsia="仿宋_GB2312" w:cs="仿宋_GB2312"/>
          <w:kern w:val="2"/>
          <w:sz w:val="32"/>
          <w:szCs w:val="32"/>
        </w:rPr>
      </w:pPr>
      <w:bookmarkStart w:id="64" w:name="_Toc32047_WPSOffice_Level1"/>
      <w:r>
        <w:rPr>
          <w:rFonts w:hint="eastAsia" w:ascii="黑体" w:hAnsi="黑体" w:eastAsia="黑体"/>
          <w:bCs/>
          <w:kern w:val="2"/>
          <w:sz w:val="32"/>
          <w:szCs w:val="32"/>
          <w:lang w:val="en-US" w:eastAsia="zh-CN"/>
        </w:rPr>
        <w:t>10.</w:t>
      </w:r>
      <w:r>
        <w:rPr>
          <w:rFonts w:ascii="黑体" w:hAnsi="黑体" w:eastAsia="黑体"/>
          <w:bCs/>
          <w:kern w:val="2"/>
          <w:sz w:val="32"/>
          <w:szCs w:val="32"/>
        </w:rPr>
        <w:t>绿色金融创新及研究成果</w:t>
      </w:r>
      <w:bookmarkEnd w:id="64"/>
    </w:p>
    <w:p>
      <w:pPr>
        <w:keepNext w:val="0"/>
        <w:keepLines w:val="0"/>
        <w:pageBreakBefore w:val="0"/>
        <w:kinsoku/>
        <w:wordWrap/>
        <w:overflowPunct/>
        <w:topLinePunct w:val="0"/>
        <w:autoSpaceDE/>
        <w:autoSpaceDN/>
        <w:bidi w:val="0"/>
        <w:spacing w:line="560" w:lineRule="exact"/>
        <w:ind w:firstLine="640" w:firstLineChars="200"/>
        <w:jc w:val="left"/>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近年来，镇远农商银行在省联社框架内</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围绕绿色经济需求和绿色金融业务难点痛点以绿色评级、环境风险管理等场景重点，推进数字技术深度应用，依托</w:t>
      </w:r>
      <w:r>
        <w:rPr>
          <w:rFonts w:hint="eastAsia" w:ascii="仿宋_GB2312" w:hAnsi="仿宋_GB2312" w:eastAsia="仿宋_GB2312" w:cs="仿宋_GB2312"/>
          <w:sz w:val="32"/>
          <w:szCs w:val="32"/>
          <w:lang w:eastAsia="zh-CN"/>
        </w:rPr>
        <w:t>省联社系统</w:t>
      </w:r>
      <w:r>
        <w:rPr>
          <w:rFonts w:hint="eastAsia" w:ascii="仿宋_GB2312" w:hAnsi="仿宋_GB2312" w:eastAsia="仿宋_GB2312" w:cs="仿宋_GB2312"/>
          <w:sz w:val="32"/>
          <w:szCs w:val="32"/>
        </w:rPr>
        <w:t>，推行手机银行、网上银行转账全免费，推出“黔农e付”收单产品，提供便利的绿色金融服务。</w:t>
      </w:r>
    </w:p>
    <w:p>
      <w:pPr>
        <w:pStyle w:val="2"/>
        <w:ind w:left="0" w:leftChars="0" w:firstLine="0" w:firstLineChars="0"/>
        <w:rPr>
          <w:rFonts w:ascii="仿宋_GB2312" w:hAnsi="仿宋_GB2312" w:eastAsia="仿宋_GB2312" w:cs="仿宋_GB2312"/>
          <w:sz w:val="32"/>
          <w:szCs w:val="32"/>
        </w:rPr>
      </w:pPr>
    </w:p>
    <w:sectPr>
      <w:footerReference r:id="rId4"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BatangChe">
    <w:panose1 w:val="02030609000101010101"/>
    <w:charset w:val="81"/>
    <w:family w:val="modern"/>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宋体" w:hAnsi="宋体" w:eastAsia="宋体" w:cs="宋体"/>
                              <w:sz w:val="28"/>
                              <w:szCs w:val="28"/>
                              <w:lang w:eastAsia="zh-CN"/>
                            </w:rPr>
                          </w:pPr>
                          <w:r>
                            <w:rPr>
                              <w:rFonts w:hint="eastAsia" w:ascii="宋体" w:hAnsi="宋体" w:cs="宋体"/>
                              <w:sz w:val="28"/>
                              <w:szCs w:val="28"/>
                              <w:lang w:eastAsia="zh-CN"/>
                            </w:rPr>
                            <w:t xml:space="preserve">— </w:t>
                          </w: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rPr>
                              <w:rFonts w:hint="eastAsia" w:ascii="宋体" w:hAnsi="宋体" w:cs="宋体"/>
                              <w:sz w:val="28"/>
                              <w:szCs w:val="28"/>
                              <w:lang w:eastAsia="zh-CN"/>
                            </w:rPr>
                            <w:t>1</w:t>
                          </w:r>
                          <w:r>
                            <w:rPr>
                              <w:rFonts w:hint="eastAsia" w:ascii="宋体" w:hAnsi="宋体" w:cs="宋体"/>
                              <w:sz w:val="28"/>
                              <w:szCs w:val="28"/>
                              <w:lang w:eastAsia="zh-CN"/>
                            </w:rPr>
                            <w:fldChar w:fldCharType="end"/>
                          </w:r>
                          <w:r>
                            <w:rPr>
                              <w:rFonts w:hint="eastAsia" w:ascii="宋体" w:hAnsi="宋体" w:cs="宋体"/>
                              <w:sz w:val="28"/>
                              <w:szCs w:val="28"/>
                              <w:lang w:eastAsia="zh-CN"/>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fill on="f" focussize="0,0"/>
              <v:stroke on="f" weight="0.5pt"/>
              <v:imagedata o:title=""/>
              <o:lock v:ext="edit" aspectratio="f"/>
              <v:textbox inset="0mm,0mm,0mm,0mm" style="mso-fit-shape-to-text:t;">
                <w:txbxContent>
                  <w:p>
                    <w:pPr>
                      <w:pStyle w:val="7"/>
                      <w:rPr>
                        <w:rFonts w:hint="eastAsia" w:ascii="宋体" w:hAnsi="宋体" w:eastAsia="宋体" w:cs="宋体"/>
                        <w:sz w:val="28"/>
                        <w:szCs w:val="28"/>
                        <w:lang w:eastAsia="zh-CN"/>
                      </w:rPr>
                    </w:pPr>
                    <w:r>
                      <w:rPr>
                        <w:rFonts w:hint="eastAsia" w:ascii="宋体" w:hAnsi="宋体" w:cs="宋体"/>
                        <w:sz w:val="28"/>
                        <w:szCs w:val="28"/>
                        <w:lang w:eastAsia="zh-CN"/>
                      </w:rPr>
                      <w:t xml:space="preserve">— </w:t>
                    </w: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rPr>
                        <w:rFonts w:hint="eastAsia" w:ascii="宋体" w:hAnsi="宋体" w:cs="宋体"/>
                        <w:sz w:val="28"/>
                        <w:szCs w:val="28"/>
                        <w:lang w:eastAsia="zh-CN"/>
                      </w:rPr>
                      <w:t>1</w:t>
                    </w:r>
                    <w:r>
                      <w:rPr>
                        <w:rFonts w:hint="eastAsia" w:ascii="宋体" w:hAnsi="宋体" w:cs="宋体"/>
                        <w:sz w:val="28"/>
                        <w:szCs w:val="28"/>
                        <w:lang w:eastAsia="zh-CN"/>
                      </w:rPr>
                      <w:fldChar w:fldCharType="end"/>
                    </w:r>
                    <w:r>
                      <w:rPr>
                        <w:rFonts w:hint="eastAsia" w:ascii="宋体" w:hAnsi="宋体" w:cs="宋体"/>
                        <w:sz w:val="28"/>
                        <w:szCs w:val="28"/>
                        <w:lang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22"/>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RjMmJiNWIwMDk1ZWNkMjhjMzE4MDA3M2Y5NDRjOWIifQ=="/>
  </w:docVars>
  <w:rsids>
    <w:rsidRoot w:val="00745F5F"/>
    <w:rsid w:val="000A4622"/>
    <w:rsid w:val="001B223C"/>
    <w:rsid w:val="00294959"/>
    <w:rsid w:val="00381040"/>
    <w:rsid w:val="003D58EC"/>
    <w:rsid w:val="00407D2D"/>
    <w:rsid w:val="00584CC8"/>
    <w:rsid w:val="00700CA1"/>
    <w:rsid w:val="00745F5F"/>
    <w:rsid w:val="00757B9E"/>
    <w:rsid w:val="008828BA"/>
    <w:rsid w:val="008B4CF3"/>
    <w:rsid w:val="009D0EA3"/>
    <w:rsid w:val="009E5347"/>
    <w:rsid w:val="00BC7820"/>
    <w:rsid w:val="00C507D3"/>
    <w:rsid w:val="00CD446E"/>
    <w:rsid w:val="00EB5ACE"/>
    <w:rsid w:val="00ED1E2A"/>
    <w:rsid w:val="00EF6F77"/>
    <w:rsid w:val="01010FC3"/>
    <w:rsid w:val="014D4997"/>
    <w:rsid w:val="01620DD0"/>
    <w:rsid w:val="016421EF"/>
    <w:rsid w:val="0167398B"/>
    <w:rsid w:val="016C71F3"/>
    <w:rsid w:val="01A64901"/>
    <w:rsid w:val="01DE1773"/>
    <w:rsid w:val="022573A2"/>
    <w:rsid w:val="022655F4"/>
    <w:rsid w:val="02296E92"/>
    <w:rsid w:val="02641C78"/>
    <w:rsid w:val="02743E6F"/>
    <w:rsid w:val="027F6AB2"/>
    <w:rsid w:val="02987B74"/>
    <w:rsid w:val="029E162E"/>
    <w:rsid w:val="03127926"/>
    <w:rsid w:val="038C4FAB"/>
    <w:rsid w:val="03C350C4"/>
    <w:rsid w:val="03C36E72"/>
    <w:rsid w:val="03EE3EEF"/>
    <w:rsid w:val="04335DA6"/>
    <w:rsid w:val="047B33C7"/>
    <w:rsid w:val="05B747B5"/>
    <w:rsid w:val="05F872A7"/>
    <w:rsid w:val="0664493D"/>
    <w:rsid w:val="068154EF"/>
    <w:rsid w:val="068A7E47"/>
    <w:rsid w:val="06D01FD2"/>
    <w:rsid w:val="06D77159"/>
    <w:rsid w:val="07020469"/>
    <w:rsid w:val="07145B22"/>
    <w:rsid w:val="07342561"/>
    <w:rsid w:val="075239E7"/>
    <w:rsid w:val="07893F2F"/>
    <w:rsid w:val="080D0720"/>
    <w:rsid w:val="08193505"/>
    <w:rsid w:val="087A1DBC"/>
    <w:rsid w:val="088766C0"/>
    <w:rsid w:val="09594501"/>
    <w:rsid w:val="0A3E7253"/>
    <w:rsid w:val="0A420DCF"/>
    <w:rsid w:val="0AA67E90"/>
    <w:rsid w:val="0AEE0C79"/>
    <w:rsid w:val="0AF02C43"/>
    <w:rsid w:val="0B993DEF"/>
    <w:rsid w:val="0BE300B2"/>
    <w:rsid w:val="0C0D512F"/>
    <w:rsid w:val="0C594818"/>
    <w:rsid w:val="0C8F023A"/>
    <w:rsid w:val="0C9615C8"/>
    <w:rsid w:val="0CA45D75"/>
    <w:rsid w:val="0CDE439C"/>
    <w:rsid w:val="0D004C93"/>
    <w:rsid w:val="0D314E4D"/>
    <w:rsid w:val="0D5B011C"/>
    <w:rsid w:val="0DD04666"/>
    <w:rsid w:val="0DF02F5A"/>
    <w:rsid w:val="0DF50570"/>
    <w:rsid w:val="0E286250"/>
    <w:rsid w:val="0E745939"/>
    <w:rsid w:val="0E927B6D"/>
    <w:rsid w:val="0EE83C31"/>
    <w:rsid w:val="0EF45071"/>
    <w:rsid w:val="0EFF16A6"/>
    <w:rsid w:val="0F042C7A"/>
    <w:rsid w:val="0F24110D"/>
    <w:rsid w:val="0F334EAC"/>
    <w:rsid w:val="0F657030"/>
    <w:rsid w:val="0F8751F8"/>
    <w:rsid w:val="0FC30926"/>
    <w:rsid w:val="0FED7751"/>
    <w:rsid w:val="0FF30ADF"/>
    <w:rsid w:val="10014FAA"/>
    <w:rsid w:val="107824A2"/>
    <w:rsid w:val="107F195B"/>
    <w:rsid w:val="10857989"/>
    <w:rsid w:val="10EE1409"/>
    <w:rsid w:val="10EE19D3"/>
    <w:rsid w:val="10F7015B"/>
    <w:rsid w:val="1179004B"/>
    <w:rsid w:val="117F6ACF"/>
    <w:rsid w:val="12432274"/>
    <w:rsid w:val="12655CC4"/>
    <w:rsid w:val="12973EDE"/>
    <w:rsid w:val="12A14823"/>
    <w:rsid w:val="12BA66E6"/>
    <w:rsid w:val="12E43344"/>
    <w:rsid w:val="133833D9"/>
    <w:rsid w:val="137F2DB6"/>
    <w:rsid w:val="138C102F"/>
    <w:rsid w:val="13A4281C"/>
    <w:rsid w:val="13BB7C9E"/>
    <w:rsid w:val="13C61F27"/>
    <w:rsid w:val="13F56BD4"/>
    <w:rsid w:val="14171240"/>
    <w:rsid w:val="14773A8D"/>
    <w:rsid w:val="14C33176"/>
    <w:rsid w:val="14CF5677"/>
    <w:rsid w:val="14E1184E"/>
    <w:rsid w:val="14F24F57"/>
    <w:rsid w:val="15007F26"/>
    <w:rsid w:val="15086DDB"/>
    <w:rsid w:val="16985F3D"/>
    <w:rsid w:val="16A46E84"/>
    <w:rsid w:val="16F615E1"/>
    <w:rsid w:val="170B2BB3"/>
    <w:rsid w:val="170E6E89"/>
    <w:rsid w:val="17270CFE"/>
    <w:rsid w:val="174075CD"/>
    <w:rsid w:val="17E51656"/>
    <w:rsid w:val="181810E3"/>
    <w:rsid w:val="186D0013"/>
    <w:rsid w:val="18950986"/>
    <w:rsid w:val="18EB2C9C"/>
    <w:rsid w:val="18ED431E"/>
    <w:rsid w:val="18EF453A"/>
    <w:rsid w:val="190855FC"/>
    <w:rsid w:val="1927718A"/>
    <w:rsid w:val="19407A03"/>
    <w:rsid w:val="1968609A"/>
    <w:rsid w:val="1987662F"/>
    <w:rsid w:val="19CF11E5"/>
    <w:rsid w:val="19E5593D"/>
    <w:rsid w:val="1A200723"/>
    <w:rsid w:val="1A27385F"/>
    <w:rsid w:val="1A754F9C"/>
    <w:rsid w:val="1A78055F"/>
    <w:rsid w:val="1A8B4E3D"/>
    <w:rsid w:val="1ACB68E1"/>
    <w:rsid w:val="1B010554"/>
    <w:rsid w:val="1B0159AA"/>
    <w:rsid w:val="1B2B737F"/>
    <w:rsid w:val="1B3C77DE"/>
    <w:rsid w:val="1B3F796E"/>
    <w:rsid w:val="1B866CAC"/>
    <w:rsid w:val="1B8D2DC6"/>
    <w:rsid w:val="1BA85133"/>
    <w:rsid w:val="1CF10155"/>
    <w:rsid w:val="1D012A8E"/>
    <w:rsid w:val="1D1B2BA8"/>
    <w:rsid w:val="1D256D81"/>
    <w:rsid w:val="1D291460"/>
    <w:rsid w:val="1D4C3837"/>
    <w:rsid w:val="1D6E0918"/>
    <w:rsid w:val="1DDE4B7D"/>
    <w:rsid w:val="1DE303E5"/>
    <w:rsid w:val="1E31278D"/>
    <w:rsid w:val="1E9D0209"/>
    <w:rsid w:val="1EA23DFC"/>
    <w:rsid w:val="1EC27FFB"/>
    <w:rsid w:val="1EC65D3D"/>
    <w:rsid w:val="1ECC0E79"/>
    <w:rsid w:val="1EF67CA4"/>
    <w:rsid w:val="1F525822"/>
    <w:rsid w:val="1F953961"/>
    <w:rsid w:val="1FC3594D"/>
    <w:rsid w:val="1FEC17D3"/>
    <w:rsid w:val="1FF266BE"/>
    <w:rsid w:val="201D6DC5"/>
    <w:rsid w:val="20541126"/>
    <w:rsid w:val="20784E15"/>
    <w:rsid w:val="215C20D3"/>
    <w:rsid w:val="215D5774"/>
    <w:rsid w:val="21930EEC"/>
    <w:rsid w:val="21D818E3"/>
    <w:rsid w:val="21E40288"/>
    <w:rsid w:val="21E604A4"/>
    <w:rsid w:val="21F726B1"/>
    <w:rsid w:val="21F7445F"/>
    <w:rsid w:val="21F77FBB"/>
    <w:rsid w:val="224C47AB"/>
    <w:rsid w:val="22E5250A"/>
    <w:rsid w:val="22E62E69"/>
    <w:rsid w:val="22F32E79"/>
    <w:rsid w:val="22F931B2"/>
    <w:rsid w:val="231E0293"/>
    <w:rsid w:val="23362D65"/>
    <w:rsid w:val="23B73EA6"/>
    <w:rsid w:val="23B82654"/>
    <w:rsid w:val="23C12F77"/>
    <w:rsid w:val="23CB16FF"/>
    <w:rsid w:val="23DE58D7"/>
    <w:rsid w:val="23E15470"/>
    <w:rsid w:val="24822A0F"/>
    <w:rsid w:val="24C06D8A"/>
    <w:rsid w:val="24D171E9"/>
    <w:rsid w:val="24DD2F0F"/>
    <w:rsid w:val="25253091"/>
    <w:rsid w:val="2553466D"/>
    <w:rsid w:val="256718FC"/>
    <w:rsid w:val="258379D8"/>
    <w:rsid w:val="2598441A"/>
    <w:rsid w:val="25B763DF"/>
    <w:rsid w:val="25DE1BBE"/>
    <w:rsid w:val="25EC3BAF"/>
    <w:rsid w:val="26EA00EF"/>
    <w:rsid w:val="26F4490A"/>
    <w:rsid w:val="26F70A5D"/>
    <w:rsid w:val="27673E35"/>
    <w:rsid w:val="27CE5C62"/>
    <w:rsid w:val="28173165"/>
    <w:rsid w:val="28500425"/>
    <w:rsid w:val="28694845"/>
    <w:rsid w:val="286E6AFD"/>
    <w:rsid w:val="28793012"/>
    <w:rsid w:val="28A66720"/>
    <w:rsid w:val="28BE1833"/>
    <w:rsid w:val="29057462"/>
    <w:rsid w:val="29283150"/>
    <w:rsid w:val="29577148"/>
    <w:rsid w:val="29583A35"/>
    <w:rsid w:val="297939AC"/>
    <w:rsid w:val="299D58EC"/>
    <w:rsid w:val="29AB625B"/>
    <w:rsid w:val="2A094D30"/>
    <w:rsid w:val="2A0C0919"/>
    <w:rsid w:val="2A3A75DF"/>
    <w:rsid w:val="2A6B1546"/>
    <w:rsid w:val="2AAE4700"/>
    <w:rsid w:val="2ACB46DB"/>
    <w:rsid w:val="2ACF14A1"/>
    <w:rsid w:val="2B2903B5"/>
    <w:rsid w:val="2B397896"/>
    <w:rsid w:val="2B7663F5"/>
    <w:rsid w:val="2B85488A"/>
    <w:rsid w:val="2B8C3E6A"/>
    <w:rsid w:val="2B9845BD"/>
    <w:rsid w:val="2BEA293F"/>
    <w:rsid w:val="2BEF61A7"/>
    <w:rsid w:val="2BFF6C1B"/>
    <w:rsid w:val="2C0C6D59"/>
    <w:rsid w:val="2C554EBD"/>
    <w:rsid w:val="2C6F55F7"/>
    <w:rsid w:val="2C8965FC"/>
    <w:rsid w:val="2D1265F1"/>
    <w:rsid w:val="2D145EC5"/>
    <w:rsid w:val="2D216834"/>
    <w:rsid w:val="2D4F0F80"/>
    <w:rsid w:val="2D5B64F2"/>
    <w:rsid w:val="2D6D1319"/>
    <w:rsid w:val="2DD94C15"/>
    <w:rsid w:val="2DE2452A"/>
    <w:rsid w:val="2DE97352"/>
    <w:rsid w:val="2E045F3A"/>
    <w:rsid w:val="2E293BF2"/>
    <w:rsid w:val="2E402CEA"/>
    <w:rsid w:val="2E4C7AB8"/>
    <w:rsid w:val="2E5549E7"/>
    <w:rsid w:val="2E7635F8"/>
    <w:rsid w:val="2F155F25"/>
    <w:rsid w:val="2F2B399A"/>
    <w:rsid w:val="2F2F348A"/>
    <w:rsid w:val="2F4D1B62"/>
    <w:rsid w:val="2F5527C5"/>
    <w:rsid w:val="2F9A5FCC"/>
    <w:rsid w:val="2FB17C42"/>
    <w:rsid w:val="302E0F00"/>
    <w:rsid w:val="30517430"/>
    <w:rsid w:val="305B02AF"/>
    <w:rsid w:val="309D08C8"/>
    <w:rsid w:val="30A13BD7"/>
    <w:rsid w:val="30B04157"/>
    <w:rsid w:val="30E67B79"/>
    <w:rsid w:val="3183186B"/>
    <w:rsid w:val="31927D00"/>
    <w:rsid w:val="31DA5D71"/>
    <w:rsid w:val="32081D71"/>
    <w:rsid w:val="320C4079"/>
    <w:rsid w:val="32537490"/>
    <w:rsid w:val="325D030E"/>
    <w:rsid w:val="326C0551"/>
    <w:rsid w:val="32787F7F"/>
    <w:rsid w:val="32A87093"/>
    <w:rsid w:val="32DC56D7"/>
    <w:rsid w:val="330A4371"/>
    <w:rsid w:val="332C410F"/>
    <w:rsid w:val="332E5807"/>
    <w:rsid w:val="33665AA2"/>
    <w:rsid w:val="33C37CA8"/>
    <w:rsid w:val="34046709"/>
    <w:rsid w:val="34384B8F"/>
    <w:rsid w:val="34545741"/>
    <w:rsid w:val="350B4052"/>
    <w:rsid w:val="3518676F"/>
    <w:rsid w:val="3529272A"/>
    <w:rsid w:val="35A3428A"/>
    <w:rsid w:val="35B303B1"/>
    <w:rsid w:val="35CA2A28"/>
    <w:rsid w:val="35EB3E83"/>
    <w:rsid w:val="360A7678"/>
    <w:rsid w:val="361138EA"/>
    <w:rsid w:val="3639699D"/>
    <w:rsid w:val="364041CF"/>
    <w:rsid w:val="364F4412"/>
    <w:rsid w:val="36802EE7"/>
    <w:rsid w:val="37133692"/>
    <w:rsid w:val="37215741"/>
    <w:rsid w:val="374316F3"/>
    <w:rsid w:val="374675C3"/>
    <w:rsid w:val="37DD56DC"/>
    <w:rsid w:val="37DF17C6"/>
    <w:rsid w:val="3801173C"/>
    <w:rsid w:val="381A7687"/>
    <w:rsid w:val="386B4E07"/>
    <w:rsid w:val="390E4110"/>
    <w:rsid w:val="394144E6"/>
    <w:rsid w:val="39736669"/>
    <w:rsid w:val="39837449"/>
    <w:rsid w:val="39AB65DC"/>
    <w:rsid w:val="39BA53ED"/>
    <w:rsid w:val="39E3559D"/>
    <w:rsid w:val="39F552D0"/>
    <w:rsid w:val="39F85FDB"/>
    <w:rsid w:val="3A6A00EC"/>
    <w:rsid w:val="3AA36ADA"/>
    <w:rsid w:val="3AF70BD4"/>
    <w:rsid w:val="3AFA1F57"/>
    <w:rsid w:val="3B091033"/>
    <w:rsid w:val="3B563431"/>
    <w:rsid w:val="3B716BD9"/>
    <w:rsid w:val="3C025E9A"/>
    <w:rsid w:val="3C061840"/>
    <w:rsid w:val="3C0626E5"/>
    <w:rsid w:val="3C0D06AF"/>
    <w:rsid w:val="3C3245BA"/>
    <w:rsid w:val="3C4B3FF1"/>
    <w:rsid w:val="3C706E90"/>
    <w:rsid w:val="3C8D7A42"/>
    <w:rsid w:val="3C9506A5"/>
    <w:rsid w:val="3CB274A9"/>
    <w:rsid w:val="3CC82828"/>
    <w:rsid w:val="3CD72A6B"/>
    <w:rsid w:val="3CF85D68"/>
    <w:rsid w:val="3D4C3459"/>
    <w:rsid w:val="3D9204F7"/>
    <w:rsid w:val="3DAB63D2"/>
    <w:rsid w:val="3DBD6105"/>
    <w:rsid w:val="3DFA1107"/>
    <w:rsid w:val="3DFA4C63"/>
    <w:rsid w:val="3E0D6010"/>
    <w:rsid w:val="3E6662F5"/>
    <w:rsid w:val="3E772758"/>
    <w:rsid w:val="3E8D4867"/>
    <w:rsid w:val="3ED96F6F"/>
    <w:rsid w:val="3EDA0D8E"/>
    <w:rsid w:val="3EE17BD1"/>
    <w:rsid w:val="3F057D64"/>
    <w:rsid w:val="3F116709"/>
    <w:rsid w:val="3F122481"/>
    <w:rsid w:val="3F4F5483"/>
    <w:rsid w:val="3F5B5BD6"/>
    <w:rsid w:val="401F30A7"/>
    <w:rsid w:val="40752CC7"/>
    <w:rsid w:val="409C0254"/>
    <w:rsid w:val="40AE5488"/>
    <w:rsid w:val="40F57964"/>
    <w:rsid w:val="412A1D04"/>
    <w:rsid w:val="41377F7D"/>
    <w:rsid w:val="414A279F"/>
    <w:rsid w:val="4194717D"/>
    <w:rsid w:val="42181B5C"/>
    <w:rsid w:val="42481CF7"/>
    <w:rsid w:val="42510207"/>
    <w:rsid w:val="425C3BE2"/>
    <w:rsid w:val="42770F78"/>
    <w:rsid w:val="4296435D"/>
    <w:rsid w:val="42DB7F0D"/>
    <w:rsid w:val="42DC527F"/>
    <w:rsid w:val="42EF6D61"/>
    <w:rsid w:val="43144A19"/>
    <w:rsid w:val="43746F84"/>
    <w:rsid w:val="43AF4742"/>
    <w:rsid w:val="43B34D58"/>
    <w:rsid w:val="43DB5537"/>
    <w:rsid w:val="44071E88"/>
    <w:rsid w:val="440F51E1"/>
    <w:rsid w:val="44334A09"/>
    <w:rsid w:val="4473751E"/>
    <w:rsid w:val="44DF5DF9"/>
    <w:rsid w:val="45080F7F"/>
    <w:rsid w:val="45126D36"/>
    <w:rsid w:val="45246A6A"/>
    <w:rsid w:val="4540748C"/>
    <w:rsid w:val="454D4212"/>
    <w:rsid w:val="45727023"/>
    <w:rsid w:val="45AF38B1"/>
    <w:rsid w:val="46020B59"/>
    <w:rsid w:val="46195B5C"/>
    <w:rsid w:val="462D194E"/>
    <w:rsid w:val="465D5A33"/>
    <w:rsid w:val="46696E2A"/>
    <w:rsid w:val="468E063F"/>
    <w:rsid w:val="46BB7C5D"/>
    <w:rsid w:val="47356D0C"/>
    <w:rsid w:val="477041E8"/>
    <w:rsid w:val="47C777E5"/>
    <w:rsid w:val="48360F8E"/>
    <w:rsid w:val="485808A6"/>
    <w:rsid w:val="485E37C9"/>
    <w:rsid w:val="487A492D"/>
    <w:rsid w:val="487D1EF7"/>
    <w:rsid w:val="48855A71"/>
    <w:rsid w:val="48BC5937"/>
    <w:rsid w:val="48E94252"/>
    <w:rsid w:val="495040BD"/>
    <w:rsid w:val="495E1E55"/>
    <w:rsid w:val="499A72FA"/>
    <w:rsid w:val="49DB1DED"/>
    <w:rsid w:val="49EB7B56"/>
    <w:rsid w:val="4A4005D3"/>
    <w:rsid w:val="4A783AE0"/>
    <w:rsid w:val="4A8C758B"/>
    <w:rsid w:val="4AC8657B"/>
    <w:rsid w:val="4AE41175"/>
    <w:rsid w:val="4B033094"/>
    <w:rsid w:val="4B5F4482"/>
    <w:rsid w:val="4B702690"/>
    <w:rsid w:val="4B981AAE"/>
    <w:rsid w:val="4C2C3B2F"/>
    <w:rsid w:val="4C71390E"/>
    <w:rsid w:val="4CB5789B"/>
    <w:rsid w:val="4CB93F3C"/>
    <w:rsid w:val="4D073777"/>
    <w:rsid w:val="4D551EB6"/>
    <w:rsid w:val="4D564F83"/>
    <w:rsid w:val="4D5A127B"/>
    <w:rsid w:val="4DCF7EBB"/>
    <w:rsid w:val="4E395334"/>
    <w:rsid w:val="4E74636C"/>
    <w:rsid w:val="4E80078E"/>
    <w:rsid w:val="4E8B1908"/>
    <w:rsid w:val="4E93713A"/>
    <w:rsid w:val="4E9C3B15"/>
    <w:rsid w:val="4EBD41B7"/>
    <w:rsid w:val="4EC217CD"/>
    <w:rsid w:val="4ED908C5"/>
    <w:rsid w:val="4EF851EF"/>
    <w:rsid w:val="4F005E52"/>
    <w:rsid w:val="4F29184C"/>
    <w:rsid w:val="4F7E3903"/>
    <w:rsid w:val="4FE614EB"/>
    <w:rsid w:val="4FF5669B"/>
    <w:rsid w:val="500D0826"/>
    <w:rsid w:val="500E459E"/>
    <w:rsid w:val="50406E4E"/>
    <w:rsid w:val="50811214"/>
    <w:rsid w:val="50AF5D81"/>
    <w:rsid w:val="50B27620"/>
    <w:rsid w:val="50B67E05"/>
    <w:rsid w:val="50BB0282"/>
    <w:rsid w:val="50EE4AFC"/>
    <w:rsid w:val="512B39B6"/>
    <w:rsid w:val="514B766A"/>
    <w:rsid w:val="517F5754"/>
    <w:rsid w:val="51B66C9C"/>
    <w:rsid w:val="52042966"/>
    <w:rsid w:val="525E35BB"/>
    <w:rsid w:val="5262438D"/>
    <w:rsid w:val="528136D2"/>
    <w:rsid w:val="52D90E94"/>
    <w:rsid w:val="52FA0C56"/>
    <w:rsid w:val="535D226F"/>
    <w:rsid w:val="5382777D"/>
    <w:rsid w:val="538C5F06"/>
    <w:rsid w:val="53DA1367"/>
    <w:rsid w:val="5426635A"/>
    <w:rsid w:val="548D0188"/>
    <w:rsid w:val="54974AE7"/>
    <w:rsid w:val="54BF3665"/>
    <w:rsid w:val="54E35FFA"/>
    <w:rsid w:val="54FC4780"/>
    <w:rsid w:val="552A59D6"/>
    <w:rsid w:val="555111B5"/>
    <w:rsid w:val="55911EF9"/>
    <w:rsid w:val="55B654BC"/>
    <w:rsid w:val="55D83684"/>
    <w:rsid w:val="55F81DDE"/>
    <w:rsid w:val="565151E5"/>
    <w:rsid w:val="566B274A"/>
    <w:rsid w:val="56D52874"/>
    <w:rsid w:val="56F3629C"/>
    <w:rsid w:val="56F51661"/>
    <w:rsid w:val="575651A9"/>
    <w:rsid w:val="57A203EE"/>
    <w:rsid w:val="57AF5756"/>
    <w:rsid w:val="57B343A9"/>
    <w:rsid w:val="58201313"/>
    <w:rsid w:val="582E7771"/>
    <w:rsid w:val="583F3E8F"/>
    <w:rsid w:val="58B008E9"/>
    <w:rsid w:val="58B24994"/>
    <w:rsid w:val="58DF11CE"/>
    <w:rsid w:val="591C41D0"/>
    <w:rsid w:val="59254E33"/>
    <w:rsid w:val="592F7A5F"/>
    <w:rsid w:val="59710C70"/>
    <w:rsid w:val="59831B59"/>
    <w:rsid w:val="598B6C60"/>
    <w:rsid w:val="598D4786"/>
    <w:rsid w:val="5991071A"/>
    <w:rsid w:val="599D70BF"/>
    <w:rsid w:val="59B14918"/>
    <w:rsid w:val="59E74C9B"/>
    <w:rsid w:val="5A1C360D"/>
    <w:rsid w:val="5A3A2B60"/>
    <w:rsid w:val="5A582FE6"/>
    <w:rsid w:val="5A7D0C9E"/>
    <w:rsid w:val="5A902780"/>
    <w:rsid w:val="5ABF6E1E"/>
    <w:rsid w:val="5AF20DEB"/>
    <w:rsid w:val="5B21162A"/>
    <w:rsid w:val="5B3255E5"/>
    <w:rsid w:val="5B3E7463"/>
    <w:rsid w:val="5B484E08"/>
    <w:rsid w:val="5B4B4302"/>
    <w:rsid w:val="5B61411C"/>
    <w:rsid w:val="5B9C6F02"/>
    <w:rsid w:val="5BA069F2"/>
    <w:rsid w:val="5BD27328"/>
    <w:rsid w:val="5BF3746A"/>
    <w:rsid w:val="5BF61036"/>
    <w:rsid w:val="5C016C5B"/>
    <w:rsid w:val="5C090A3C"/>
    <w:rsid w:val="5C2313D1"/>
    <w:rsid w:val="5C2869E8"/>
    <w:rsid w:val="5C2C472A"/>
    <w:rsid w:val="5C6A7000"/>
    <w:rsid w:val="5C8E5513"/>
    <w:rsid w:val="5CB87D6C"/>
    <w:rsid w:val="5CD64696"/>
    <w:rsid w:val="5DAB2583"/>
    <w:rsid w:val="5DB42C29"/>
    <w:rsid w:val="5E0110FC"/>
    <w:rsid w:val="5E290B9A"/>
    <w:rsid w:val="5E6D4B86"/>
    <w:rsid w:val="5E6F4DA2"/>
    <w:rsid w:val="5ECC578E"/>
    <w:rsid w:val="5EDF5D43"/>
    <w:rsid w:val="5F09639B"/>
    <w:rsid w:val="5F2A49FA"/>
    <w:rsid w:val="5F463D55"/>
    <w:rsid w:val="5F700DD2"/>
    <w:rsid w:val="5F797C86"/>
    <w:rsid w:val="5F920D48"/>
    <w:rsid w:val="5FBB2FBC"/>
    <w:rsid w:val="5FC54A31"/>
    <w:rsid w:val="60193217"/>
    <w:rsid w:val="602741E3"/>
    <w:rsid w:val="602D6CC3"/>
    <w:rsid w:val="604D4ADD"/>
    <w:rsid w:val="6054424F"/>
    <w:rsid w:val="606C6649"/>
    <w:rsid w:val="60F02006"/>
    <w:rsid w:val="61025A59"/>
    <w:rsid w:val="610B6884"/>
    <w:rsid w:val="611F2AAF"/>
    <w:rsid w:val="6138591F"/>
    <w:rsid w:val="618446C0"/>
    <w:rsid w:val="618F606A"/>
    <w:rsid w:val="61D417B9"/>
    <w:rsid w:val="61D54F1C"/>
    <w:rsid w:val="61D814C9"/>
    <w:rsid w:val="61D93949"/>
    <w:rsid w:val="61FD7E6D"/>
    <w:rsid w:val="62035F2D"/>
    <w:rsid w:val="620B4DE2"/>
    <w:rsid w:val="62650996"/>
    <w:rsid w:val="62682234"/>
    <w:rsid w:val="62886432"/>
    <w:rsid w:val="628F77C1"/>
    <w:rsid w:val="62D31DB3"/>
    <w:rsid w:val="62E775FD"/>
    <w:rsid w:val="633C4D49"/>
    <w:rsid w:val="63513862"/>
    <w:rsid w:val="6394035D"/>
    <w:rsid w:val="63D7141F"/>
    <w:rsid w:val="63EE0517"/>
    <w:rsid w:val="645111D2"/>
    <w:rsid w:val="64747F00"/>
    <w:rsid w:val="64A82DBC"/>
    <w:rsid w:val="64FA1057"/>
    <w:rsid w:val="64FD6C64"/>
    <w:rsid w:val="65091AAC"/>
    <w:rsid w:val="65143FAD"/>
    <w:rsid w:val="65223AB6"/>
    <w:rsid w:val="657B016A"/>
    <w:rsid w:val="65842EE1"/>
    <w:rsid w:val="65A92BA3"/>
    <w:rsid w:val="66157FDD"/>
    <w:rsid w:val="66225AF8"/>
    <w:rsid w:val="66415442"/>
    <w:rsid w:val="66501015"/>
    <w:rsid w:val="66CD08B8"/>
    <w:rsid w:val="66F9345B"/>
    <w:rsid w:val="676A6106"/>
    <w:rsid w:val="67762CFD"/>
    <w:rsid w:val="677A0A3F"/>
    <w:rsid w:val="678673E4"/>
    <w:rsid w:val="67955879"/>
    <w:rsid w:val="680B1F17"/>
    <w:rsid w:val="681F5583"/>
    <w:rsid w:val="682E5386"/>
    <w:rsid w:val="6833299C"/>
    <w:rsid w:val="683D7CF6"/>
    <w:rsid w:val="6853303E"/>
    <w:rsid w:val="68594AF9"/>
    <w:rsid w:val="68993147"/>
    <w:rsid w:val="68B47F81"/>
    <w:rsid w:val="68EC771B"/>
    <w:rsid w:val="68F20AA9"/>
    <w:rsid w:val="69476C11"/>
    <w:rsid w:val="694E2184"/>
    <w:rsid w:val="697274F4"/>
    <w:rsid w:val="6AAF23B4"/>
    <w:rsid w:val="6AD9782B"/>
    <w:rsid w:val="6B0C1CDC"/>
    <w:rsid w:val="6B3E3B32"/>
    <w:rsid w:val="6B6E3A24"/>
    <w:rsid w:val="6B826114"/>
    <w:rsid w:val="6B87197D"/>
    <w:rsid w:val="6B99345E"/>
    <w:rsid w:val="6BD61FBC"/>
    <w:rsid w:val="6C272818"/>
    <w:rsid w:val="6C434D22"/>
    <w:rsid w:val="6C6E0447"/>
    <w:rsid w:val="6D323B6A"/>
    <w:rsid w:val="6D576E7A"/>
    <w:rsid w:val="6D8D0DA1"/>
    <w:rsid w:val="6D8E2B69"/>
    <w:rsid w:val="6DDB3F44"/>
    <w:rsid w:val="6E490D1A"/>
    <w:rsid w:val="6E663B0E"/>
    <w:rsid w:val="6EC22B87"/>
    <w:rsid w:val="6EC30F1E"/>
    <w:rsid w:val="6EF539C2"/>
    <w:rsid w:val="6F7B6A74"/>
    <w:rsid w:val="70275C90"/>
    <w:rsid w:val="70414F98"/>
    <w:rsid w:val="7064228D"/>
    <w:rsid w:val="706F4BA8"/>
    <w:rsid w:val="70840239"/>
    <w:rsid w:val="70966128"/>
    <w:rsid w:val="70967F6C"/>
    <w:rsid w:val="709A78DB"/>
    <w:rsid w:val="709B5583"/>
    <w:rsid w:val="70CB40BA"/>
    <w:rsid w:val="71165F42"/>
    <w:rsid w:val="714E48D5"/>
    <w:rsid w:val="717E36A3"/>
    <w:rsid w:val="718C1A9B"/>
    <w:rsid w:val="71B0505E"/>
    <w:rsid w:val="71B33562"/>
    <w:rsid w:val="71DE1BCB"/>
    <w:rsid w:val="71E920DD"/>
    <w:rsid w:val="721D26F3"/>
    <w:rsid w:val="727B38BE"/>
    <w:rsid w:val="728A09C1"/>
    <w:rsid w:val="72AD7B00"/>
    <w:rsid w:val="72B82049"/>
    <w:rsid w:val="730F2712"/>
    <w:rsid w:val="73104006"/>
    <w:rsid w:val="73216B31"/>
    <w:rsid w:val="733A301A"/>
    <w:rsid w:val="73816CB2"/>
    <w:rsid w:val="73C31078"/>
    <w:rsid w:val="73C82B32"/>
    <w:rsid w:val="73E86D31"/>
    <w:rsid w:val="7422572C"/>
    <w:rsid w:val="7424363B"/>
    <w:rsid w:val="742A6E14"/>
    <w:rsid w:val="74890514"/>
    <w:rsid w:val="74AE5ED3"/>
    <w:rsid w:val="74AF70D9"/>
    <w:rsid w:val="74CB0B2C"/>
    <w:rsid w:val="74CD241B"/>
    <w:rsid w:val="74F6722B"/>
    <w:rsid w:val="75177B6C"/>
    <w:rsid w:val="75412B9C"/>
    <w:rsid w:val="75685B3E"/>
    <w:rsid w:val="75B710B1"/>
    <w:rsid w:val="760032A4"/>
    <w:rsid w:val="762145D3"/>
    <w:rsid w:val="764A5A81"/>
    <w:rsid w:val="767427EF"/>
    <w:rsid w:val="768E78F0"/>
    <w:rsid w:val="76CD220E"/>
    <w:rsid w:val="76F0487A"/>
    <w:rsid w:val="775841CD"/>
    <w:rsid w:val="777032C5"/>
    <w:rsid w:val="779C40BA"/>
    <w:rsid w:val="77FF02A8"/>
    <w:rsid w:val="78014865"/>
    <w:rsid w:val="78E8332F"/>
    <w:rsid w:val="799D05BD"/>
    <w:rsid w:val="79A656C4"/>
    <w:rsid w:val="79B7342D"/>
    <w:rsid w:val="79D35D8D"/>
    <w:rsid w:val="79D61F74"/>
    <w:rsid w:val="79E104AA"/>
    <w:rsid w:val="7A002417"/>
    <w:rsid w:val="7A2D7B93"/>
    <w:rsid w:val="7A304F8E"/>
    <w:rsid w:val="7A8D0632"/>
    <w:rsid w:val="7A951295"/>
    <w:rsid w:val="7ACC7EAD"/>
    <w:rsid w:val="7AE83ABA"/>
    <w:rsid w:val="7B024B7C"/>
    <w:rsid w:val="7BA479E1"/>
    <w:rsid w:val="7BC802B6"/>
    <w:rsid w:val="7C052A67"/>
    <w:rsid w:val="7C3A057D"/>
    <w:rsid w:val="7C914409"/>
    <w:rsid w:val="7CED53B8"/>
    <w:rsid w:val="7D1B0177"/>
    <w:rsid w:val="7D2D1C58"/>
    <w:rsid w:val="7D2D4AA8"/>
    <w:rsid w:val="7D6733BC"/>
    <w:rsid w:val="7DB57CCD"/>
    <w:rsid w:val="7DBC5B41"/>
    <w:rsid w:val="7DE23194"/>
    <w:rsid w:val="7DEF68C6"/>
    <w:rsid w:val="7E15362A"/>
    <w:rsid w:val="7E7E0F36"/>
    <w:rsid w:val="7E877A4E"/>
    <w:rsid w:val="7E8D0C00"/>
    <w:rsid w:val="7EC23B12"/>
    <w:rsid w:val="7F173D36"/>
    <w:rsid w:val="7F201A75"/>
    <w:rsid w:val="7F572FBC"/>
    <w:rsid w:val="7F68655C"/>
    <w:rsid w:val="7F9D4C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2"/>
    <w:basedOn w:val="1"/>
    <w:next w:val="1"/>
    <w:qFormat/>
    <w:uiPriority w:val="9"/>
    <w:pPr>
      <w:keepNext/>
      <w:keepLines/>
      <w:spacing w:before="260" w:after="260" w:line="416" w:lineRule="auto"/>
      <w:outlineLvl w:val="1"/>
    </w:pPr>
    <w:rPr>
      <w:rFonts w:ascii="Calibri Light" w:hAnsi="Calibri Light"/>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style>
  <w:style w:type="paragraph" w:styleId="3">
    <w:name w:val="Body Text Indent"/>
    <w:basedOn w:val="1"/>
    <w:unhideWhenUsed/>
    <w:qFormat/>
    <w:uiPriority w:val="99"/>
    <w:pPr>
      <w:spacing w:after="120"/>
      <w:ind w:left="420" w:leftChars="200"/>
    </w:pPr>
  </w:style>
  <w:style w:type="paragraph" w:styleId="5">
    <w:name w:val="annotation text"/>
    <w:basedOn w:val="1"/>
    <w:link w:val="22"/>
    <w:qFormat/>
    <w:uiPriority w:val="0"/>
    <w:pPr>
      <w:jc w:val="left"/>
    </w:pPr>
  </w:style>
  <w:style w:type="paragraph" w:styleId="6">
    <w:name w:val="Balloon Text"/>
    <w:basedOn w:val="1"/>
    <w:link w:val="24"/>
    <w:qFormat/>
    <w:uiPriority w:val="0"/>
    <w:rPr>
      <w:sz w:val="18"/>
      <w:szCs w:val="18"/>
    </w:rPr>
  </w:style>
  <w:style w:type="paragraph" w:styleId="7">
    <w:name w:val="footer"/>
    <w:basedOn w:val="1"/>
    <w:link w:val="21"/>
    <w:qFormat/>
    <w:uiPriority w:val="0"/>
    <w:pPr>
      <w:tabs>
        <w:tab w:val="center" w:pos="4153"/>
        <w:tab w:val="right" w:pos="8306"/>
      </w:tabs>
      <w:snapToGrid w:val="0"/>
      <w:jc w:val="left"/>
    </w:pPr>
    <w:rPr>
      <w:sz w:val="18"/>
      <w:szCs w:val="18"/>
    </w:rPr>
  </w:style>
  <w:style w:type="paragraph" w:styleId="8">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9">
    <w:name w:val="table of figures"/>
    <w:basedOn w:val="1"/>
    <w:next w:val="1"/>
    <w:unhideWhenUsed/>
    <w:qFormat/>
    <w:uiPriority w:val="99"/>
    <w:pPr>
      <w:ind w:left="200" w:leftChars="200" w:hanging="200" w:hangingChars="200"/>
    </w:pPr>
  </w:style>
  <w:style w:type="paragraph" w:styleId="10">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1">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2">
    <w:name w:val="annotation subject"/>
    <w:basedOn w:val="5"/>
    <w:next w:val="5"/>
    <w:link w:val="23"/>
    <w:qFormat/>
    <w:uiPriority w:val="0"/>
    <w:rPr>
      <w:b/>
      <w:bCs/>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annotation reference"/>
    <w:qFormat/>
    <w:uiPriority w:val="0"/>
    <w:rPr>
      <w:sz w:val="21"/>
      <w:szCs w:val="21"/>
    </w:rPr>
  </w:style>
  <w:style w:type="paragraph" w:customStyle="1" w:styleId="17">
    <w:name w:val="正文-公1"/>
    <w:basedOn w:val="1"/>
    <w:qFormat/>
    <w:uiPriority w:val="99"/>
    <w:pPr>
      <w:ind w:firstLine="200" w:firstLineChars="200"/>
    </w:pPr>
  </w:style>
  <w:style w:type="paragraph" w:styleId="18">
    <w:name w:val="List Paragraph"/>
    <w:basedOn w:val="1"/>
    <w:qFormat/>
    <w:uiPriority w:val="34"/>
    <w:pPr>
      <w:ind w:firstLine="420" w:firstLineChars="200"/>
    </w:pPr>
  </w:style>
  <w:style w:type="character" w:customStyle="1" w:styleId="19">
    <w:name w:val="bjh-p"/>
    <w:basedOn w:val="15"/>
    <w:qFormat/>
    <w:uiPriority w:val="0"/>
  </w:style>
  <w:style w:type="character" w:customStyle="1" w:styleId="20">
    <w:name w:val="页眉 字符"/>
    <w:link w:val="8"/>
    <w:qFormat/>
    <w:uiPriority w:val="0"/>
    <w:rPr>
      <w:rFonts w:ascii="Calibri" w:hAnsi="Calibri"/>
      <w:kern w:val="2"/>
      <w:sz w:val="18"/>
      <w:szCs w:val="18"/>
    </w:rPr>
  </w:style>
  <w:style w:type="character" w:customStyle="1" w:styleId="21">
    <w:name w:val="页脚 字符"/>
    <w:link w:val="7"/>
    <w:qFormat/>
    <w:uiPriority w:val="0"/>
    <w:rPr>
      <w:rFonts w:ascii="Calibri" w:hAnsi="Calibri"/>
      <w:kern w:val="2"/>
      <w:sz w:val="18"/>
      <w:szCs w:val="18"/>
    </w:rPr>
  </w:style>
  <w:style w:type="character" w:customStyle="1" w:styleId="22">
    <w:name w:val="批注文字 字符"/>
    <w:link w:val="5"/>
    <w:qFormat/>
    <w:uiPriority w:val="0"/>
    <w:rPr>
      <w:rFonts w:ascii="Calibri" w:hAnsi="Calibri"/>
      <w:kern w:val="2"/>
      <w:sz w:val="21"/>
      <w:szCs w:val="24"/>
    </w:rPr>
  </w:style>
  <w:style w:type="character" w:customStyle="1" w:styleId="23">
    <w:name w:val="批注主题 字符"/>
    <w:link w:val="12"/>
    <w:qFormat/>
    <w:uiPriority w:val="0"/>
    <w:rPr>
      <w:rFonts w:ascii="Calibri" w:hAnsi="Calibri"/>
      <w:b/>
      <w:bCs/>
      <w:kern w:val="2"/>
      <w:sz w:val="21"/>
      <w:szCs w:val="24"/>
    </w:rPr>
  </w:style>
  <w:style w:type="character" w:customStyle="1" w:styleId="24">
    <w:name w:val="批注框文本 字符"/>
    <w:link w:val="6"/>
    <w:qFormat/>
    <w:uiPriority w:val="0"/>
    <w:rPr>
      <w:rFonts w:ascii="Calibri" w:hAnsi="Calibri"/>
      <w:kern w:val="2"/>
      <w:sz w:val="18"/>
      <w:szCs w:val="18"/>
    </w:rPr>
  </w:style>
  <w:style w:type="paragraph" w:customStyle="1" w:styleId="25">
    <w:name w:val="WPSOffice手动目录 1"/>
    <w:qFormat/>
    <w:uiPriority w:val="0"/>
    <w:pPr>
      <w:ind w:leftChars="0"/>
    </w:pPr>
    <w:rPr>
      <w:rFonts w:ascii="Times New Roman" w:hAnsi="Times New Roman" w:eastAsia="宋体" w:cs="Times New Roman"/>
      <w:sz w:val="20"/>
      <w:szCs w:val="20"/>
    </w:rPr>
  </w:style>
  <w:style w:type="paragraph" w:customStyle="1" w:styleId="26">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glossaryDocument" Target="glossary/document.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00424f6-e1ad-4ae4-b047-d80fcbd41eec}"/>
        <w:style w:val=""/>
        <w:category>
          <w:name w:val="常规"/>
          <w:gallery w:val="placeholder"/>
        </w:category>
        <w:types>
          <w:type w:val="bbPlcHdr"/>
        </w:types>
        <w:behaviors>
          <w:behavior w:val="content"/>
        </w:behaviors>
        <w:description w:val=""/>
        <w:guid w:val="{000424f6-e1ad-4ae4-b047-d80fcbd41eec}"/>
      </w:docPartPr>
      <w:docPartBody>
        <w:p>
          <w:r>
            <w:rPr>
              <w:color w:val="808080"/>
            </w:rPr>
            <w:t>单击此处输入文字。</w:t>
          </w:r>
        </w:p>
      </w:docPartBody>
    </w:docPart>
    <w:docPart>
      <w:docPartPr>
        <w:name w:val="{ed8d9240-a06b-4008-b891-413eedf9309f}"/>
        <w:style w:val=""/>
        <w:category>
          <w:name w:val="常规"/>
          <w:gallery w:val="placeholder"/>
        </w:category>
        <w:types>
          <w:type w:val="bbPlcHdr"/>
        </w:types>
        <w:behaviors>
          <w:behavior w:val="content"/>
        </w:behaviors>
        <w:description w:val=""/>
        <w:guid w:val="{ed8d9240-a06b-4008-b891-413eedf9309f}"/>
      </w:docPartPr>
      <w:docPartBody>
        <w:p>
          <w:r>
            <w:rPr>
              <w:color w:val="808080"/>
            </w:rPr>
            <w:t>单击此处输入文字。</w:t>
          </w:r>
        </w:p>
      </w:docPartBody>
    </w:docPart>
    <w:docPart>
      <w:docPartPr>
        <w:name w:val="{8575f94f-e684-4be8-afb5-8b2e0ed30d2f}"/>
        <w:style w:val=""/>
        <w:category>
          <w:name w:val="常规"/>
          <w:gallery w:val="placeholder"/>
        </w:category>
        <w:types>
          <w:type w:val="bbPlcHdr"/>
        </w:types>
        <w:behaviors>
          <w:behavior w:val="content"/>
        </w:behaviors>
        <w:description w:val=""/>
        <w:guid w:val="{8575f94f-e684-4be8-afb5-8b2e0ed30d2f}"/>
      </w:docPartPr>
      <w:docPartBody>
        <w:p>
          <w:r>
            <w:rPr>
              <w:color w:val="808080"/>
            </w:rPr>
            <w:t>单击此处输入文字。</w:t>
          </w:r>
        </w:p>
      </w:docPartBody>
    </w:docPart>
    <w:docPart>
      <w:docPartPr>
        <w:name w:val="{ae35912d-84e8-42e8-b09c-6e4d5ea6476b}"/>
        <w:style w:val=""/>
        <w:category>
          <w:name w:val="常规"/>
          <w:gallery w:val="placeholder"/>
        </w:category>
        <w:types>
          <w:type w:val="bbPlcHdr"/>
        </w:types>
        <w:behaviors>
          <w:behavior w:val="content"/>
        </w:behaviors>
        <w:description w:val=""/>
        <w:guid w:val="{ae35912d-84e8-42e8-b09c-6e4d5ea6476b}"/>
      </w:docPartPr>
      <w:docPartBody>
        <w:p>
          <w:r>
            <w:rPr>
              <w:color w:val="808080"/>
            </w:rPr>
            <w:t>单击此处输入文字。</w:t>
          </w:r>
        </w:p>
      </w:docPartBody>
    </w:docPart>
    <w:docPart>
      <w:docPartPr>
        <w:name w:val="{9452af4a-732a-4053-9b26-a0f405a0f7de}"/>
        <w:style w:val=""/>
        <w:category>
          <w:name w:val="常规"/>
          <w:gallery w:val="placeholder"/>
        </w:category>
        <w:types>
          <w:type w:val="bbPlcHdr"/>
        </w:types>
        <w:behaviors>
          <w:behavior w:val="content"/>
        </w:behaviors>
        <w:description w:val=""/>
        <w:guid w:val="{9452af4a-732a-4053-9b26-a0f405a0f7de}"/>
      </w:docPartPr>
      <w:docPartBody>
        <w:p>
          <w:r>
            <w:rPr>
              <w:color w:val="808080"/>
            </w:rPr>
            <w:t>单击此处输入文字。</w:t>
          </w:r>
        </w:p>
      </w:docPartBody>
    </w:docPart>
    <w:docPart>
      <w:docPartPr>
        <w:name w:val="{5319a1a0-21fb-456e-8b13-211498e08373}"/>
        <w:style w:val=""/>
        <w:category>
          <w:name w:val="常规"/>
          <w:gallery w:val="placeholder"/>
        </w:category>
        <w:types>
          <w:type w:val="bbPlcHdr"/>
        </w:types>
        <w:behaviors>
          <w:behavior w:val="content"/>
        </w:behaviors>
        <w:description w:val=""/>
        <w:guid w:val="{5319a1a0-21fb-456e-8b13-211498e08373}"/>
      </w:docPartPr>
      <w:docPartBody>
        <w:p>
          <w:r>
            <w:rPr>
              <w:color w:val="808080"/>
            </w:rPr>
            <w:t>单击此处输入文字。</w:t>
          </w:r>
        </w:p>
      </w:docPartBody>
    </w:docPart>
    <w:docPart>
      <w:docPartPr>
        <w:name w:val="{67fa4955-3351-458c-a3b4-216784ec71de}"/>
        <w:style w:val=""/>
        <w:category>
          <w:name w:val="常规"/>
          <w:gallery w:val="placeholder"/>
        </w:category>
        <w:types>
          <w:type w:val="bbPlcHdr"/>
        </w:types>
        <w:behaviors>
          <w:behavior w:val="content"/>
        </w:behaviors>
        <w:description w:val=""/>
        <w:guid w:val="{67fa4955-3351-458c-a3b4-216784ec71de}"/>
      </w:docPartPr>
      <w:docPartBody>
        <w:p>
          <w:r>
            <w:rPr>
              <w:color w:val="808080"/>
            </w:rPr>
            <w:t>单击此处输入文字。</w:t>
          </w:r>
        </w:p>
      </w:docPartBody>
    </w:docPart>
    <w:docPart>
      <w:docPartPr>
        <w:name w:val="{33939e16-f2f4-4bd6-9a04-373f8f3789ea}"/>
        <w:style w:val=""/>
        <w:category>
          <w:name w:val="常规"/>
          <w:gallery w:val="placeholder"/>
        </w:category>
        <w:types>
          <w:type w:val="bbPlcHdr"/>
        </w:types>
        <w:behaviors>
          <w:behavior w:val="content"/>
        </w:behaviors>
        <w:description w:val=""/>
        <w:guid w:val="{33939e16-f2f4-4bd6-9a04-373f8f3789ea}"/>
      </w:docPartPr>
      <w:docPartBody>
        <w:p>
          <w:r>
            <w:rPr>
              <w:color w:val="808080"/>
            </w:rPr>
            <w:t>单击此处输入文字。</w:t>
          </w:r>
        </w:p>
      </w:docPartBody>
    </w:docPart>
    <w:docPart>
      <w:docPartPr>
        <w:name w:val="{f4d26104-7c68-4feb-88f2-ae07f7278fde}"/>
        <w:style w:val=""/>
        <w:category>
          <w:name w:val="常规"/>
          <w:gallery w:val="placeholder"/>
        </w:category>
        <w:types>
          <w:type w:val="bbPlcHdr"/>
        </w:types>
        <w:behaviors>
          <w:behavior w:val="content"/>
        </w:behaviors>
        <w:description w:val=""/>
        <w:guid w:val="{f4d26104-7c68-4feb-88f2-ae07f7278fde}"/>
      </w:docPartPr>
      <w:docPartBody>
        <w:p>
          <w:r>
            <w:rPr>
              <w:color w:val="808080"/>
            </w:rPr>
            <w:t>单击此处输入文字。</w:t>
          </w:r>
        </w:p>
      </w:docPartBody>
    </w:docPart>
    <w:docPart>
      <w:docPartPr>
        <w:name w:val="{ecc0ffcd-792f-4ecf-9b2d-d7ae463dd0a2}"/>
        <w:style w:val=""/>
        <w:category>
          <w:name w:val="常规"/>
          <w:gallery w:val="placeholder"/>
        </w:category>
        <w:types>
          <w:type w:val="bbPlcHdr"/>
        </w:types>
        <w:behaviors>
          <w:behavior w:val="content"/>
        </w:behaviors>
        <w:description w:val=""/>
        <w:guid w:val="{ecc0ffcd-792f-4ecf-9b2d-d7ae463dd0a2}"/>
      </w:docPartPr>
      <w:docPartBody>
        <w:p>
          <w:r>
            <w:rPr>
              <w:color w:val="808080"/>
            </w:rPr>
            <w:t>单击此处输入文字。</w:t>
          </w:r>
        </w:p>
      </w:docPartBody>
    </w:docPart>
    <w:docPart>
      <w:docPartPr>
        <w:name w:val="{9b4f48e6-7b26-40d8-b21d-fea22a38fa90}"/>
        <w:style w:val=""/>
        <w:category>
          <w:name w:val="常规"/>
          <w:gallery w:val="placeholder"/>
        </w:category>
        <w:types>
          <w:type w:val="bbPlcHdr"/>
        </w:types>
        <w:behaviors>
          <w:behavior w:val="content"/>
        </w:behaviors>
        <w:description w:val=""/>
        <w:guid w:val="{9b4f48e6-7b26-40d8-b21d-fea22a38fa90}"/>
      </w:docPartPr>
      <w:docPartBody>
        <w:p>
          <w:r>
            <w:rPr>
              <w:color w:val="808080"/>
            </w:rPr>
            <w:t>单击此处输入文字。</w:t>
          </w:r>
        </w:p>
      </w:docPartBody>
    </w:docPart>
    <w:docPart>
      <w:docPartPr>
        <w:name w:val="{192d325a-0300-466e-bed6-c1f4f2d8e720}"/>
        <w:style w:val=""/>
        <w:category>
          <w:name w:val="常规"/>
          <w:gallery w:val="placeholder"/>
        </w:category>
        <w:types>
          <w:type w:val="bbPlcHdr"/>
        </w:types>
        <w:behaviors>
          <w:behavior w:val="content"/>
        </w:behaviors>
        <w:description w:val=""/>
        <w:guid w:val="{192d325a-0300-466e-bed6-c1f4f2d8e720}"/>
      </w:docPartPr>
      <w:docPartBody>
        <w:p>
          <w:r>
            <w:rPr>
              <w:color w:val="808080"/>
            </w:rPr>
            <w:t>单击此处输入文字。</w:t>
          </w:r>
        </w:p>
      </w:docPartBody>
    </w:docPart>
    <w:docPart>
      <w:docPartPr>
        <w:name w:val="{30e713bc-1c63-4bb1-a6d2-2676b3e43a4a}"/>
        <w:style w:val=""/>
        <w:category>
          <w:name w:val="常规"/>
          <w:gallery w:val="placeholder"/>
        </w:category>
        <w:types>
          <w:type w:val="bbPlcHdr"/>
        </w:types>
        <w:behaviors>
          <w:behavior w:val="content"/>
        </w:behaviors>
        <w:description w:val=""/>
        <w:guid w:val="{30e713bc-1c63-4bb1-a6d2-2676b3e43a4a}"/>
      </w:docPartPr>
      <w:docPartBody>
        <w:p>
          <w:r>
            <w:rPr>
              <w:color w:val="808080"/>
            </w:rPr>
            <w:t>单击此处输入文字。</w:t>
          </w:r>
        </w:p>
      </w:docPartBody>
    </w:docPart>
    <w:docPart>
      <w:docPartPr>
        <w:name w:val="{cd0199ff-c0b1-4568-a914-0a45cc1c6b7f}"/>
        <w:style w:val=""/>
        <w:category>
          <w:name w:val="常规"/>
          <w:gallery w:val="placeholder"/>
        </w:category>
        <w:types>
          <w:type w:val="bbPlcHdr"/>
        </w:types>
        <w:behaviors>
          <w:behavior w:val="content"/>
        </w:behaviors>
        <w:description w:val=""/>
        <w:guid w:val="{cd0199ff-c0b1-4568-a914-0a45cc1c6b7f}"/>
      </w:docPartPr>
      <w:docPartBody>
        <w:p>
          <w:r>
            <w:rPr>
              <w:color w:val="808080"/>
            </w:rPr>
            <w:t>单击此处输入文字。</w:t>
          </w:r>
        </w:p>
      </w:docPartBody>
    </w:docPart>
    <w:docPart>
      <w:docPartPr>
        <w:name w:val="{c89ad456-48da-47d3-8d70-e2ce362dc2fe}"/>
        <w:style w:val=""/>
        <w:category>
          <w:name w:val="常规"/>
          <w:gallery w:val="placeholder"/>
        </w:category>
        <w:types>
          <w:type w:val="bbPlcHdr"/>
        </w:types>
        <w:behaviors>
          <w:behavior w:val="content"/>
        </w:behaviors>
        <w:description w:val=""/>
        <w:guid w:val="{c89ad456-48da-47d3-8d70-e2ce362dc2fe}"/>
      </w:docPartPr>
      <w:docPartBody>
        <w:p>
          <w:r>
            <w:rPr>
              <w:color w:val="808080"/>
            </w:rPr>
            <w:t>单击此处输入文字。</w:t>
          </w:r>
        </w:p>
      </w:docPartBody>
    </w:docPart>
    <w:docPart>
      <w:docPartPr>
        <w:name w:val="{00c986eb-74b1-44c6-ac62-af8b31f91a12}"/>
        <w:style w:val=""/>
        <w:category>
          <w:name w:val="常规"/>
          <w:gallery w:val="placeholder"/>
        </w:category>
        <w:types>
          <w:type w:val="bbPlcHdr"/>
        </w:types>
        <w:behaviors>
          <w:behavior w:val="content"/>
        </w:behaviors>
        <w:description w:val=""/>
        <w:guid w:val="{00c986eb-74b1-44c6-ac62-af8b31f91a12}"/>
      </w:docPartPr>
      <w:docPartBody>
        <w:p>
          <w:r>
            <w:rPr>
              <w:color w:val="808080"/>
            </w:rPr>
            <w:t>单击此处输入文字。</w:t>
          </w:r>
        </w:p>
      </w:docPartBody>
    </w:docPart>
    <w:docPart>
      <w:docPartPr>
        <w:name w:val="{ba48fcb1-6f29-4c50-a204-26c0666e5131}"/>
        <w:style w:val=""/>
        <w:category>
          <w:name w:val="常规"/>
          <w:gallery w:val="placeholder"/>
        </w:category>
        <w:types>
          <w:type w:val="bbPlcHdr"/>
        </w:types>
        <w:behaviors>
          <w:behavior w:val="content"/>
        </w:behaviors>
        <w:description w:val=""/>
        <w:guid w:val="{ba48fcb1-6f29-4c50-a204-26c0666e5131}"/>
      </w:docPartPr>
      <w:docPartBody>
        <w:p>
          <w:r>
            <w:rPr>
              <w:color w:val="808080"/>
            </w:rPr>
            <w:t>单击此处输入文字。</w:t>
          </w:r>
        </w:p>
      </w:docPartBody>
    </w:docPart>
    <w:docPart>
      <w:docPartPr>
        <w:name w:val="{473e446b-2123-41f1-b2d0-d5998d27faad}"/>
        <w:style w:val=""/>
        <w:category>
          <w:name w:val="常规"/>
          <w:gallery w:val="placeholder"/>
        </w:category>
        <w:types>
          <w:type w:val="bbPlcHdr"/>
        </w:types>
        <w:behaviors>
          <w:behavior w:val="content"/>
        </w:behaviors>
        <w:description w:val=""/>
        <w:guid w:val="{473e446b-2123-41f1-b2d0-d5998d27faad}"/>
      </w:docPartPr>
      <w:docPartBody>
        <w:p>
          <w:r>
            <w:rPr>
              <w:color w:val="808080"/>
            </w:rPr>
            <w:t>单击此处输入文字。</w:t>
          </w:r>
        </w:p>
      </w:docPartBody>
    </w:docPart>
    <w:docPart>
      <w:docPartPr>
        <w:name w:val="{1c7aea30-4ef8-422f-8fc6-406e98dc04d5}"/>
        <w:style w:val=""/>
        <w:category>
          <w:name w:val="常规"/>
          <w:gallery w:val="placeholder"/>
        </w:category>
        <w:types>
          <w:type w:val="bbPlcHdr"/>
        </w:types>
        <w:behaviors>
          <w:behavior w:val="content"/>
        </w:behaviors>
        <w:description w:val=""/>
        <w:guid w:val="{1c7aea30-4ef8-422f-8fc6-406e98dc04d5}"/>
      </w:docPartPr>
      <w:docPartBody>
        <w:p>
          <w:r>
            <w:rPr>
              <w:color w:val="808080"/>
            </w:rPr>
            <w:t>单击此处输入文字。</w:t>
          </w:r>
        </w:p>
      </w:docPartBody>
    </w:docPart>
    <w:docPart>
      <w:docPartPr>
        <w:name w:val="{e0849672-4185-485a-a5c3-6a48425b3fbe}"/>
        <w:style w:val=""/>
        <w:category>
          <w:name w:val="常规"/>
          <w:gallery w:val="placeholder"/>
        </w:category>
        <w:types>
          <w:type w:val="bbPlcHdr"/>
        </w:types>
        <w:behaviors>
          <w:behavior w:val="content"/>
        </w:behaviors>
        <w:description w:val=""/>
        <w:guid w:val="{e0849672-4185-485a-a5c3-6a48425b3fbe}"/>
      </w:docPartPr>
      <w:docPartBody>
        <w:p>
          <w:r>
            <w:rPr>
              <w:color w:val="808080"/>
            </w:rPr>
            <w:t>单击此处输入文字。</w:t>
          </w:r>
        </w:p>
      </w:docPartBody>
    </w:docPart>
    <w:docPart>
      <w:docPartPr>
        <w:name w:val="{6b8c3359-4853-4ada-9ab4-eb97401bb8c7}"/>
        <w:style w:val=""/>
        <w:category>
          <w:name w:val="常规"/>
          <w:gallery w:val="placeholder"/>
        </w:category>
        <w:types>
          <w:type w:val="bbPlcHdr"/>
        </w:types>
        <w:behaviors>
          <w:behavior w:val="content"/>
        </w:behaviors>
        <w:description w:val=""/>
        <w:guid w:val="{6b8c3359-4853-4ada-9ab4-eb97401bb8c7}"/>
      </w:docPartPr>
      <w:docPartBody>
        <w:p>
          <w:r>
            <w:rPr>
              <w:color w:val="808080"/>
            </w:rPr>
            <w:t>单击此处输入文字。</w:t>
          </w:r>
        </w:p>
      </w:docPartBody>
    </w:docPart>
    <w:docPart>
      <w:docPartPr>
        <w:name w:val="{c17c6e83-0145-46e0-8e22-35378b29352c}"/>
        <w:style w:val=""/>
        <w:category>
          <w:name w:val="常规"/>
          <w:gallery w:val="placeholder"/>
        </w:category>
        <w:types>
          <w:type w:val="bbPlcHdr"/>
        </w:types>
        <w:behaviors>
          <w:behavior w:val="content"/>
        </w:behaviors>
        <w:description w:val=""/>
        <w:guid w:val="{c17c6e83-0145-46e0-8e22-35378b29352c}"/>
      </w:docPartPr>
      <w:docPartBody>
        <w:p>
          <w:r>
            <w:rPr>
              <w:color w:val="808080"/>
            </w:rPr>
            <w:t>单击此处输入文字。</w:t>
          </w:r>
        </w:p>
      </w:docPartBody>
    </w:docPart>
    <w:docPart>
      <w:docPartPr>
        <w:name w:val="{d82412ec-0d9b-445e-9800-daa762a21c07}"/>
        <w:style w:val=""/>
        <w:category>
          <w:name w:val="常规"/>
          <w:gallery w:val="placeholder"/>
        </w:category>
        <w:types>
          <w:type w:val="bbPlcHdr"/>
        </w:types>
        <w:behaviors>
          <w:behavior w:val="content"/>
        </w:behaviors>
        <w:description w:val=""/>
        <w:guid w:val="{d82412ec-0d9b-445e-9800-daa762a21c07}"/>
      </w:docPartPr>
      <w:docPartBody>
        <w:p>
          <w:r>
            <w:rPr>
              <w:color w:val="808080"/>
            </w:rPr>
            <w:t>单击此处输入文字。</w:t>
          </w:r>
        </w:p>
      </w:docPartBody>
    </w:docPart>
    <w:docPart>
      <w:docPartPr>
        <w:name w:val="{07e6fb7e-3608-4f18-b4af-1ef88d59f571}"/>
        <w:style w:val=""/>
        <w:category>
          <w:name w:val="常规"/>
          <w:gallery w:val="placeholder"/>
        </w:category>
        <w:types>
          <w:type w:val="bbPlcHdr"/>
        </w:types>
        <w:behaviors>
          <w:behavior w:val="content"/>
        </w:behaviors>
        <w:description w:val=""/>
        <w:guid w:val="{07e6fb7e-3608-4f18-b4af-1ef88d59f571}"/>
      </w:docPartPr>
      <w:docPartBody>
        <w:p>
          <w:r>
            <w:rPr>
              <w:color w:val="808080"/>
            </w:rPr>
            <w:t>单击此处输入文字。</w:t>
          </w:r>
        </w:p>
      </w:docPartBody>
    </w:docPart>
    <w:docPart>
      <w:docPartPr>
        <w:name w:val="{836bd8c0-b63b-41d2-b3ba-9d8b3a4c2c6f}"/>
        <w:style w:val=""/>
        <w:category>
          <w:name w:val="常规"/>
          <w:gallery w:val="placeholder"/>
        </w:category>
        <w:types>
          <w:type w:val="bbPlcHdr"/>
        </w:types>
        <w:behaviors>
          <w:behavior w:val="content"/>
        </w:behaviors>
        <w:description w:val=""/>
        <w:guid w:val="{836bd8c0-b63b-41d2-b3ba-9d8b3a4c2c6f}"/>
      </w:docPartPr>
      <w:docPartBody>
        <w:p>
          <w:r>
            <w:rPr>
              <w:color w:val="808080"/>
            </w:rPr>
            <w:t>单击此处输入文字。</w:t>
          </w:r>
        </w:p>
      </w:docPartBody>
    </w:docPart>
    <w:docPart>
      <w:docPartPr>
        <w:name w:val="{b744d978-f51e-49ba-a41c-273dff051c16}"/>
        <w:style w:val=""/>
        <w:category>
          <w:name w:val="常规"/>
          <w:gallery w:val="placeholder"/>
        </w:category>
        <w:types>
          <w:type w:val="bbPlcHdr"/>
        </w:types>
        <w:behaviors>
          <w:behavior w:val="content"/>
        </w:behaviors>
        <w:description w:val=""/>
        <w:guid w:val="{b744d978-f51e-49ba-a41c-273dff051c16}"/>
      </w:docPartPr>
      <w:docPartBody>
        <w:p>
          <w:r>
            <w:rPr>
              <w:color w:val="808080"/>
            </w:rPr>
            <w:t>单击此处输入文字。</w:t>
          </w:r>
        </w:p>
      </w:docPartBody>
    </w:docPart>
    <w:docPart>
      <w:docPartPr>
        <w:name w:val="{30d41a10-3710-4ad7-ba0d-e8490a69b602}"/>
        <w:style w:val=""/>
        <w:category>
          <w:name w:val="常规"/>
          <w:gallery w:val="placeholder"/>
        </w:category>
        <w:types>
          <w:type w:val="bbPlcHdr"/>
        </w:types>
        <w:behaviors>
          <w:behavior w:val="content"/>
        </w:behaviors>
        <w:description w:val=""/>
        <w:guid w:val="{30d41a10-3710-4ad7-ba0d-e8490a69b602}"/>
      </w:docPartPr>
      <w:docPartBody>
        <w:p>
          <w:r>
            <w:rPr>
              <w:color w:val="808080"/>
            </w:rPr>
            <w:t>单击此处输入文字。</w:t>
          </w:r>
        </w:p>
      </w:docPartBody>
    </w:docPart>
    <w:docPart>
      <w:docPartPr>
        <w:name w:val="{c57426f5-a3b1-433b-9dc5-aa1c1ed10a88}"/>
        <w:style w:val=""/>
        <w:category>
          <w:name w:val="常规"/>
          <w:gallery w:val="placeholder"/>
        </w:category>
        <w:types>
          <w:type w:val="bbPlcHdr"/>
        </w:types>
        <w:behaviors>
          <w:behavior w:val="content"/>
        </w:behaviors>
        <w:description w:val=""/>
        <w:guid w:val="{c57426f5-a3b1-433b-9dc5-aa1c1ed10a88}"/>
      </w:docPartPr>
      <w:docPartBody>
        <w:p>
          <w:r>
            <w:rPr>
              <w:color w:val="808080"/>
            </w:rPr>
            <w:t>单击此处输入文字。</w:t>
          </w:r>
        </w:p>
      </w:docPartBody>
    </w:docPart>
    <w:docPart>
      <w:docPartPr>
        <w:name w:val="{2dc8a0d5-189a-4201-b1f3-c4de58c28f46}"/>
        <w:style w:val=""/>
        <w:category>
          <w:name w:val="常规"/>
          <w:gallery w:val="placeholder"/>
        </w:category>
        <w:types>
          <w:type w:val="bbPlcHdr"/>
        </w:types>
        <w:behaviors>
          <w:behavior w:val="content"/>
        </w:behaviors>
        <w:description w:val=""/>
        <w:guid w:val="{2dc8a0d5-189a-4201-b1f3-c4de58c28f46}"/>
      </w:docPartPr>
      <w:docPartBody>
        <w:p>
          <w:r>
            <w:rPr>
              <w:color w:val="808080"/>
            </w:rPr>
            <w:t>单击此处输入文字。</w:t>
          </w:r>
        </w:p>
      </w:docPartBody>
    </w:docPart>
    <w:docPart>
      <w:docPartPr>
        <w:name w:val="{d68a76bb-f6ad-427c-ae96-ba220ccb965d}"/>
        <w:style w:val=""/>
        <w:category>
          <w:name w:val="常规"/>
          <w:gallery w:val="placeholder"/>
        </w:category>
        <w:types>
          <w:type w:val="bbPlcHdr"/>
        </w:types>
        <w:behaviors>
          <w:behavior w:val="content"/>
        </w:behaviors>
        <w:description w:val=""/>
        <w:guid w:val="{d68a76bb-f6ad-427c-ae96-ba220ccb965d}"/>
      </w:docPartPr>
      <w:docPartBody>
        <w:p>
          <w:r>
            <w:rPr>
              <w:color w:val="808080"/>
            </w:rPr>
            <w:t>单击此处输入文字。</w:t>
          </w:r>
        </w:p>
      </w:docPartBody>
    </w:docPart>
    <w:docPart>
      <w:docPartPr>
        <w:name w:val="{a43f0069-0781-4dbc-bd1c-c86d3ea1ea4c}"/>
        <w:style w:val=""/>
        <w:category>
          <w:name w:val="常规"/>
          <w:gallery w:val="placeholder"/>
        </w:category>
        <w:types>
          <w:type w:val="bbPlcHdr"/>
        </w:types>
        <w:behaviors>
          <w:behavior w:val="content"/>
        </w:behaviors>
        <w:description w:val=""/>
        <w:guid w:val="{a43f0069-0781-4dbc-bd1c-c86d3ea1ea4c}"/>
      </w:docPartPr>
      <w:docPartBody>
        <w:p>
          <w:r>
            <w:rPr>
              <w:color w:val="808080"/>
            </w:rPr>
            <w:t>单击此处输入文字。</w:t>
          </w:r>
        </w:p>
      </w:docPartBody>
    </w:docPart>
    <w:docPart>
      <w:docPartPr>
        <w:name w:val="{7378724b-7546-42cd-9505-fd5d44cb8867}"/>
        <w:style w:val=""/>
        <w:category>
          <w:name w:val="常规"/>
          <w:gallery w:val="placeholder"/>
        </w:category>
        <w:types>
          <w:type w:val="bbPlcHdr"/>
        </w:types>
        <w:behaviors>
          <w:behavior w:val="content"/>
        </w:behaviors>
        <w:description w:val=""/>
        <w:guid w:val="{7378724b-7546-42cd-9505-fd5d44cb8867}"/>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7051</Words>
  <Characters>7380</Characters>
  <Lines>80</Lines>
  <Paragraphs>22</Paragraphs>
  <TotalTime>7</TotalTime>
  <ScaleCrop>false</ScaleCrop>
  <LinksUpToDate>false</LinksUpToDate>
  <CharactersWithSpaces>7477</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2022-02-17T13:10:00Z</dcterms:created>
  <dc:creator>Administrator</dc:creator>
  <cp:lastModifiedBy>Administrator</cp:lastModifiedBy>
  <cp:lastPrinted>2023-06-20T00:50:00Z</cp:lastPrinted>
  <dcterms:modified xsi:type="dcterms:W3CDTF">2023-07-18T06:18:51Z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y fmtid="{D5CDD505-2E9C-101B-9397-08002B2CF9AE}" pid="3" name="ICV">
    <vt:lpwstr>70ADA138347C47A2959804951F09CA3C_13</vt:lpwstr>
  </property>
</Properties>
</file>