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宋体" w:hAnsi="宋体" w:cs="宋体"/>
          <w:color w:val="000000"/>
          <w:kern w:val="0"/>
          <w:sz w:val="44"/>
          <w:szCs w:val="44"/>
        </w:rPr>
        <w:t>贵州普定农村商业银行股份有限公司</w:t>
      </w:r>
      <w:r>
        <w:rPr>
          <w:rFonts w:hint="eastAsia" w:ascii="宋体" w:hAnsi="宋体" w:cs="宋体"/>
          <w:color w:val="000000"/>
          <w:kern w:val="0"/>
          <w:sz w:val="44"/>
          <w:szCs w:val="44"/>
          <w:lang w:val="en-US" w:eastAsia="zh-CN"/>
        </w:rPr>
        <w:t>平安公众险、在途现金险</w:t>
      </w:r>
      <w:r>
        <w:rPr>
          <w:rFonts w:hint="eastAsia" w:ascii="宋体" w:hAnsi="宋体" w:cs="宋体"/>
          <w:color w:val="000000"/>
          <w:kern w:val="0"/>
          <w:sz w:val="44"/>
          <w:szCs w:val="44"/>
        </w:rPr>
        <w:t>服务项目</w:t>
      </w:r>
      <w:r>
        <w:rPr>
          <w:rFonts w:hint="eastAsia" w:ascii="仿宋_GB2312" w:hAnsi="仿宋_GB2312" w:eastAsia="仿宋_GB2312" w:cs="仿宋_GB2312"/>
          <w:b/>
          <w:bCs/>
          <w:sz w:val="44"/>
          <w:szCs w:val="44"/>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7</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5-6</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numPr>
          <w:ilvl w:val="0"/>
          <w:numId w:val="1"/>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1.1申请人应具备</w:t>
      </w:r>
      <w:r>
        <w:rPr>
          <w:rFonts w:hint="eastAsia" w:ascii="仿宋_GB2312" w:hAnsi="仿宋_GB2312" w:eastAsia="仿宋_GB2312" w:cs="仿宋_GB2312"/>
          <w:sz w:val="30"/>
          <w:szCs w:val="30"/>
          <w:lang w:val="en-US" w:eastAsia="zh-CN"/>
        </w:rPr>
        <w:t>平安公众险、在途现金险</w:t>
      </w:r>
      <w:r>
        <w:rPr>
          <w:rFonts w:hint="eastAsia" w:ascii="仿宋_GB2312" w:hAnsi="仿宋_GB2312" w:eastAsia="仿宋_GB2312" w:cs="仿宋_GB2312"/>
          <w:sz w:val="30"/>
          <w:szCs w:val="30"/>
        </w:rPr>
        <w:t>服务、</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仿宋_GB2312" w:hAnsi="仿宋_GB2312" w:eastAsia="仿宋_GB2312" w:cs="仿宋_GB2312"/>
          <w:color w:val="000000"/>
          <w:kern w:val="0"/>
          <w:sz w:val="30"/>
          <w:szCs w:val="30"/>
          <w:u w:val="none"/>
        </w:rPr>
        <w:t>贵州普定农村商业银行股份有限公司</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bookmarkStart w:id="0" w:name="_GoBack"/>
      <w:bookmarkEnd w:id="0"/>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申请人的营业执照（复印件加盖单位公章）</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其他材料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综合评分办法要求的相关材料</w:t>
      </w:r>
      <w:r>
        <w:rPr>
          <w:rFonts w:hint="eastAsia" w:ascii="仿宋_GB2312" w:hAnsi="仿宋_GB2312" w:eastAsia="仿宋_GB2312" w:cs="仿宋_GB2312"/>
          <w:sz w:val="30"/>
          <w:szCs w:val="30"/>
          <w:lang w:eastAsia="zh-CN"/>
        </w:rPr>
        <w:t>）</w:t>
      </w: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w:t>
      </w:r>
      <w:r>
        <w:rPr>
          <w:rFonts w:hint="eastAsia" w:ascii="华文仿宋" w:hAnsi="华文仿宋" w:eastAsia="华文仿宋" w:cs="华文仿宋"/>
          <w:color w:val="000000"/>
          <w:kern w:val="0"/>
          <w:sz w:val="30"/>
          <w:szCs w:val="30"/>
          <w:lang w:val="en-US" w:eastAsia="zh-CN"/>
        </w:rPr>
        <w:t>平安公众险、在途现金险</w:t>
      </w:r>
      <w:r>
        <w:rPr>
          <w:rFonts w:hint="eastAsia" w:ascii="华文仿宋" w:hAnsi="华文仿宋" w:eastAsia="华文仿宋" w:cs="华文仿宋"/>
          <w:color w:val="000000"/>
          <w:kern w:val="0"/>
          <w:sz w:val="30"/>
          <w:szCs w:val="30"/>
        </w:rPr>
        <w:t>服务项目</w:t>
      </w:r>
      <w:r>
        <w:rPr>
          <w:rFonts w:hint="eastAsia" w:ascii="华文仿宋" w:hAnsi="华文仿宋" w:eastAsia="华文仿宋" w:cs="华文仿宋"/>
          <w:color w:val="000000"/>
          <w:kern w:val="0"/>
          <w:sz w:val="30"/>
          <w:szCs w:val="30"/>
          <w:lang w:val="en-US" w:eastAsia="zh-CN"/>
        </w:rPr>
        <w:t>工</w:t>
      </w:r>
      <w:r>
        <w:rPr>
          <w:rFonts w:hint="eastAsia" w:ascii="华文仿宋" w:hAnsi="华文仿宋" w:eastAsia="华文仿宋" w:cs="华文仿宋"/>
          <w:sz w:val="30"/>
          <w:szCs w:val="30"/>
        </w:rPr>
        <w:t>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default"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项 目</w:t>
            </w:r>
          </w:p>
        </w:tc>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分 值</w:t>
            </w:r>
          </w:p>
        </w:tc>
        <w:tc>
          <w:tcPr>
            <w:tcW w:w="4262"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restart"/>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报价</w:t>
            </w:r>
          </w:p>
        </w:tc>
        <w:tc>
          <w:tcPr>
            <w:tcW w:w="2130" w:type="dxa"/>
            <w:vMerge w:val="restart"/>
          </w:tcPr>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30分（每个险种各15分）（拦标价107500元）</w:t>
            </w:r>
          </w:p>
        </w:tc>
        <w:tc>
          <w:tcPr>
            <w:tcW w:w="4262" w:type="dxa"/>
          </w:tcPr>
          <w:p>
            <w:pPr>
              <w:rPr>
                <w:rFonts w:hint="default"/>
                <w:vertAlign w:val="baseline"/>
                <w:lang w:val="en-US" w:eastAsia="zh-CN"/>
              </w:rPr>
            </w:pPr>
            <w:r>
              <w:rPr>
                <w:rFonts w:hint="eastAsia" w:hAnsi="宋体" w:eastAsia="宋体"/>
                <w:color w:val="000000"/>
                <w:kern w:val="2"/>
                <w:sz w:val="24"/>
                <w:szCs w:val="24"/>
                <w:lang w:val="en-US" w:eastAsia="zh-CN"/>
              </w:rPr>
              <w:t>平安公众险标的为归属普定农商银行的所有营业场所及离行式自助银行区域</w:t>
            </w:r>
            <w:r>
              <w:rPr>
                <w:rFonts w:hint="eastAsia" w:hAnsi="宋体"/>
                <w:color w:val="000000"/>
                <w:kern w:val="2"/>
                <w:sz w:val="24"/>
                <w:szCs w:val="24"/>
                <w:lang w:val="en-US" w:eastAsia="zh-CN"/>
              </w:rPr>
              <w:t>及公共区域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continue"/>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tc>
        <w:tc>
          <w:tcPr>
            <w:tcW w:w="2130" w:type="dxa"/>
            <w:vMerge w:val="continue"/>
          </w:tcPr>
          <w:p/>
        </w:tc>
        <w:tc>
          <w:tcPr>
            <w:tcW w:w="4262" w:type="dxa"/>
          </w:tcPr>
          <w:p>
            <w:pPr>
              <w:ind w:firstLine="1140" w:firstLineChars="500"/>
              <w:rPr>
                <w:rFonts w:hint="default"/>
                <w:vertAlign w:val="baseline"/>
                <w:lang w:val="en-US" w:eastAsia="zh-CN"/>
              </w:rPr>
            </w:pPr>
            <w:r>
              <w:rPr>
                <w:rFonts w:hint="eastAsia" w:hAnsi="宋体" w:eastAsia="宋体"/>
                <w:color w:val="000000"/>
                <w:kern w:val="2"/>
                <w:sz w:val="24"/>
                <w:szCs w:val="24"/>
                <w:lang w:val="en-US" w:eastAsia="zh-CN"/>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赔偿限额</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①</w:t>
            </w:r>
            <w:r>
              <w:rPr>
                <w:rFonts w:hint="eastAsia" w:hAnsi="宋体" w:eastAsia="宋体"/>
                <w:color w:val="000000"/>
                <w:kern w:val="2"/>
                <w:sz w:val="24"/>
                <w:szCs w:val="24"/>
                <w:lang w:eastAsia="zh-CN"/>
              </w:rPr>
              <w:t>累计赔偿限额 3,00</w:t>
            </w:r>
            <w:r>
              <w:rPr>
                <w:rFonts w:hint="eastAsia" w:hAnsi="宋体" w:eastAsia="宋体"/>
                <w:color w:val="000000"/>
                <w:kern w:val="2"/>
                <w:sz w:val="24"/>
                <w:szCs w:val="24"/>
                <w:lang w:val="en-US" w:eastAsia="zh-CN"/>
              </w:rPr>
              <w:t>0</w:t>
            </w:r>
            <w:r>
              <w:rPr>
                <w:rFonts w:hint="eastAsia" w:hAnsi="宋体" w:eastAsia="宋体"/>
                <w:color w:val="000000"/>
                <w:kern w:val="2"/>
                <w:sz w:val="24"/>
                <w:szCs w:val="24"/>
                <w:lang w:eastAsia="zh-CN"/>
              </w:rPr>
              <w:t>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②</w:t>
            </w:r>
            <w:r>
              <w:rPr>
                <w:rFonts w:hint="eastAsia" w:hAnsi="宋体" w:eastAsia="宋体"/>
                <w:color w:val="000000"/>
                <w:kern w:val="2"/>
                <w:sz w:val="24"/>
                <w:szCs w:val="24"/>
                <w:lang w:eastAsia="zh-CN"/>
              </w:rPr>
              <w:t>每次事故财产损失赔偿限额5,000,000；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③</w:t>
            </w:r>
            <w:r>
              <w:rPr>
                <w:rFonts w:hint="eastAsia" w:hAnsi="宋体" w:eastAsia="宋体"/>
                <w:color w:val="000000"/>
                <w:kern w:val="2"/>
                <w:sz w:val="24"/>
                <w:szCs w:val="24"/>
                <w:lang w:eastAsia="zh-CN"/>
              </w:rPr>
              <w:t>每次事故人身伤亡赔偿限额 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每次事故赔偿限额 1,500,000；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每次事故每人赔偿限额 600,000；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每人医疗费用赔偿限额 600,000 。</w:t>
            </w:r>
          </w:p>
          <w:p>
            <w:pPr>
              <w:widowControl/>
              <w:autoSpaceDE/>
              <w:autoSpaceDN/>
              <w:adjustRightInd/>
              <w:spacing w:line="270" w:lineRule="exact"/>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低于任一项标准此项不得分，</w:t>
            </w:r>
            <w:r>
              <w:rPr>
                <w:rFonts w:hint="eastAsia" w:hAnsi="宋体" w:eastAsia="宋体"/>
                <w:color w:val="000000"/>
                <w:kern w:val="2"/>
                <w:sz w:val="24"/>
                <w:szCs w:val="24"/>
                <w:lang w:val="en-US" w:eastAsia="zh-CN"/>
              </w:rPr>
              <w:t>全部满足得14分,每项高出限额标准加1分，总分不超过20分。</w:t>
            </w:r>
          </w:p>
          <w:p>
            <w:pPr>
              <w:rPr>
                <w:rStyle w:val="9"/>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基本服务</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10分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①</w:t>
            </w:r>
            <w:r>
              <w:rPr>
                <w:rFonts w:hAnsi="宋体" w:eastAsia="宋体"/>
                <w:color w:val="000000"/>
                <w:kern w:val="2"/>
                <w:sz w:val="24"/>
                <w:szCs w:val="24"/>
              </w:rPr>
              <w:t>现场查勘承诺：接报案后专门人员县城半小时、乡镇1小时赶到现场查勘得</w:t>
            </w:r>
            <w:r>
              <w:rPr>
                <w:rFonts w:hint="eastAsia" w:hAnsi="宋体" w:eastAsia="宋体"/>
                <w:color w:val="000000"/>
                <w:kern w:val="2"/>
                <w:sz w:val="24"/>
                <w:szCs w:val="24"/>
                <w:lang w:val="en-US" w:eastAsia="zh-CN"/>
              </w:rPr>
              <w:t>2</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②</w:t>
            </w:r>
            <w:r>
              <w:rPr>
                <w:rFonts w:hAnsi="宋体" w:eastAsia="宋体"/>
                <w:color w:val="000000"/>
                <w:kern w:val="2"/>
                <w:sz w:val="24"/>
                <w:szCs w:val="24"/>
              </w:rPr>
              <w:t>在医疗限额内垫付医疗费得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③</w:t>
            </w:r>
            <w:r>
              <w:rPr>
                <w:rFonts w:hAnsi="宋体" w:eastAsia="宋体"/>
                <w:color w:val="000000"/>
                <w:kern w:val="2"/>
                <w:sz w:val="24"/>
                <w:szCs w:val="24"/>
              </w:rPr>
              <w:t>理赔承诺：调解结案或判决、裁决生效后，专门人员3日内上门指导收集资料，7日内完成单证审核得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rPr>
                <w:rFonts w:hint="default"/>
                <w:vertAlign w:val="baseline"/>
                <w:lang w:val="en-US"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Ansi="宋体" w:eastAsia="宋体"/>
                <w:color w:val="000000"/>
                <w:kern w:val="2"/>
                <w:sz w:val="24"/>
                <w:szCs w:val="24"/>
              </w:rPr>
              <w:t>小额快速赔付承诺：10000元以内7个工作日内快速赔付得2分。</w:t>
            </w:r>
            <w:r>
              <w:rPr>
                <w:rFonts w:hint="eastAsia" w:hAnsi="宋体" w:eastAsia="宋体"/>
                <w:color w:val="000000"/>
                <w:kern w:val="2"/>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附加险限额</w:t>
            </w:r>
          </w:p>
        </w:tc>
        <w:tc>
          <w:tcPr>
            <w:tcW w:w="2130" w:type="dxa"/>
          </w:tcPr>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1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①</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停车场责任条款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r>
              <w:rPr>
                <w:rFonts w:hint="default" w:hAnsi="宋体" w:eastAsia="宋体"/>
                <w:color w:val="000000"/>
                <w:kern w:val="2"/>
                <w:sz w:val="24"/>
                <w:szCs w:val="24"/>
                <w:lang w:eastAsia="zh-CN"/>
              </w:rPr>
              <w:t xml:space="preserve"> 累计赔偿限额 3000000.00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每个车位赔偿限额 100000.00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2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②</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火灾和爆炸责任条款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color w:val="000000"/>
                <w:kern w:val="2"/>
                <w:sz w:val="24"/>
                <w:szCs w:val="24"/>
                <w:lang w:val="en-US" w:eastAsia="zh-CN"/>
              </w:rPr>
              <w:t xml:space="preserve"> </w:t>
            </w:r>
            <w:r>
              <w:rPr>
                <w:rFonts w:hint="default" w:hAnsi="宋体" w:eastAsia="宋体"/>
                <w:color w:val="000000"/>
                <w:kern w:val="2"/>
                <w:sz w:val="24"/>
                <w:szCs w:val="24"/>
                <w:lang w:eastAsia="zh-CN"/>
              </w:rPr>
              <w:t xml:space="preserve"> </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t>累计赔偿限额 30000000.00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每次事故财产损失赔偿限额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每次事故人身伤亡赔偿限额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3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③</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 xml:space="preserve">广告招牌及装饰物责任条款 累计赔偿限额 </w:t>
            </w:r>
            <w:r>
              <w:rPr>
                <w:rFonts w:hint="eastAsia" w:hAnsi="宋体"/>
                <w:color w:val="000000"/>
                <w:kern w:val="2"/>
                <w:sz w:val="24"/>
                <w:szCs w:val="24"/>
                <w:lang w:eastAsia="zh-CN"/>
              </w:rPr>
              <w:t>（</w:t>
            </w:r>
            <w:r>
              <w:rPr>
                <w:rFonts w:hint="eastAsia" w:hAnsi="宋体"/>
                <w:color w:val="000000"/>
                <w:kern w:val="2"/>
                <w:sz w:val="24"/>
                <w:szCs w:val="24"/>
                <w:lang w:val="en-US" w:eastAsia="zh-CN"/>
              </w:rPr>
              <w:t>5分</w:t>
            </w:r>
            <w:r>
              <w:rPr>
                <w:rFonts w:hint="eastAsia" w:hAnsi="宋体"/>
                <w:color w:val="000000"/>
                <w:kern w:val="2"/>
                <w:sz w:val="24"/>
                <w:szCs w:val="24"/>
                <w:lang w:eastAsia="zh-CN"/>
              </w:rPr>
              <w:t>）</w:t>
            </w:r>
            <w:r>
              <w:rPr>
                <w:rFonts w:hint="default" w:hAnsi="宋体" w:eastAsia="宋体"/>
                <w:color w:val="000000"/>
                <w:kern w:val="2"/>
                <w:sz w:val="24"/>
                <w:szCs w:val="24"/>
                <w:lang w:eastAsia="zh-CN"/>
              </w:rPr>
              <w:t>300000</w:t>
            </w:r>
            <w:r>
              <w:rPr>
                <w:rFonts w:hint="eastAsia" w:hAnsi="宋体" w:eastAsia="宋体"/>
                <w:color w:val="000000"/>
                <w:kern w:val="2"/>
                <w:sz w:val="24"/>
                <w:szCs w:val="24"/>
                <w:lang w:eastAsia="zh-CN"/>
              </w:rPr>
              <w:t>00.0</w:t>
            </w:r>
            <w:r>
              <w:rPr>
                <w:rFonts w:hint="eastAsia" w:hAnsi="宋体"/>
                <w:color w:val="000000"/>
                <w:kern w:val="2"/>
                <w:sz w:val="24"/>
                <w:szCs w:val="24"/>
                <w:lang w:val="en-US" w:eastAsia="zh-CN"/>
              </w:rPr>
              <w:t>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每次事故财产损失赔偿限额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每次事故人身伤亡赔偿限额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节日装饰责任扩展条款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t>每次事故赔偿限额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200000.00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累计赔偿限额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急救费用条款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救火费用条款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7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⑦</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闪电雷击伤害责任条款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rPr>
                <w:rFonts w:hint="default"/>
                <w:vertAlign w:val="baseline"/>
                <w:lang w:val="en-US" w:eastAsia="zh-CN"/>
              </w:rPr>
            </w:pPr>
            <w:r>
              <w:rPr>
                <w:rFonts w:hint="eastAsia" w:hAnsi="宋体"/>
                <w:color w:val="000000"/>
                <w:kern w:val="2"/>
                <w:sz w:val="24"/>
                <w:szCs w:val="24"/>
                <w:lang w:val="en-US" w:eastAsia="zh-CN"/>
              </w:rPr>
              <w:t>任何一项低于标准不得分。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有无免赔条款</w:t>
            </w:r>
          </w:p>
        </w:tc>
        <w:tc>
          <w:tcPr>
            <w:tcW w:w="2130" w:type="dxa"/>
          </w:tcPr>
          <w:p>
            <w:pPr>
              <w:ind w:firstLine="198" w:firstLineChars="1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15分</w:t>
            </w:r>
          </w:p>
        </w:tc>
        <w:tc>
          <w:tcPr>
            <w:tcW w:w="4262" w:type="dxa"/>
          </w:tcPr>
          <w:p>
            <w:pPr>
              <w:ind w:firstLine="456" w:firstLineChars="200"/>
              <w:rPr>
                <w:rFonts w:hint="default"/>
                <w:vertAlign w:val="baseline"/>
                <w:lang w:val="en-US" w:eastAsia="zh-CN"/>
              </w:rPr>
            </w:pPr>
            <w:r>
              <w:rPr>
                <w:rFonts w:hint="eastAsia" w:hAnsi="宋体" w:eastAsia="宋体"/>
                <w:color w:val="000000"/>
                <w:kern w:val="2"/>
                <w:sz w:val="24"/>
                <w:szCs w:val="24"/>
                <w:lang w:val="en-US" w:eastAsia="zh-CN"/>
              </w:rPr>
              <w:t>无得分；有不得分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t>售后服务与技术支持</w:t>
            </w:r>
          </w:p>
        </w:tc>
        <w:tc>
          <w:tcPr>
            <w:tcW w:w="2130" w:type="dxa"/>
          </w:tcPr>
          <w:p>
            <w:pPr>
              <w:rPr>
                <w:rFonts w:hint="eastAsia"/>
                <w:vertAlign w:val="baseline"/>
                <w:lang w:val="en-US" w:eastAsia="zh-CN"/>
              </w:rPr>
            </w:pPr>
          </w:p>
          <w:p>
            <w:pPr>
              <w:rPr>
                <w:rFonts w:hint="eastAsia"/>
                <w:vertAlign w:val="baseline"/>
                <w:lang w:val="en-US" w:eastAsia="zh-CN"/>
              </w:rPr>
            </w:pPr>
          </w:p>
          <w:p>
            <w:pPr>
              <w:ind w:firstLine="594" w:firstLineChars="3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5分</w:t>
            </w:r>
          </w:p>
        </w:tc>
        <w:tc>
          <w:tcPr>
            <w:tcW w:w="4262" w:type="dxa"/>
          </w:tcPr>
          <w:p>
            <w:pPr>
              <w:rPr>
                <w:rFonts w:hint="default"/>
                <w:vertAlign w:val="baseline"/>
                <w:lang w:val="en-US" w:eastAsia="zh-CN"/>
              </w:rPr>
            </w:pPr>
            <w:r>
              <w:rPr>
                <w:rFonts w:hint="eastAsia" w:hAnsi="宋体" w:eastAsia="宋体" w:cs="宋体"/>
                <w:color w:val="000000"/>
                <w:kern w:val="2"/>
                <w:sz w:val="24"/>
                <w:szCs w:val="24"/>
                <w:shd w:val="clear" w:color="auto" w:fill="FFFFFF"/>
              </w:rPr>
              <w:t>根据投标人针对本项目拟定的服务标准、</w:t>
            </w:r>
            <w:r>
              <w:rPr>
                <w:rFonts w:hint="eastAsia" w:hAnsi="宋体" w:eastAsia="宋体"/>
                <w:color w:val="000000"/>
                <w:kern w:val="2"/>
                <w:sz w:val="24"/>
                <w:szCs w:val="24"/>
              </w:rPr>
              <w:t>服务计划、优惠承诺、后续服务</w:t>
            </w:r>
            <w:r>
              <w:rPr>
                <w:rFonts w:hint="eastAsia" w:hAnsi="宋体" w:eastAsia="宋体" w:cs="宋体"/>
                <w:color w:val="000000"/>
                <w:kern w:val="2"/>
                <w:sz w:val="24"/>
                <w:szCs w:val="24"/>
                <w:shd w:val="clear" w:color="auto" w:fill="FFFFFF"/>
              </w:rPr>
              <w:t>等内容进行综合评价：好得</w:t>
            </w:r>
            <w:r>
              <w:rPr>
                <w:rFonts w:hint="eastAsia" w:hAnsi="宋体" w:cs="宋体"/>
                <w:color w:val="000000"/>
                <w:kern w:val="2"/>
                <w:sz w:val="24"/>
                <w:szCs w:val="24"/>
                <w:shd w:val="clear" w:color="auto" w:fill="FFFFFF"/>
                <w:lang w:val="en-US" w:eastAsia="zh-CN"/>
              </w:rPr>
              <w:t>5</w:t>
            </w:r>
            <w:r>
              <w:rPr>
                <w:rFonts w:hint="eastAsia" w:hAnsi="宋体" w:eastAsia="宋体" w:cs="宋体"/>
                <w:color w:val="000000"/>
                <w:kern w:val="2"/>
                <w:sz w:val="24"/>
                <w:szCs w:val="24"/>
                <w:shd w:val="clear" w:color="auto" w:fill="FFFFFF"/>
              </w:rPr>
              <w:t>-4分，</w:t>
            </w:r>
            <w:r>
              <w:rPr>
                <w:rFonts w:hint="eastAsia" w:hAnsi="宋体" w:eastAsia="宋体"/>
                <w:bCs/>
                <w:color w:val="000000"/>
                <w:kern w:val="2"/>
                <w:sz w:val="24"/>
                <w:szCs w:val="24"/>
              </w:rPr>
              <w:t>一般3-1分</w:t>
            </w:r>
            <w:r>
              <w:rPr>
                <w:rFonts w:hint="eastAsia" w:hAnsi="宋体" w:eastAsia="宋体" w:cs="宋体"/>
                <w:color w:val="000000"/>
                <w:kern w:val="2"/>
                <w:sz w:val="24"/>
                <w:szCs w:val="24"/>
                <w:shd w:val="clear" w:color="auto" w:fill="FFFFFF"/>
              </w:rPr>
              <w:t>，差或不提供不得分。</w:t>
            </w:r>
          </w:p>
        </w:tc>
      </w:tr>
    </w:tbl>
    <w:p>
      <w:pPr>
        <w:numPr>
          <w:ilvl w:val="0"/>
          <w:numId w:val="0"/>
        </w:numPr>
        <w:ind w:leftChars="0"/>
        <w:jc w:val="both"/>
        <w:rPr>
          <w:rFonts w:hint="eastAsia" w:ascii="仿宋_GB2312" w:hAnsi="仿宋_GB2312" w:eastAsia="仿宋_GB2312" w:cs="仿宋_GB2312"/>
          <w:b/>
          <w:bCs/>
          <w:sz w:val="32"/>
          <w:szCs w:val="32"/>
        </w:rPr>
      </w:pPr>
    </w:p>
    <w:p>
      <w:pPr>
        <w:numPr>
          <w:ilvl w:val="0"/>
          <w:numId w:val="0"/>
        </w:numPr>
        <w:ind w:leftChars="0"/>
        <w:rPr>
          <w:rFonts w:hint="default" w:ascii="仿宋_GB2312" w:hAnsi="仿宋_GB2312" w:eastAsia="仿宋_GB2312" w:cs="仿宋_GB2312"/>
          <w:b/>
          <w:bCs/>
          <w:sz w:val="32"/>
          <w:szCs w:val="32"/>
          <w:lang w:val="en-US" w:eastAsia="zh-CN"/>
        </w:rPr>
      </w:pPr>
    </w:p>
    <w:p/>
    <w:sectPr>
      <w:headerReference r:id="rId4" w:type="default"/>
      <w:footerReference r:id="rId5" w:type="default"/>
      <w:footerReference r:id="rId6" w:type="even"/>
      <w:pgSz w:w="11906" w:h="16838"/>
      <w:pgMar w:top="2098" w:right="1474" w:bottom="1985" w:left="1588" w:header="851" w:footer="1644" w:gutter="0"/>
      <w:pgNumType w:fmt="numberInDash" w:start="1"/>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D6BB6275"/>
    <w:multiLevelType w:val="singleLevel"/>
    <w:tmpl w:val="D6BB6275"/>
    <w:lvl w:ilvl="0" w:tentative="0">
      <w:start w:val="1"/>
      <w:numFmt w:val="decimal"/>
      <w:suff w:val="nothing"/>
      <w:lvlText w:val="%1、"/>
      <w:lvlJc w:val="left"/>
    </w:lvl>
  </w:abstractNum>
  <w:abstractNum w:abstractNumId="3">
    <w:nsid w:val="587D21AD"/>
    <w:multiLevelType w:val="singleLevel"/>
    <w:tmpl w:val="587D21AD"/>
    <w:lvl w:ilvl="0" w:tentative="0">
      <w:start w:val="1"/>
      <w:numFmt w:val="decimal"/>
      <w:suff w:val="nothing"/>
      <w:lvlText w:val="（%1）"/>
      <w:lvlJc w:val="left"/>
    </w:lvl>
  </w:abstractNum>
  <w:abstractNum w:abstractNumId="4">
    <w:nsid w:val="71DEE8F9"/>
    <w:multiLevelType w:val="singleLevel"/>
    <w:tmpl w:val="71DEE8F9"/>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4148D"/>
    <w:rsid w:val="2D24148D"/>
    <w:rsid w:val="400F4B5A"/>
    <w:rsid w:val="40176273"/>
    <w:rsid w:val="5EE6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fontstyle01"/>
    <w:basedOn w:val="6"/>
    <w:qFormat/>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2023-07-04T06:54:00Z</dcterms:created>
  <dc:creator>133939-毕倩</dc:creator>
  <cp:lastModifiedBy>133939-毕倩</cp:lastModifiedBy>
  <dcterms:modified xsi:type="dcterms:W3CDTF">2023-07-11T01:15:20Z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