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outlineLvl w:val="0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附件1</w:t>
      </w:r>
    </w:p>
    <w:p>
      <w:pPr>
        <w:widowControl/>
        <w:spacing w:line="320" w:lineRule="exact"/>
        <w:jc w:val="center"/>
        <w:outlineLvl w:val="0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需求及服务要求</w:t>
      </w:r>
    </w:p>
    <w:bookmarkEnd w:id="0"/>
    <w:tbl>
      <w:tblPr>
        <w:tblStyle w:val="8"/>
        <w:tblW w:w="9354" w:type="dxa"/>
        <w:tblInd w:w="-18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6537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3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方正小标宋简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ORACLE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原厂高服服务</w:t>
            </w: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年度人天规划（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ASA</w:t>
            </w: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  <w:t>服务项</w:t>
            </w:r>
          </w:p>
        </w:tc>
        <w:tc>
          <w:tcPr>
            <w:tcW w:w="6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  <w:t>说明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  <w:t>人天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系统健康检查</w:t>
            </w:r>
          </w:p>
        </w:tc>
        <w:tc>
          <w:tcPr>
            <w:tcW w:w="6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依托原厂专业工具及脚本对数据库进行深度检查，以及补丁分析。每年计划开展4次，每次约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5天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，具体系统按贵州农信要求实施。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结息保障及结息优化，年终及重大时点保障</w:t>
            </w:r>
          </w:p>
        </w:tc>
        <w:tc>
          <w:tcPr>
            <w:tcW w:w="6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提供结息前准备，结息期间监控和问题处理，结息后数据库运行优化服务，以及年终保障。参照以往年度服务情况，约需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20人天。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运维支持及优化</w:t>
            </w:r>
          </w:p>
        </w:tc>
        <w:tc>
          <w:tcPr>
            <w:tcW w:w="6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1.运维支持，深度运维支持及故障处理，运维规范修订及标准化设计。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2.补丁分析，结合ORACLE金融行业问题汇总及最佳实践，进行补丁分析及推荐，重点分析安全漏洞方面的补丁建议。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3.参数调整，结合ORACLE金融行业问题汇总及最佳实践，进行操作系统及数据库参数调整。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4.优化建议及实施，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结合系统运行情况，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监控分析数据库各项性能指标，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对应用的SQL效率和表设计合理性进行评估，提出优化建议并实施。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容灾演练</w:t>
            </w:r>
          </w:p>
        </w:tc>
        <w:tc>
          <w:tcPr>
            <w:tcW w:w="6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数据库系统容灾建设、演练、数据中心切换服务。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中间件服务</w:t>
            </w:r>
          </w:p>
        </w:tc>
        <w:tc>
          <w:tcPr>
            <w:tcW w:w="6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Weblogic中间件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优化，健康检查，疑难故障分析处理。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6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MySQL服务</w:t>
            </w:r>
          </w:p>
        </w:tc>
        <w:tc>
          <w:tcPr>
            <w:tcW w:w="65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MySQL数据库优化，健康检查，疑难故障分析处理。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righ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合计：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125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贵州省农村信用社联合社Oracle数据库及中间件原厂高级维保服务供应商征集报名表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0E676A9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162E13"/>
    <w:rsid w:val="15FA1B08"/>
    <w:rsid w:val="160B64CD"/>
    <w:rsid w:val="18F22EAF"/>
    <w:rsid w:val="18F94261"/>
    <w:rsid w:val="1A092817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3E3A14"/>
    <w:rsid w:val="225D6F3F"/>
    <w:rsid w:val="229237E7"/>
    <w:rsid w:val="22FB0E5D"/>
    <w:rsid w:val="230907F1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86E545E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2FF0087C"/>
    <w:rsid w:val="30AF3AE8"/>
    <w:rsid w:val="31640A86"/>
    <w:rsid w:val="31F2349F"/>
    <w:rsid w:val="321221F4"/>
    <w:rsid w:val="332B79B0"/>
    <w:rsid w:val="3376364B"/>
    <w:rsid w:val="33826060"/>
    <w:rsid w:val="33A2401D"/>
    <w:rsid w:val="33FB1A28"/>
    <w:rsid w:val="342707F8"/>
    <w:rsid w:val="3433737B"/>
    <w:rsid w:val="343459D7"/>
    <w:rsid w:val="348626ED"/>
    <w:rsid w:val="349A372E"/>
    <w:rsid w:val="3512169F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7182E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5B3185"/>
    <w:rsid w:val="46846F9A"/>
    <w:rsid w:val="46944ACD"/>
    <w:rsid w:val="46FC3A4E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51890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1C85937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5A91FB7"/>
    <w:rsid w:val="764477E5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E185311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2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2023-06-25T06:10:15Z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