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小标宋简体" w:eastAsia="方正小标宋简体" w:cstheme="minorBidi"/>
          <w:sz w:val="32"/>
          <w:szCs w:val="32"/>
          <w:lang w:val="en-US" w:eastAsia="zh-CN"/>
        </w:rPr>
      </w:pPr>
      <w:bookmarkStart w:id="0" w:name="_Toc511223300"/>
      <w:bookmarkStart w:id="1" w:name="_Toc9839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 w:hAnsiTheme="minorHAnsi" w:cstheme="minorBidi"/>
          <w:sz w:val="36"/>
          <w:szCs w:val="36"/>
          <w:lang w:val="en-US" w:eastAsia="zh-CN"/>
        </w:rPr>
      </w:pPr>
      <w:bookmarkStart w:id="2" w:name="_GoBack"/>
      <w:r>
        <w:rPr>
          <w:rFonts w:hint="eastAsia" w:ascii="方正小标宋简体" w:eastAsia="方正小标宋简体" w:cstheme="minorBidi"/>
          <w:sz w:val="36"/>
          <w:szCs w:val="36"/>
          <w:lang w:val="en-US" w:eastAsia="zh-CN"/>
        </w:rPr>
        <w:t>特权账户管理系统扩容</w:t>
      </w:r>
      <w:r>
        <w:rPr>
          <w:rFonts w:hint="eastAsia" w:ascii="方正小标宋简体" w:eastAsia="方正小标宋简体" w:hAnsiTheme="minorHAnsi" w:cstheme="minorBidi"/>
          <w:sz w:val="36"/>
          <w:szCs w:val="36"/>
          <w:lang w:val="en-US" w:eastAsia="zh-CN"/>
        </w:rPr>
        <w:t>及</w:t>
      </w:r>
      <w:r>
        <w:rPr>
          <w:rFonts w:hint="eastAsia" w:ascii="方正小标宋简体" w:eastAsia="方正小标宋简体" w:cstheme="minorBidi"/>
          <w:sz w:val="36"/>
          <w:szCs w:val="36"/>
          <w:lang w:val="en-US" w:eastAsia="zh-CN"/>
        </w:rPr>
        <w:t>定制化升级</w:t>
      </w:r>
      <w:r>
        <w:rPr>
          <w:rFonts w:hint="eastAsia" w:ascii="方正小标宋简体" w:eastAsia="方正小标宋简体" w:hAnsiTheme="minorHAnsi" w:cstheme="minorBidi"/>
          <w:sz w:val="36"/>
          <w:szCs w:val="36"/>
          <w:lang w:val="en-US" w:eastAsia="zh-CN"/>
        </w:rPr>
        <w:t>服务需求</w:t>
      </w:r>
      <w:bookmarkEnd w:id="0"/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 w:hAnsiTheme="minorHAnsi" w:cstheme="minorBidi"/>
          <w:sz w:val="32"/>
          <w:szCs w:val="32"/>
          <w:lang w:val="en-US" w:eastAsia="zh-CN"/>
        </w:rPr>
      </w:pPr>
    </w:p>
    <w:tbl>
      <w:tblPr>
        <w:tblStyle w:val="2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448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软件名称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主要服务内容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特权账户管理系统软件</w:t>
            </w:r>
          </w:p>
        </w:tc>
        <w:tc>
          <w:tcPr>
            <w:tcW w:w="4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用于观山湖数据中心测试设备管理集群扩容，缓解集群节点运行压力，提高集群并发处理能力。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3套（软件版本与当前集群使用版本一致）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20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定制化升级服务</w:t>
            </w:r>
          </w:p>
        </w:tc>
        <w:tc>
          <w:tcPr>
            <w:tcW w:w="4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包括但不限于以下几项：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1、适配更多信创数据库图形化工具，如高斯数据库、达梦数据库等；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2、增加对高危命令执行情况进行周期统计，并自动出具审计报表，提高审计的有效性和及时性；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3、审计日志离线查看，支持mp4流媒体播放录像，优化存储空间，提升审查便利性和流畅度，节约磁盘空间占用；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4、扩展工单下发和批量会同功能，增加细粒度匹配条件；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5、增加帐号巡检获取的详情信息，如帐号组、UID、到期时间、最近改密时间等内容，丰富帐号巡检信息；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6、web代填（ie、chrome）模式，增加匹配上下左右空格退格等以适应各种复杂代填环境，优化管理员查看管理权限；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7、增加密码批量验证功能，管理员在添加设备密码后可以批量验证，提高效率。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升级现有全部特权账户管理系统集群（生产设备管理集群、测试设备管理集群、行社设备管理集群）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60437"/>
    <w:rsid w:val="73F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2023-06-16T14:39:00Z</dcterms:created>
  <dc:creator>欧阳腾龙</dc:creator>
  <cp:lastModifiedBy>欧阳腾龙</cp:lastModifiedBy>
  <dcterms:modified xsi:type="dcterms:W3CDTF">2023-06-16T14:41:32Z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3EA98CAAD54B278C86038C644263EA77</vt:lpwstr>
  </property>
</Properties>
</file>