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bookmarkStart w:id="0" w:name="_GoBack"/>
      <w:r>
        <w:rPr>
          <w:rFonts w:hint="eastAsia" w:ascii="宋体" w:hAnsi="宋体" w:cs="宋体"/>
          <w:color w:val="000000"/>
          <w:kern w:val="0"/>
          <w:sz w:val="44"/>
          <w:szCs w:val="44"/>
        </w:rPr>
        <w:t>贵州普定农村商业银行股份有限公司团体长期补充医疗保险服务项目</w:t>
      </w:r>
      <w:r>
        <w:rPr>
          <w:rFonts w:hint="eastAsia" w:ascii="仿宋_GB2312" w:hAnsi="仿宋_GB2312" w:eastAsia="仿宋_GB2312" w:cs="仿宋_GB2312"/>
          <w:b/>
          <w:bCs/>
          <w:sz w:val="44"/>
          <w:szCs w:val="44"/>
        </w:rPr>
        <w:t xml:space="preserve"> </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磋商</w:t>
      </w:r>
      <w:r>
        <w:rPr>
          <w:rFonts w:hint="eastAsia" w:ascii="仿宋_GB2312" w:hAnsi="仿宋_GB2312" w:eastAsia="仿宋_GB2312" w:cs="仿宋_GB2312"/>
          <w:b/>
          <w:bCs/>
          <w:sz w:val="44"/>
          <w:szCs w:val="44"/>
        </w:rPr>
        <w:t>文件</w:t>
      </w:r>
    </w:p>
    <w:bookmarkEnd w:id="0"/>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ind w:firstLine="360" w:firstLineChars="100"/>
        <w:jc w:val="both"/>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6</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综合评分办法............................（</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numPr>
          <w:ilvl w:val="0"/>
          <w:numId w:val="1"/>
        </w:num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申请人须知</w:t>
      </w:r>
    </w:p>
    <w:p>
      <w:pPr>
        <w:rPr>
          <w:rFonts w:ascii="仿宋_GB2312" w:hAnsi="仿宋_GB2312" w:eastAsia="仿宋_GB2312" w:cs="仿宋_GB2312"/>
          <w:sz w:val="32"/>
          <w:szCs w:val="32"/>
        </w:rPr>
      </w:pP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申请人资格要求</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1.1申请人应具备团体长期补充医疗保险服务、</w:t>
      </w:r>
      <w:r>
        <w:rPr>
          <w:rFonts w:hint="eastAsia" w:ascii="仿宋_GB2312" w:hAnsi="仿宋_GB2312" w:eastAsia="仿宋_GB2312" w:cs="仿宋_GB2312"/>
          <w:sz w:val="30"/>
          <w:szCs w:val="30"/>
          <w:lang w:eastAsia="zh-CN"/>
        </w:rPr>
        <w:t>经营范围</w:t>
      </w:r>
      <w:r>
        <w:rPr>
          <w:rFonts w:hint="eastAsia" w:ascii="仿宋_GB2312" w:hAnsi="仿宋_GB2312" w:eastAsia="仿宋_GB2312" w:cs="仿宋_GB2312"/>
          <w:sz w:val="30"/>
          <w:szCs w:val="30"/>
        </w:rPr>
        <w:t>的资格条件、能力和信誉。</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1.2营业执照具备有效经营范围。</w:t>
      </w: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申请人不得具有下列情形之一</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为比选人其他项目的代建人或供应商；</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为比选人其他项目的管理人；</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与比选人有隶属关系或者有股东、合作经营和其他隶属关系；</w:t>
      </w:r>
    </w:p>
    <w:p>
      <w:pPr>
        <w:numPr>
          <w:ilvl w:val="0"/>
          <w:numId w:val="2"/>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文件递交时间：202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下</w:t>
      </w:r>
      <w:r>
        <w:rPr>
          <w:rFonts w:hint="eastAsia" w:ascii="仿宋_GB2312" w:hAnsi="仿宋_GB2312" w:eastAsia="仿宋_GB2312" w:cs="仿宋_GB2312"/>
          <w:sz w:val="30"/>
          <w:szCs w:val="30"/>
        </w:rPr>
        <w:t>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00</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lang w:eastAsia="zh-CN"/>
        </w:rPr>
        <w:t>前</w:t>
      </w:r>
    </w:p>
    <w:p>
      <w:pPr>
        <w:jc w:val="left"/>
        <w:rPr>
          <w:rFonts w:hint="eastAsia" w:ascii="华文仿宋" w:hAnsi="华文仿宋" w:eastAsia="华文仿宋" w:cs="华文仿宋"/>
          <w:sz w:val="30"/>
          <w:szCs w:val="30"/>
          <w:u w:val="none"/>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文件递交地点：</w:t>
      </w:r>
      <w:r>
        <w:rPr>
          <w:rFonts w:hint="eastAsia" w:ascii="华文仿宋" w:hAnsi="华文仿宋" w:eastAsia="华文仿宋" w:cs="华文仿宋"/>
          <w:color w:val="000000"/>
          <w:kern w:val="0"/>
          <w:sz w:val="30"/>
          <w:szCs w:val="30"/>
          <w:u w:val="none"/>
        </w:rPr>
        <w:t>贵州普定农村商业银行股份有限公司</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比选申请文件的组成</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法定代表人身份证明或授权委托书</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申请人的营业执照（复印件加盖单位公章）</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其他材料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综合评分办法要求的相关材料</w:t>
      </w:r>
      <w:r>
        <w:rPr>
          <w:rFonts w:hint="eastAsia" w:ascii="仿宋_GB2312" w:hAnsi="仿宋_GB2312" w:eastAsia="仿宋_GB2312" w:cs="仿宋_GB2312"/>
          <w:sz w:val="30"/>
          <w:szCs w:val="30"/>
          <w:lang w:eastAsia="zh-CN"/>
        </w:rPr>
        <w:t>）</w:t>
      </w: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numId w:val="0"/>
        </w:numPr>
        <w:rPr>
          <w:rFonts w:hint="eastAsia"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评审标准</w:t>
      </w:r>
    </w:p>
    <w:p>
      <w:pPr>
        <w:numPr>
          <w:ilvl w:val="0"/>
          <w:numId w:val="5"/>
        </w:num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评审委员会由</w:t>
      </w:r>
      <w:r>
        <w:rPr>
          <w:rFonts w:hint="eastAsia" w:ascii="华文仿宋" w:hAnsi="华文仿宋" w:eastAsia="华文仿宋" w:cs="华文仿宋"/>
          <w:color w:val="000000"/>
          <w:kern w:val="0"/>
          <w:sz w:val="30"/>
          <w:szCs w:val="30"/>
          <w:u w:val="none"/>
        </w:rPr>
        <w:t>贵州普定农村商业银行股份有限公司</w:t>
      </w:r>
      <w:r>
        <w:rPr>
          <w:rFonts w:hint="eastAsia" w:ascii="仿宋_GB2312" w:hAnsi="仿宋_GB2312" w:eastAsia="仿宋_GB2312" w:cs="仿宋_GB2312"/>
          <w:sz w:val="30"/>
          <w:szCs w:val="30"/>
        </w:rPr>
        <w:t>组建</w:t>
      </w:r>
    </w:p>
    <w:p>
      <w:pPr>
        <w:rPr>
          <w:rFonts w:hint="eastAsia" w:ascii="华文仿宋" w:hAnsi="华文仿宋" w:eastAsia="华文仿宋" w:cs="华文仿宋"/>
          <w:sz w:val="30"/>
          <w:szCs w:val="30"/>
        </w:rPr>
      </w:pPr>
      <w:r>
        <w:rPr>
          <w:rFonts w:hint="eastAsia" w:ascii="仿宋_GB2312" w:hAnsi="仿宋_GB2312" w:eastAsia="仿宋_GB2312" w:cs="仿宋_GB2312"/>
          <w:sz w:val="30"/>
          <w:szCs w:val="30"/>
        </w:rPr>
        <w:t>2、评审由评审委员会进行，按综合评分最高的为第一中标候选人，</w:t>
      </w:r>
      <w:r>
        <w:rPr>
          <w:rFonts w:hint="eastAsia" w:ascii="仿宋_GB2312" w:hAnsi="仿宋_GB2312" w:eastAsia="仿宋_GB2312" w:cs="仿宋_GB2312"/>
          <w:sz w:val="30"/>
          <w:szCs w:val="30"/>
          <w:lang w:eastAsia="zh-CN"/>
        </w:rPr>
        <w:t>承担本次</w:t>
      </w:r>
      <w:r>
        <w:rPr>
          <w:rFonts w:hint="eastAsia" w:ascii="华文仿宋" w:hAnsi="华文仿宋" w:eastAsia="华文仿宋" w:cs="华文仿宋"/>
          <w:color w:val="000000"/>
          <w:kern w:val="0"/>
          <w:sz w:val="30"/>
          <w:szCs w:val="30"/>
        </w:rPr>
        <w:t>贵州普定农村商业银行股份有限公司团体长期补充医疗保险服务</w:t>
      </w:r>
      <w:r>
        <w:rPr>
          <w:rFonts w:hint="eastAsia" w:ascii="华文仿宋" w:hAnsi="华文仿宋" w:eastAsia="华文仿宋" w:cs="华文仿宋"/>
          <w:sz w:val="30"/>
          <w:szCs w:val="30"/>
        </w:rPr>
        <w:t>工作。</w:t>
      </w:r>
    </w:p>
    <w:p>
      <w:pPr>
        <w:jc w:val="center"/>
        <w:rPr>
          <w:rFonts w:hint="eastAsia" w:ascii="华文仿宋" w:hAnsi="华文仿宋" w:eastAsia="华文仿宋" w:cs="华文仿宋"/>
          <w:b/>
          <w:bCs/>
          <w:sz w:val="30"/>
          <w:szCs w:val="30"/>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default"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eastAsia="zh-CN"/>
        </w:rPr>
      </w:pPr>
    </w:p>
    <w:p>
      <w:pPr>
        <w:numPr>
          <w:ilvl w:val="0"/>
          <w:numId w:val="1"/>
        </w:numPr>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综合评分办法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30"/>
        <w:gridCol w:w="5278"/>
        <w:gridCol w:w="102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0"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评分项</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名称</w:t>
            </w:r>
          </w:p>
        </w:tc>
        <w:tc>
          <w:tcPr>
            <w:tcW w:w="5278" w:type="dxa"/>
            <w:vAlign w:val="top"/>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评分服务内容</w:t>
            </w:r>
          </w:p>
        </w:tc>
        <w:tc>
          <w:tcPr>
            <w:tcW w:w="1022" w:type="dxa"/>
            <w:vAlign w:val="top"/>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分数</w:t>
            </w:r>
          </w:p>
        </w:tc>
        <w:tc>
          <w:tcPr>
            <w:tcW w:w="1130" w:type="dxa"/>
            <w:vAlign w:val="top"/>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0" w:type="dxa"/>
            <w:textDirection w:val="tbLrV"/>
            <w:vAlign w:val="center"/>
          </w:tcPr>
          <w:p>
            <w:pPr>
              <w:ind w:left="113" w:leftChars="0" w:right="113"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账户建立</w:t>
            </w:r>
          </w:p>
        </w:tc>
        <w:tc>
          <w:tcPr>
            <w:tcW w:w="5278" w:type="dxa"/>
            <w:vAlign w:val="top"/>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1.保险合同生效后，本公司将为投保人建立公共账户，并为每一被保险人建立个人账户，公共账户金额和个人账户金额均由贵单位自行设定。</w:t>
            </w:r>
          </w:p>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2.员工个人补充医疗账户用于支付员工本人除基本医疗保险保障项目计划外的住院医疗、门急诊及药店医疗自付费用的报销，保险金额以员工个人账户中资金余额为限。</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0" w:type="dxa"/>
            <w:textDirection w:val="tbRlV"/>
            <w:vAlign w:val="center"/>
          </w:tcPr>
          <w:p>
            <w:pPr>
              <w:ind w:left="113" w:leftChars="0" w:right="113" w:rightChars="0"/>
              <w:jc w:val="distribut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账户权益</w:t>
            </w:r>
          </w:p>
        </w:tc>
        <w:tc>
          <w:tcPr>
            <w:tcW w:w="5278" w:type="dxa"/>
            <w:vAlign w:val="top"/>
          </w:tcPr>
          <w:p>
            <w:pPr>
              <w:numPr>
                <w:ilvl w:val="0"/>
                <w:numId w:val="6"/>
              </w:num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员工个人账户结余可结转下一年度，公共账户余额及个人账户余额由我司进行保值增值。账户的结算利率在每个保单年度届满时或账户注销时，按账户年度余额的3.5%结算利息，并分别计入公共账户余额及个人账户余额。</w:t>
            </w:r>
          </w:p>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2.按所缴保费的1.8%收取管理费。</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0"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医卡通服务</w:t>
            </w:r>
          </w:p>
        </w:tc>
        <w:tc>
          <w:tcPr>
            <w:tcW w:w="5278" w:type="dxa"/>
            <w:vAlign w:val="top"/>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提供直付式理赔增值服务。即员工医疗基金中个人账户金额可部分或全部划入医卡通账户中，员工本人或亲属可持医卡通卡，凭密码在约定的全国超30000余家连锁药店、医疗保健等机构进行购药消费、健康体检等，同时享受账户管理，网点查询，预约服务，健康资讯推送等免费服务。</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0" w:type="dxa"/>
            <w:vAlign w:val="top"/>
          </w:tcPr>
          <w:p>
            <w:pPr>
              <w:jc w:val="center"/>
              <w:rPr>
                <w:rFonts w:hint="eastAsia" w:ascii="仿宋_GB2312" w:hAnsi="仿宋_GB2312" w:eastAsia="仿宋_GB2312" w:cs="仿宋_GB2312"/>
                <w:bCs/>
                <w:sz w:val="21"/>
                <w:szCs w:val="21"/>
              </w:rPr>
            </w:pP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理赔服务流程</w:t>
            </w:r>
          </w:p>
        </w:tc>
        <w:tc>
          <w:tcPr>
            <w:tcW w:w="5278" w:type="dxa"/>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接到报案：（贵单位相关人员直接拨打专门电话或通知我司专项服务人员立案：（第一时间反馈、提醒需提供哪些理赔资料，解答相关问题）。</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收取理赔资料：（在报销人员整理好理赔资料后，一个电话，服务专员上门收取）</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审核、理算、给付赔款：</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材料齐全，1000元以下案件1-3个工作日内赔付</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材料齐全，1000元至5000元案件5个工作日内赔付</w:t>
            </w:r>
          </w:p>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材料齐全，5000元至20000元以上案件7个工作日内赔付</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0"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增值服务承诺</w:t>
            </w:r>
          </w:p>
        </w:tc>
        <w:tc>
          <w:tcPr>
            <w:tcW w:w="5278" w:type="dxa"/>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上门服务：服务专员将每月定期上门到贵单位提供日常咨询、收取理赔材料、送达理赔计算书等服务。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短信服务：在理赔款通过银行转账给被保险人账户后，我司将手机短信通知被保险人。</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电话服务：为保证我司的服务质量，本公司将设立专项客户服务部，并开通售后服务监管热线，专门接受和协调处理该项目各类案件沟通。</w:t>
            </w:r>
          </w:p>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定期对账：每月末、季末、年末进行理赔数据对账，确保资金的准确性、安全性。每月末、季末、年末进行理赔数据对账，确保资金的准确性、安全性。</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08" w:type="dxa"/>
            <w:gridSpan w:val="2"/>
            <w:vAlign w:val="top"/>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 xml:space="preserve">                 合计</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100分</w:t>
            </w:r>
          </w:p>
        </w:tc>
        <w:tc>
          <w:tcPr>
            <w:tcW w:w="1130" w:type="dxa"/>
          </w:tcPr>
          <w:p>
            <w:pPr>
              <w:numPr>
                <w:numId w:val="0"/>
              </w:numPr>
              <w:jc w:val="both"/>
              <w:rPr>
                <w:rFonts w:hint="eastAsia" w:ascii="仿宋_GB2312" w:hAnsi="仿宋_GB2312" w:eastAsia="仿宋_GB2312" w:cs="仿宋_GB2312"/>
                <w:b/>
                <w:bCs/>
                <w:sz w:val="21"/>
                <w:szCs w:val="21"/>
                <w:vertAlign w:val="baseline"/>
              </w:rPr>
            </w:pPr>
          </w:p>
        </w:tc>
      </w:tr>
    </w:tbl>
    <w:p>
      <w:pPr>
        <w:numPr>
          <w:numId w:val="0"/>
        </w:numPr>
        <w:ind w:leftChars="0"/>
        <w:rPr>
          <w:rFonts w:hint="default" w:ascii="仿宋_GB2312" w:hAnsi="仿宋_GB2312" w:eastAsia="仿宋_GB2312" w:cs="仿宋_GB2312"/>
          <w:b/>
          <w:bCs/>
          <w:sz w:val="32"/>
          <w:szCs w:val="32"/>
          <w:lang w:val="en-US" w:eastAsia="zh-CN"/>
        </w:rPr>
      </w:pPr>
    </w:p>
    <w:sectPr>
      <w:headerReference r:id="rId4" w:type="default"/>
      <w:footerReference r:id="rId5" w:type="default"/>
      <w:footerReference r:id="rId6" w:type="even"/>
      <w:pgSz w:w="11906" w:h="16838"/>
      <w:pgMar w:top="2098" w:right="1474" w:bottom="1985" w:left="1588" w:header="851" w:footer="1644" w:gutter="0"/>
      <w:pgNumType w:fmt="numberInDash" w:start="1"/>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3A4D0"/>
    <w:multiLevelType w:val="singleLevel"/>
    <w:tmpl w:val="8C63A4D0"/>
    <w:lvl w:ilvl="0" w:tentative="0">
      <w:start w:val="1"/>
      <w:numFmt w:val="decimal"/>
      <w:lvlText w:val="%1."/>
      <w:lvlJc w:val="left"/>
      <w:pPr>
        <w:tabs>
          <w:tab w:val="left" w:pos="312"/>
        </w:tabs>
      </w:pPr>
    </w:lvl>
  </w:abstractNum>
  <w:abstractNum w:abstractNumId="1">
    <w:nsid w:val="BF37F465"/>
    <w:multiLevelType w:val="singleLevel"/>
    <w:tmpl w:val="BF37F465"/>
    <w:lvl w:ilvl="0" w:tentative="0">
      <w:start w:val="1"/>
      <w:numFmt w:val="decimal"/>
      <w:suff w:val="nothing"/>
      <w:lvlText w:val="%1、"/>
      <w:lvlJc w:val="left"/>
    </w:lvl>
  </w:abstractNum>
  <w:abstractNum w:abstractNumId="2">
    <w:nsid w:val="C78A86D4"/>
    <w:multiLevelType w:val="singleLevel"/>
    <w:tmpl w:val="C78A86D4"/>
    <w:lvl w:ilvl="0" w:tentative="0">
      <w:start w:val="1"/>
      <w:numFmt w:val="decimal"/>
      <w:suff w:val="nothing"/>
      <w:lvlText w:val="%1、"/>
      <w:lvlJc w:val="left"/>
    </w:lvl>
  </w:abstractNum>
  <w:abstractNum w:abstractNumId="3">
    <w:nsid w:val="D6BB6275"/>
    <w:multiLevelType w:val="singleLevel"/>
    <w:tmpl w:val="D6BB6275"/>
    <w:lvl w:ilvl="0" w:tentative="0">
      <w:start w:val="1"/>
      <w:numFmt w:val="decimal"/>
      <w:suff w:val="nothing"/>
      <w:lvlText w:val="%1、"/>
      <w:lvlJc w:val="left"/>
    </w:lvl>
  </w:abstractNum>
  <w:abstractNum w:abstractNumId="4">
    <w:nsid w:val="587D21AD"/>
    <w:multiLevelType w:val="singleLevel"/>
    <w:tmpl w:val="587D21AD"/>
    <w:lvl w:ilvl="0" w:tentative="0">
      <w:start w:val="1"/>
      <w:numFmt w:val="decimal"/>
      <w:suff w:val="nothing"/>
      <w:lvlText w:val="（%1）"/>
      <w:lvlJc w:val="left"/>
    </w:lvl>
  </w:abstractNum>
  <w:abstractNum w:abstractNumId="5">
    <w:nsid w:val="71DEE8F9"/>
    <w:multiLevelType w:val="singleLevel"/>
    <w:tmpl w:val="71DEE8F9"/>
    <w:lvl w:ilvl="0" w:tentative="0">
      <w:start w:val="1"/>
      <w:numFmt w:val="chineseCounting"/>
      <w:suff w:val="space"/>
      <w:lvlText w:val="第%1章"/>
      <w:lvlJc w:val="left"/>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F4508"/>
    <w:rsid w:val="2CA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2023-06-01T13:15:00Z</dcterms:created>
  <dc:creator>133939-毕倩</dc:creator>
  <cp:lastModifiedBy>133939-毕倩</cp:lastModifiedBy>
  <dcterms:modified xsi:type="dcterms:W3CDTF">2023-06-01T13:36:36Z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