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197"/>
        <w:spacing w:before="80" w:line="211" w:lineRule="auto"/>
        <w:rPr>
          <w:rFonts w:ascii="SimHei" w:hAnsi="SimHei" w:eastAsia="SimHei" w:cs="SimHei"/>
          <w:sz w:val="40"/>
          <w:szCs w:val="40"/>
        </w:rPr>
      </w:pPr>
      <w:r>
        <w:rPr>
          <w:rFonts w:ascii="SimHei" w:hAnsi="SimHei" w:eastAsia="SimHei" w:cs="SimHei"/>
          <w:sz w:val="40"/>
          <w:szCs w:val="40"/>
          <w:spacing w:val="-1"/>
        </w:rPr>
        <w:t>贵州清镇农村商业银行股份有限公司2</w:t>
      </w:r>
      <w:r>
        <w:rPr>
          <w:rFonts w:ascii="SimHei" w:hAnsi="SimHei" w:eastAsia="SimHei" w:cs="SimHei"/>
          <w:sz w:val="40"/>
          <w:szCs w:val="40"/>
        </w:rPr>
        <w:t>023年第001期大</w:t>
      </w:r>
    </w:p>
    <w:p>
      <w:pPr>
        <w:ind w:left="4094"/>
        <w:spacing w:before="1" w:line="210" w:lineRule="auto"/>
        <w:rPr>
          <w:rFonts w:ascii="SimHei" w:hAnsi="SimHei" w:eastAsia="SimHei" w:cs="SimHei"/>
          <w:sz w:val="40"/>
          <w:szCs w:val="40"/>
        </w:rPr>
      </w:pPr>
      <w:r>
        <w:rPr>
          <w:rFonts w:ascii="SimHei" w:hAnsi="SimHei" w:eastAsia="SimHei" w:cs="SimHei"/>
          <w:sz w:val="40"/>
          <w:szCs w:val="40"/>
          <w:spacing w:val="-4"/>
        </w:rPr>
        <w:t>额</w:t>
      </w:r>
      <w:r>
        <w:rPr>
          <w:rFonts w:ascii="SimHei" w:hAnsi="SimHei" w:eastAsia="SimHei" w:cs="SimHei"/>
          <w:sz w:val="40"/>
          <w:szCs w:val="40"/>
          <w:spacing w:val="-3"/>
        </w:rPr>
        <w:t>存</w:t>
      </w:r>
      <w:r>
        <w:rPr>
          <w:rFonts w:ascii="SimHei" w:hAnsi="SimHei" w:eastAsia="SimHei" w:cs="SimHei"/>
          <w:sz w:val="40"/>
          <w:szCs w:val="40"/>
          <w:spacing w:val="-2"/>
        </w:rPr>
        <w:t>单6M</w:t>
      </w:r>
    </w:p>
    <w:p>
      <w:pPr>
        <w:ind w:left="3698"/>
        <w:spacing w:before="1" w:line="220" w:lineRule="auto"/>
        <w:rPr>
          <w:rFonts w:ascii="SimHei" w:hAnsi="SimHei" w:eastAsia="SimHei" w:cs="SimHei"/>
          <w:sz w:val="40"/>
          <w:szCs w:val="40"/>
        </w:rPr>
      </w:pPr>
      <w:r>
        <w:rPr>
          <w:rFonts w:ascii="SimHei" w:hAnsi="SimHei" w:eastAsia="SimHei" w:cs="SimHei"/>
          <w:sz w:val="40"/>
          <w:szCs w:val="40"/>
          <w:spacing w:val="-4"/>
        </w:rPr>
        <w:t>发行</w:t>
      </w:r>
      <w:r>
        <w:rPr>
          <w:rFonts w:ascii="SimHei" w:hAnsi="SimHei" w:eastAsia="SimHei" w:cs="SimHei"/>
          <w:sz w:val="40"/>
          <w:szCs w:val="40"/>
          <w:spacing w:val="-2"/>
        </w:rPr>
        <w:t>要素公告</w:t>
      </w:r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1" w:lineRule="auto"/>
        <w:rPr>
          <w:rFonts w:ascii="Arial"/>
          <w:sz w:val="21"/>
        </w:rPr>
      </w:pPr>
      <w:r/>
    </w:p>
    <w:p>
      <w:pPr>
        <w:spacing w:line="262" w:lineRule="auto"/>
        <w:rPr>
          <w:rFonts w:ascii="Arial"/>
          <w:sz w:val="21"/>
        </w:rPr>
      </w:pPr>
      <w:r/>
    </w:p>
    <w:p>
      <w:pPr>
        <w:spacing w:line="262" w:lineRule="auto"/>
        <w:rPr>
          <w:rFonts w:ascii="Arial"/>
          <w:sz w:val="21"/>
        </w:rPr>
      </w:pPr>
      <w:r/>
    </w:p>
    <w:p>
      <w:pPr>
        <w:ind w:left="496" w:right="1111" w:firstLine="5"/>
        <w:spacing w:before="78" w:line="226" w:lineRule="auto"/>
        <w:rPr>
          <w:rFonts w:ascii="FangSong" w:hAnsi="FangSong" w:eastAsia="FangSong" w:cs="FangSong"/>
          <w:sz w:val="24"/>
          <w:szCs w:val="24"/>
        </w:rPr>
      </w:pPr>
      <w:r>
        <w:rPr>
          <w:rFonts w:ascii="FangSong" w:hAnsi="FangSong" w:eastAsia="FangSong" w:cs="FangSong"/>
          <w:sz w:val="24"/>
          <w:szCs w:val="24"/>
          <w:spacing w:val="-2"/>
        </w:rPr>
        <w:t>发行人根据相关法律、法规、规范性文件的规定</w:t>
      </w:r>
      <w:r>
        <w:rPr>
          <w:rFonts w:ascii="FangSong" w:hAnsi="FangSong" w:eastAsia="FangSong" w:cs="FangSong"/>
          <w:sz w:val="24"/>
          <w:szCs w:val="24"/>
          <w:spacing w:val="-1"/>
        </w:rPr>
        <w:t>编制而成大额存单发行计划。</w:t>
      </w:r>
      <w:r>
        <w:rPr>
          <w:rFonts w:ascii="FangSong" w:hAnsi="FangSong" w:eastAsia="FangSong" w:cs="FangSong"/>
          <w:sz w:val="24"/>
          <w:szCs w:val="24"/>
        </w:rPr>
        <w:t xml:space="preserve"> </w:t>
      </w:r>
      <w:r>
        <w:rPr>
          <w:rFonts w:ascii="FangSong" w:hAnsi="FangSong" w:eastAsia="FangSong" w:cs="FangSong"/>
          <w:sz w:val="24"/>
          <w:szCs w:val="24"/>
          <w:spacing w:val="-4"/>
        </w:rPr>
        <w:t>本发行公</w:t>
      </w:r>
      <w:r>
        <w:rPr>
          <w:rFonts w:ascii="FangSong" w:hAnsi="FangSong" w:eastAsia="FangSong" w:cs="FangSong"/>
          <w:sz w:val="24"/>
          <w:szCs w:val="24"/>
          <w:spacing w:val="-3"/>
        </w:rPr>
        <w:t>告</w:t>
      </w:r>
      <w:r>
        <w:rPr>
          <w:rFonts w:ascii="FangSong" w:hAnsi="FangSong" w:eastAsia="FangSong" w:cs="FangSong"/>
          <w:sz w:val="24"/>
          <w:szCs w:val="24"/>
          <w:spacing w:val="-2"/>
        </w:rPr>
        <w:t>属于前述发行计划的组成部分。</w:t>
      </w:r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before="1" w:line="20" w:lineRule="exact"/>
        <w:textAlignment w:val="center"/>
        <w:rPr/>
      </w:pPr>
      <w:r>
        <w:pict>
          <v:shape id="_x0000_s1" style="mso-position-vertical-relative:line;mso-position-horizontal-relative:char;width:486pt;height:1pt;" filled="false" strokecolor="#000000" strokeweight="1.00pt" coordsize="9720,20" coordorigin="0,0" path="m0,10l9720,10e">
            <v:stroke joinstyle="miter" miterlimit="10"/>
          </v:shape>
        </w:pict>
      </w:r>
    </w:p>
    <w:p>
      <w:pPr>
        <w:ind w:left="11"/>
        <w:spacing w:before="173" w:line="221" w:lineRule="auto"/>
        <w:rPr>
          <w:rFonts w:ascii="SimHei" w:hAnsi="SimHei" w:eastAsia="SimHei" w:cs="SimHei"/>
          <w:sz w:val="24"/>
          <w:szCs w:val="24"/>
        </w:rPr>
      </w:pPr>
      <w:r>
        <w:rPr>
          <w:rFonts w:ascii="SimHei" w:hAnsi="SimHei" w:eastAsia="SimHei" w:cs="SimHei"/>
          <w:sz w:val="24"/>
          <w:szCs w:val="24"/>
          <w:spacing w:val="-3"/>
        </w:rPr>
        <w:t>发</w:t>
      </w:r>
      <w:r>
        <w:rPr>
          <w:rFonts w:ascii="SimHei" w:hAnsi="SimHei" w:eastAsia="SimHei" w:cs="SimHei"/>
          <w:sz w:val="24"/>
          <w:szCs w:val="24"/>
          <w:spacing w:val="-2"/>
        </w:rPr>
        <w:t>行要素</w:t>
      </w:r>
    </w:p>
    <w:p>
      <w:pPr>
        <w:spacing w:line="59" w:lineRule="exact"/>
        <w:rPr/>
      </w:pPr>
      <w:r/>
    </w:p>
    <w:tbl>
      <w:tblPr>
        <w:tblStyle w:val="2"/>
        <w:tblW w:w="9720" w:type="dxa"/>
        <w:tblInd w:w="0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620"/>
        <w:gridCol w:w="1620"/>
        <w:gridCol w:w="1620"/>
        <w:gridCol w:w="1620"/>
        <w:gridCol w:w="1620"/>
        <w:gridCol w:w="1620"/>
      </w:tblGrid>
      <w:tr>
        <w:trPr>
          <w:trHeight w:val="704" w:hRule="atLeast"/>
        </w:trPr>
        <w:tc>
          <w:tcPr>
            <w:tcW w:w="1620" w:type="dxa"/>
            <w:vAlign w:val="top"/>
            <w:tcBorders>
              <w:right w:val="single" w:color="000000" w:sz="4" w:space="0"/>
              <w:left w:val="none" w:color="000000" w:sz="2" w:space="0"/>
            </w:tcBorders>
          </w:tcPr>
          <w:p>
            <w:pPr>
              <w:ind w:left="20"/>
              <w:spacing w:before="275" w:line="22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6"/>
              </w:rPr>
              <w:t>发</w:t>
            </w:r>
            <w:r>
              <w:rPr>
                <w:rFonts w:ascii="FangSong" w:hAnsi="FangSong" w:eastAsia="FangSong" w:cs="FangSong"/>
                <w:sz w:val="22"/>
                <w:szCs w:val="22"/>
                <w:spacing w:val="-4"/>
              </w:rPr>
              <w:t>行人</w:t>
            </w:r>
          </w:p>
        </w:tc>
        <w:tc>
          <w:tcPr>
            <w:tcW w:w="8100" w:type="dxa"/>
            <w:vAlign w:val="top"/>
            <w:gridSpan w:val="5"/>
            <w:tcBorders>
              <w:left w:val="single" w:color="000000" w:sz="4" w:space="0"/>
              <w:right w:val="none" w:color="000000" w:sz="2" w:space="0"/>
            </w:tcBorders>
          </w:tcPr>
          <w:p>
            <w:pPr>
              <w:ind w:left="8"/>
              <w:spacing w:before="283" w:line="221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-1"/>
              </w:rPr>
              <w:t>贵州清镇农村商业银行股份有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>限公司</w:t>
            </w:r>
          </w:p>
        </w:tc>
      </w:tr>
      <w:tr>
        <w:trPr>
          <w:trHeight w:val="594" w:hRule="atLeast"/>
        </w:trPr>
        <w:tc>
          <w:tcPr>
            <w:tcW w:w="1620" w:type="dxa"/>
            <w:vAlign w:val="top"/>
            <w:tcBorders>
              <w:right w:val="single" w:color="000000" w:sz="4" w:space="0"/>
              <w:left w:val="none" w:color="000000" w:sz="2" w:space="0"/>
            </w:tcBorders>
          </w:tcPr>
          <w:p>
            <w:pPr>
              <w:ind w:left="20"/>
              <w:spacing w:before="216" w:line="22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4"/>
              </w:rPr>
              <w:t>发行对象</w:t>
            </w:r>
          </w:p>
        </w:tc>
        <w:tc>
          <w:tcPr>
            <w:tcW w:w="8100" w:type="dxa"/>
            <w:vAlign w:val="top"/>
            <w:gridSpan w:val="5"/>
            <w:tcBorders>
              <w:left w:val="single" w:color="000000" w:sz="4" w:space="0"/>
              <w:right w:val="none" w:color="000000" w:sz="2" w:space="0"/>
            </w:tcBorders>
          </w:tcPr>
          <w:p>
            <w:pPr>
              <w:ind w:left="8"/>
              <w:spacing w:before="224" w:line="222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-4"/>
              </w:rPr>
              <w:t>个</w:t>
            </w:r>
            <w:r>
              <w:rPr>
                <w:rFonts w:ascii="FangSong" w:hAnsi="FangSong" w:eastAsia="FangSong" w:cs="FangSong"/>
                <w:sz w:val="20"/>
                <w:szCs w:val="20"/>
                <w:spacing w:val="-2"/>
              </w:rPr>
              <w:t>人、机构</w:t>
            </w:r>
          </w:p>
        </w:tc>
      </w:tr>
      <w:tr>
        <w:trPr>
          <w:trHeight w:val="714" w:hRule="atLeast"/>
        </w:trPr>
        <w:tc>
          <w:tcPr>
            <w:tcW w:w="1620" w:type="dxa"/>
            <w:vAlign w:val="top"/>
            <w:tcBorders>
              <w:right w:val="single" w:color="000000" w:sz="4" w:space="0"/>
              <w:left w:val="none" w:color="000000" w:sz="2" w:space="0"/>
            </w:tcBorders>
          </w:tcPr>
          <w:p>
            <w:pPr>
              <w:ind w:left="20"/>
              <w:spacing w:before="278" w:line="222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主体评级机构</w:t>
            </w:r>
          </w:p>
        </w:tc>
        <w:tc>
          <w:tcPr>
            <w:tcW w:w="4860" w:type="dxa"/>
            <w:vAlign w:val="top"/>
            <w:gridSpan w:val="3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6"/>
              <w:spacing w:before="285" w:line="220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-1"/>
              </w:rPr>
              <w:t>联合资信评估有限公司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15"/>
              <w:spacing w:before="278" w:line="222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主体评级等级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none" w:color="000000" w:sz="2" w:space="0"/>
            </w:tcBorders>
          </w:tcPr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before="62" w:line="189" w:lineRule="auto"/>
              <w:rPr>
                <w:rFonts w:ascii="FangSong" w:hAnsi="FangSong" w:eastAsia="FangSong" w:cs="FangSong"/>
                <w:sz w:val="19"/>
                <w:szCs w:val="19"/>
              </w:rPr>
            </w:pPr>
            <w:r>
              <w:rPr>
                <w:rFonts w:ascii="FangSong" w:hAnsi="FangSong" w:eastAsia="FangSong" w:cs="FangSong"/>
                <w:sz w:val="19"/>
                <w:szCs w:val="19"/>
              </w:rPr>
              <w:t>A</w:t>
            </w:r>
            <w:r>
              <w:rPr>
                <w:rFonts w:ascii="FangSong" w:hAnsi="FangSong" w:eastAsia="FangSong" w:cs="FangSong"/>
                <w:sz w:val="19"/>
                <w:szCs w:val="19"/>
                <w:spacing w:val="5"/>
              </w:rPr>
              <w:t>+</w:t>
            </w:r>
          </w:p>
        </w:tc>
      </w:tr>
      <w:tr>
        <w:trPr>
          <w:trHeight w:val="594" w:hRule="atLeast"/>
        </w:trPr>
        <w:tc>
          <w:tcPr>
            <w:tcW w:w="1620" w:type="dxa"/>
            <w:vAlign w:val="top"/>
            <w:tcBorders>
              <w:right w:val="single" w:color="000000" w:sz="4" w:space="0"/>
              <w:left w:val="none" w:color="000000" w:sz="2" w:space="0"/>
            </w:tcBorders>
          </w:tcPr>
          <w:p>
            <w:pPr>
              <w:ind w:left="13" w:right="75" w:firstLine="42"/>
              <w:spacing w:before="93" w:line="210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8"/>
              </w:rPr>
              <w:t>自律机制备案编</w:t>
            </w:r>
            <w:r>
              <w:rPr>
                <w:rFonts w:ascii="FangSong" w:hAnsi="FangSong" w:eastAsia="FangSong" w:cs="FangSong"/>
                <w:sz w:val="22"/>
                <w:szCs w:val="22"/>
              </w:rPr>
              <w:t xml:space="preserve"> </w:t>
            </w:r>
            <w:r>
              <w:rPr>
                <w:rFonts w:ascii="FangSong" w:hAnsi="FangSong" w:eastAsia="FangSong" w:cs="FangSong"/>
                <w:sz w:val="22"/>
                <w:szCs w:val="22"/>
              </w:rPr>
              <w:t>码</w:t>
            </w:r>
          </w:p>
        </w:tc>
        <w:tc>
          <w:tcPr>
            <w:tcW w:w="8100" w:type="dxa"/>
            <w:vAlign w:val="top"/>
            <w:gridSpan w:val="5"/>
            <w:tcBorders>
              <w:left w:val="single" w:color="000000" w:sz="4" w:space="0"/>
              <w:right w:val="none" w:color="000000" w:sz="2" w:space="0"/>
            </w:tcBorders>
          </w:tcPr>
          <w:p>
            <w:pPr>
              <w:ind w:left="4"/>
              <w:spacing w:before="260" w:line="180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-1"/>
              </w:rPr>
              <w:t>230554000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>3</w:t>
            </w:r>
          </w:p>
        </w:tc>
      </w:tr>
      <w:tr>
        <w:trPr>
          <w:trHeight w:val="1154" w:hRule="atLeast"/>
        </w:trPr>
        <w:tc>
          <w:tcPr>
            <w:tcW w:w="1620" w:type="dxa"/>
            <w:vAlign w:val="top"/>
            <w:tcBorders>
              <w:right w:val="single" w:color="000000" w:sz="4" w:space="0"/>
              <w:left w:val="none" w:color="000000" w:sz="2" w:space="0"/>
            </w:tcBorders>
          </w:tcPr>
          <w:p>
            <w:pPr>
              <w:spacing w:line="426" w:lineRule="auto"/>
              <w:rPr>
                <w:rFonts w:ascii="Arial"/>
                <w:sz w:val="21"/>
              </w:rPr>
            </w:pPr>
            <w:r/>
          </w:p>
          <w:p>
            <w:pPr>
              <w:ind w:left="18"/>
              <w:spacing w:before="71" w:line="219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5"/>
              </w:rPr>
              <w:t>存</w:t>
            </w: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单全称</w:t>
            </w:r>
          </w:p>
        </w:tc>
        <w:tc>
          <w:tcPr>
            <w:tcW w:w="8100" w:type="dxa"/>
            <w:vAlign w:val="top"/>
            <w:gridSpan w:val="5"/>
            <w:tcBorders>
              <w:left w:val="single" w:color="000000" w:sz="4" w:space="0"/>
              <w:right w:val="none" w:color="000000" w:sz="2" w:space="0"/>
            </w:tcBorders>
          </w:tcPr>
          <w:p>
            <w:pPr>
              <w:spacing w:line="439" w:lineRule="auto"/>
              <w:rPr>
                <w:rFonts w:ascii="Arial"/>
                <w:sz w:val="21"/>
              </w:rPr>
            </w:pPr>
            <w:r/>
          </w:p>
          <w:p>
            <w:pPr>
              <w:ind w:left="8"/>
              <w:spacing w:before="65" w:line="219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-1"/>
              </w:rPr>
              <w:t>贵州清镇农村商业银行股份有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>限公司2023年第001期大额存单6M</w:t>
            </w:r>
          </w:p>
        </w:tc>
      </w:tr>
      <w:tr>
        <w:trPr>
          <w:trHeight w:val="594" w:hRule="atLeast"/>
        </w:trPr>
        <w:tc>
          <w:tcPr>
            <w:tcW w:w="1620" w:type="dxa"/>
            <w:vAlign w:val="top"/>
            <w:tcBorders>
              <w:right w:val="single" w:color="000000" w:sz="4" w:space="0"/>
              <w:left w:val="none" w:color="000000" w:sz="2" w:space="0"/>
            </w:tcBorders>
          </w:tcPr>
          <w:p>
            <w:pPr>
              <w:ind w:left="18"/>
              <w:spacing w:before="221" w:line="219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5"/>
              </w:rPr>
              <w:t>存</w:t>
            </w: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单简称</w:t>
            </w:r>
          </w:p>
        </w:tc>
        <w:tc>
          <w:tcPr>
            <w:tcW w:w="8100" w:type="dxa"/>
            <w:vAlign w:val="top"/>
            <w:gridSpan w:val="5"/>
            <w:tcBorders>
              <w:left w:val="single" w:color="000000" w:sz="4" w:space="0"/>
              <w:right w:val="none" w:color="000000" w:sz="2" w:space="0"/>
            </w:tcBorders>
          </w:tcPr>
          <w:p>
            <w:pPr>
              <w:ind w:left="4"/>
              <w:spacing w:before="228" w:line="221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-1"/>
              </w:rPr>
              <w:t>23清镇农商银行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>CDs</w:t>
            </w:r>
            <w:r>
              <w:rPr>
                <w:rFonts w:ascii="FangSong" w:hAnsi="FangSong" w:eastAsia="FangSong" w:cs="FangSong"/>
                <w:sz w:val="20"/>
                <w:szCs w:val="20"/>
                <w:spacing w:val="-1"/>
              </w:rPr>
              <w:t>0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>6M</w:t>
            </w:r>
          </w:p>
        </w:tc>
      </w:tr>
      <w:tr>
        <w:trPr>
          <w:trHeight w:val="595" w:hRule="atLeast"/>
        </w:trPr>
        <w:tc>
          <w:tcPr>
            <w:tcW w:w="1620" w:type="dxa"/>
            <w:vAlign w:val="top"/>
            <w:tcBorders>
              <w:right w:val="single" w:color="000000" w:sz="4" w:space="0"/>
              <w:left w:val="none" w:color="000000" w:sz="2" w:space="0"/>
            </w:tcBorders>
          </w:tcPr>
          <w:p>
            <w:pPr>
              <w:ind w:left="18"/>
              <w:spacing w:before="222" w:line="219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5"/>
              </w:rPr>
              <w:t>存</w:t>
            </w: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单代码</w:t>
            </w:r>
          </w:p>
        </w:tc>
        <w:tc>
          <w:tcPr>
            <w:tcW w:w="8100" w:type="dxa"/>
            <w:vAlign w:val="top"/>
            <w:gridSpan w:val="5"/>
            <w:tcBorders>
              <w:left w:val="single" w:color="000000" w:sz="4" w:space="0"/>
              <w:right w:val="none" w:color="000000" w:sz="2" w:space="0"/>
            </w:tcBorders>
          </w:tcPr>
          <w:p>
            <w:pPr>
              <w:spacing w:before="263" w:line="180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</w:rPr>
              <w:t>QZNSH</w:t>
            </w:r>
            <w:r>
              <w:rPr>
                <w:rFonts w:ascii="FangSong" w:hAnsi="FangSong" w:eastAsia="FangSong" w:cs="FangSong"/>
                <w:sz w:val="20"/>
                <w:szCs w:val="20"/>
                <w:spacing w:val="-1"/>
              </w:rPr>
              <w:t>20230</w:t>
            </w:r>
            <w:r>
              <w:rPr>
                <w:rFonts w:ascii="FangSong" w:hAnsi="FangSong" w:eastAsia="FangSong" w:cs="FangSong"/>
                <w:sz w:val="20"/>
                <w:szCs w:val="20"/>
              </w:rPr>
              <w:t>6M</w:t>
            </w:r>
          </w:p>
        </w:tc>
      </w:tr>
      <w:tr>
        <w:trPr>
          <w:trHeight w:val="535" w:hRule="atLeast"/>
        </w:trPr>
        <w:tc>
          <w:tcPr>
            <w:tcW w:w="1620" w:type="dxa"/>
            <w:vAlign w:val="top"/>
            <w:tcBorders>
              <w:right w:val="single" w:color="000000" w:sz="4" w:space="0"/>
              <w:left w:val="none" w:color="000000" w:sz="2" w:space="0"/>
            </w:tcBorders>
          </w:tcPr>
          <w:p>
            <w:pPr>
              <w:ind w:left="13"/>
              <w:spacing w:before="192" w:line="222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4"/>
              </w:rPr>
              <w:t>利</w:t>
            </w: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率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3"/>
              <w:spacing w:before="236" w:line="183" w:lineRule="auto"/>
              <w:rPr>
                <w:rFonts w:ascii="FangSong" w:hAnsi="FangSong" w:eastAsia="FangSong" w:cs="FangSong"/>
                <w:sz w:val="18"/>
                <w:szCs w:val="18"/>
              </w:rPr>
            </w:pPr>
            <w:r>
              <w:rPr>
                <w:rFonts w:ascii="FangSong" w:hAnsi="FangSong" w:eastAsia="FangSong" w:cs="FangSong"/>
                <w:sz w:val="18"/>
                <w:szCs w:val="18"/>
                <w:spacing w:val="1"/>
              </w:rPr>
              <w:t>2</w:t>
            </w:r>
            <w:r>
              <w:rPr>
                <w:rFonts w:ascii="FangSong" w:hAnsi="FangSong" w:eastAsia="FangSong" w:cs="FangSong"/>
                <w:sz w:val="18"/>
                <w:szCs w:val="18"/>
              </w:rPr>
              <w:t>.1%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9"/>
              <w:spacing w:before="66" w:line="217" w:lineRule="auto"/>
              <w:rPr>
                <w:rFonts w:ascii="FangSong" w:hAnsi="FangSong" w:eastAsia="FangSong" w:cs="FangSong"/>
                <w:sz w:val="21"/>
                <w:szCs w:val="21"/>
              </w:rPr>
            </w:pPr>
            <w:r>
              <w:rPr>
                <w:rFonts w:ascii="FangSong" w:hAnsi="FangSong" w:eastAsia="FangSong" w:cs="FangSong"/>
                <w:sz w:val="21"/>
                <w:szCs w:val="21"/>
                <w:spacing w:val="7"/>
              </w:rPr>
              <w:t>计划发行量</w:t>
            </w:r>
          </w:p>
          <w:p>
            <w:pPr>
              <w:ind w:left="9"/>
              <w:spacing w:line="194" w:lineRule="auto"/>
              <w:tabs>
                <w:tab w:val="left" w:leader="empty" w:pos="118"/>
              </w:tabs>
              <w:rPr>
                <w:rFonts w:ascii="FangSong" w:hAnsi="FangSong" w:eastAsia="FangSong" w:cs="FangSong"/>
                <w:sz w:val="21"/>
                <w:szCs w:val="21"/>
              </w:rPr>
            </w:pPr>
            <w:r>
              <w:rPr>
                <w:rFonts w:ascii="FangSong" w:hAnsi="FangSong" w:eastAsia="FangSong" w:cs="FangSong"/>
                <w:sz w:val="21"/>
                <w:szCs w:val="21"/>
              </w:rPr>
              <w:tab/>
            </w:r>
            <w:r>
              <w:rPr>
                <w:rFonts w:ascii="FangSong" w:hAnsi="FangSong" w:eastAsia="FangSong" w:cs="FangSong"/>
                <w:sz w:val="21"/>
                <w:szCs w:val="21"/>
                <w:spacing w:val="1"/>
              </w:rPr>
              <w:t>(</w:t>
            </w:r>
            <w:r>
              <w:rPr>
                <w:rFonts w:ascii="FangSong" w:hAnsi="FangSong" w:eastAsia="FangSong" w:cs="FangSong"/>
                <w:sz w:val="21"/>
                <w:szCs w:val="21"/>
              </w:rPr>
              <w:t>亿元)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spacing w:before="200" w:line="205" w:lineRule="auto"/>
              <w:jc w:val="right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</w:rPr>
              <w:t>0.3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9"/>
              <w:spacing w:before="192" w:line="222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5"/>
              </w:rPr>
              <w:t>期</w:t>
            </w: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限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none" w:color="000000" w:sz="2" w:space="0"/>
            </w:tcBorders>
          </w:tcPr>
          <w:p>
            <w:pPr>
              <w:ind w:left="3"/>
              <w:spacing w:before="233" w:line="180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-3"/>
              </w:rPr>
              <w:t>6</w:t>
            </w:r>
            <w:r>
              <w:rPr>
                <w:rFonts w:ascii="FangSong" w:hAnsi="FangSong" w:eastAsia="FangSong" w:cs="FangSong"/>
                <w:sz w:val="20"/>
                <w:szCs w:val="20"/>
                <w:spacing w:val="-2"/>
              </w:rPr>
              <w:t>M</w:t>
            </w:r>
          </w:p>
        </w:tc>
      </w:tr>
      <w:tr>
        <w:trPr>
          <w:trHeight w:val="535" w:hRule="atLeast"/>
        </w:trPr>
        <w:tc>
          <w:tcPr>
            <w:tcW w:w="1620" w:type="dxa"/>
            <w:vAlign w:val="top"/>
            <w:tcBorders>
              <w:right w:val="single" w:color="000000" w:sz="4" w:space="0"/>
              <w:left w:val="none" w:color="000000" w:sz="2" w:space="0"/>
            </w:tcBorders>
          </w:tcPr>
          <w:p>
            <w:pPr>
              <w:ind w:left="31" w:right="75" w:hanging="16"/>
              <w:spacing w:before="66" w:line="206" w:lineRule="auto"/>
              <w:rPr>
                <w:rFonts w:ascii="FangSong" w:hAnsi="FangSong" w:eastAsia="FangSong" w:cs="FangSong"/>
                <w:sz w:val="21"/>
                <w:szCs w:val="21"/>
              </w:rPr>
            </w:pPr>
            <w:r>
              <w:rPr>
                <w:rFonts w:ascii="FangSong" w:hAnsi="FangSong" w:eastAsia="FangSong" w:cs="FangSong"/>
                <w:sz w:val="21"/>
                <w:szCs w:val="21"/>
                <w:spacing w:val="27"/>
              </w:rPr>
              <w:t>起</w:t>
            </w:r>
            <w:r>
              <w:rPr>
                <w:rFonts w:ascii="FangSong" w:hAnsi="FangSong" w:eastAsia="FangSong" w:cs="FangSong"/>
                <w:sz w:val="21"/>
                <w:szCs w:val="21"/>
                <w:spacing w:val="22"/>
              </w:rPr>
              <w:t>点金额(万元</w:t>
            </w:r>
            <w:r>
              <w:rPr>
                <w:rFonts w:ascii="FangSong" w:hAnsi="FangSong" w:eastAsia="FangSong" w:cs="FangSong"/>
                <w:sz w:val="21"/>
                <w:szCs w:val="21"/>
              </w:rPr>
              <w:t xml:space="preserve"> </w:t>
            </w:r>
            <w:r>
              <w:rPr>
                <w:rFonts w:ascii="FangSong" w:hAnsi="FangSong" w:eastAsia="FangSong" w:cs="FangSong"/>
                <w:sz w:val="21"/>
                <w:szCs w:val="21"/>
              </w:rPr>
              <w:t>)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spacing w:before="201" w:line="204" w:lineRule="auto"/>
              <w:jc w:val="right"/>
              <w:rPr>
                <w:rFonts w:ascii="Arial" w:hAnsi="Arial" w:eastAsia="Arial" w:cs="Arial"/>
                <w:sz w:val="19"/>
                <w:szCs w:val="19"/>
              </w:rPr>
            </w:pPr>
            <w:r>
              <w:rPr>
                <w:rFonts w:ascii="Arial" w:hAnsi="Arial" w:eastAsia="Arial" w:cs="Arial"/>
                <w:sz w:val="19"/>
                <w:szCs w:val="19"/>
                <w:spacing w:val="-5"/>
              </w:rPr>
              <w:t>1</w:t>
            </w:r>
            <w:r>
              <w:rPr>
                <w:rFonts w:ascii="Arial" w:hAnsi="Arial" w:eastAsia="Arial" w:cs="Arial"/>
                <w:sz w:val="19"/>
                <w:szCs w:val="19"/>
                <w:spacing w:val="-3"/>
              </w:rPr>
              <w:t>00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9"/>
              <w:spacing w:before="192" w:line="222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4"/>
              </w:rPr>
              <w:t>计</w:t>
            </w: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息</w:t>
            </w:r>
            <w:r>
              <w:rPr>
                <w:rFonts w:ascii="FangSong" w:hAnsi="FangSong" w:eastAsia="FangSong" w:cs="FangSong"/>
                <w:sz w:val="22"/>
                <w:szCs w:val="22"/>
                <w:spacing w:val="-2"/>
              </w:rPr>
              <w:t>类型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29"/>
              <w:spacing w:before="199" w:line="226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-10"/>
              </w:rPr>
              <w:t>固</w:t>
            </w:r>
            <w:r>
              <w:rPr>
                <w:rFonts w:ascii="FangSong" w:hAnsi="FangSong" w:eastAsia="FangSong" w:cs="FangSong"/>
                <w:sz w:val="20"/>
                <w:szCs w:val="20"/>
                <w:spacing w:val="-8"/>
              </w:rPr>
              <w:t>息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9"/>
              <w:spacing w:before="192" w:line="223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4"/>
              </w:rPr>
              <w:t>付</w:t>
            </w: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息</w:t>
            </w:r>
            <w:r>
              <w:rPr>
                <w:rFonts w:ascii="FangSong" w:hAnsi="FangSong" w:eastAsia="FangSong" w:cs="FangSong"/>
                <w:sz w:val="22"/>
                <w:szCs w:val="22"/>
                <w:spacing w:val="-2"/>
              </w:rPr>
              <w:t>频率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none" w:color="000000" w:sz="2" w:space="0"/>
            </w:tcBorders>
          </w:tcPr>
          <w:p>
            <w:pPr>
              <w:ind w:left="8"/>
              <w:spacing w:before="199" w:line="222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-4"/>
              </w:rPr>
              <w:t>期</w:t>
            </w:r>
            <w:r>
              <w:rPr>
                <w:rFonts w:ascii="FangSong" w:hAnsi="FangSong" w:eastAsia="FangSong" w:cs="FangSong"/>
                <w:sz w:val="20"/>
                <w:szCs w:val="20"/>
                <w:spacing w:val="-3"/>
              </w:rPr>
              <w:t>满</w:t>
            </w:r>
          </w:p>
        </w:tc>
      </w:tr>
      <w:tr>
        <w:trPr>
          <w:trHeight w:val="535" w:hRule="atLeast"/>
        </w:trPr>
        <w:tc>
          <w:tcPr>
            <w:tcW w:w="1620" w:type="dxa"/>
            <w:vAlign w:val="top"/>
            <w:tcBorders>
              <w:right w:val="single" w:color="000000" w:sz="4" w:space="0"/>
              <w:left w:val="none" w:color="000000" w:sz="2" w:space="0"/>
            </w:tcBorders>
          </w:tcPr>
          <w:p>
            <w:pPr>
              <w:ind w:left="15"/>
              <w:spacing w:before="191" w:line="226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5"/>
              </w:rPr>
              <w:t>起</w:t>
            </w: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息日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8"/>
              <w:spacing w:before="198" w:line="224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  <w:spacing w:val="-4"/>
              </w:rPr>
              <w:t>认</w:t>
            </w:r>
            <w:r>
              <w:rPr>
                <w:rFonts w:ascii="FangSong" w:hAnsi="FangSong" w:eastAsia="FangSong" w:cs="FangSong"/>
                <w:sz w:val="20"/>
                <w:szCs w:val="20"/>
                <w:spacing w:val="-2"/>
              </w:rPr>
              <w:t>购日起息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16"/>
              <w:spacing w:before="192" w:line="223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6"/>
              </w:rPr>
              <w:t>首</w:t>
            </w: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次付息日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16"/>
              <w:spacing w:before="192" w:line="223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7"/>
              </w:rPr>
              <w:t>到</w:t>
            </w:r>
            <w:r>
              <w:rPr>
                <w:rFonts w:ascii="FangSong" w:hAnsi="FangSong" w:eastAsia="FangSong" w:cs="FangSong"/>
                <w:sz w:val="22"/>
                <w:szCs w:val="22"/>
                <w:spacing w:val="-4"/>
              </w:rPr>
              <w:t>期日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5" w:hRule="atLeast"/>
        </w:trPr>
        <w:tc>
          <w:tcPr>
            <w:tcW w:w="1620" w:type="dxa"/>
            <w:vAlign w:val="top"/>
            <w:tcBorders>
              <w:right w:val="single" w:color="000000" w:sz="4" w:space="0"/>
              <w:left w:val="none" w:color="000000" w:sz="2" w:space="0"/>
            </w:tcBorders>
          </w:tcPr>
          <w:p>
            <w:pPr>
              <w:ind w:left="20"/>
              <w:spacing w:before="191" w:line="221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发行开始时间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3"/>
              <w:spacing w:before="237" w:line="180" w:lineRule="auto"/>
              <w:rPr>
                <w:rFonts w:ascii="FangSong" w:hAnsi="FangSong" w:eastAsia="FangSong" w:cs="FangSong"/>
                <w:sz w:val="18"/>
                <w:szCs w:val="18"/>
              </w:rPr>
            </w:pPr>
            <w:r>
              <w:rPr>
                <w:rFonts w:ascii="FangSong" w:hAnsi="FangSong" w:eastAsia="FangSong" w:cs="FangSong"/>
                <w:sz w:val="18"/>
                <w:szCs w:val="18"/>
                <w:spacing w:val="-1"/>
              </w:rPr>
              <w:t>2023-04</w:t>
            </w:r>
            <w:r>
              <w:rPr>
                <w:rFonts w:ascii="FangSong" w:hAnsi="FangSong" w:eastAsia="FangSong" w:cs="FangSong"/>
                <w:sz w:val="18"/>
                <w:szCs w:val="18"/>
              </w:rPr>
              <w:t>-28</w:t>
            </w:r>
            <w:r>
              <w:rPr>
                <w:rFonts w:ascii="FangSong" w:hAnsi="FangSong" w:eastAsia="FangSong" w:cs="FangSong"/>
                <w:sz w:val="18"/>
                <w:szCs w:val="18"/>
              </w:rPr>
              <w:t xml:space="preserve"> </w:t>
            </w:r>
            <w:r>
              <w:rPr>
                <w:rFonts w:ascii="FangSong" w:hAnsi="FangSong" w:eastAsia="FangSong" w:cs="FangSong"/>
                <w:sz w:val="18"/>
                <w:szCs w:val="18"/>
              </w:rPr>
              <w:t>08:40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15"/>
              <w:spacing w:before="192" w:line="220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发行结束时间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3"/>
              <w:spacing w:before="236" w:line="181" w:lineRule="auto"/>
              <w:rPr>
                <w:rFonts w:ascii="FangSong" w:hAnsi="FangSong" w:eastAsia="FangSong" w:cs="FangSong"/>
                <w:sz w:val="18"/>
                <w:szCs w:val="18"/>
              </w:rPr>
            </w:pPr>
            <w:r>
              <w:rPr>
                <w:rFonts w:ascii="FangSong" w:hAnsi="FangSong" w:eastAsia="FangSong" w:cs="FangSong"/>
                <w:sz w:val="18"/>
                <w:szCs w:val="18"/>
                <w:spacing w:val="-1"/>
              </w:rPr>
              <w:t>2023-</w:t>
            </w:r>
            <w:r>
              <w:rPr>
                <w:rFonts w:ascii="FangSong" w:hAnsi="FangSong" w:eastAsia="FangSong" w:cs="FangSong"/>
                <w:sz w:val="18"/>
                <w:szCs w:val="18"/>
              </w:rPr>
              <w:t>08-31</w:t>
            </w:r>
            <w:r>
              <w:rPr>
                <w:rFonts w:ascii="FangSong" w:hAnsi="FangSong" w:eastAsia="FangSong" w:cs="FangSong"/>
                <w:sz w:val="18"/>
                <w:szCs w:val="18"/>
              </w:rPr>
              <w:t xml:space="preserve"> </w:t>
            </w:r>
            <w:r>
              <w:rPr>
                <w:rFonts w:ascii="FangSong" w:hAnsi="FangSong" w:eastAsia="FangSong" w:cs="FangSong"/>
                <w:sz w:val="18"/>
                <w:szCs w:val="18"/>
              </w:rPr>
              <w:t>17:30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9"/>
              <w:spacing w:before="192" w:line="222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4"/>
              </w:rPr>
              <w:t>基</w:t>
            </w: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准</w:t>
            </w:r>
            <w:r>
              <w:rPr>
                <w:rFonts w:ascii="FangSong" w:hAnsi="FangSong" w:eastAsia="FangSong" w:cs="FangSong"/>
                <w:sz w:val="22"/>
                <w:szCs w:val="22"/>
                <w:spacing w:val="-2"/>
              </w:rPr>
              <w:t>利率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5" w:hRule="atLeast"/>
        </w:trPr>
        <w:tc>
          <w:tcPr>
            <w:tcW w:w="1620" w:type="dxa"/>
            <w:vAlign w:val="top"/>
            <w:tcBorders>
              <w:right w:val="single" w:color="000000" w:sz="4" w:space="0"/>
              <w:left w:val="none" w:color="000000" w:sz="2" w:space="0"/>
            </w:tcBorders>
          </w:tcPr>
          <w:p>
            <w:pPr>
              <w:ind w:left="14"/>
              <w:spacing w:before="192" w:line="222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基</w:t>
            </w:r>
            <w:r>
              <w:rPr>
                <w:rFonts w:ascii="FangSong" w:hAnsi="FangSong" w:eastAsia="FangSong" w:cs="FangSong"/>
                <w:sz w:val="22"/>
                <w:szCs w:val="22"/>
                <w:spacing w:val="-2"/>
              </w:rPr>
              <w:t>准利率精度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8"/>
              <w:spacing w:before="192" w:line="222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4"/>
              </w:rPr>
              <w:t>利</w:t>
            </w: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差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16"/>
              <w:spacing w:before="192" w:line="222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4"/>
              </w:rPr>
              <w:t>首次</w:t>
            </w: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利</w:t>
            </w:r>
            <w:r>
              <w:rPr>
                <w:rFonts w:ascii="FangSong" w:hAnsi="FangSong" w:eastAsia="FangSong" w:cs="FangSong"/>
                <w:sz w:val="22"/>
                <w:szCs w:val="22"/>
                <w:spacing w:val="-2"/>
              </w:rPr>
              <w:t>率确定日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40" w:hRule="atLeast"/>
        </w:trPr>
        <w:tc>
          <w:tcPr>
            <w:tcW w:w="1620" w:type="dxa"/>
            <w:vAlign w:val="top"/>
            <w:tcBorders>
              <w:right w:val="single" w:color="000000" w:sz="4" w:space="0"/>
              <w:left w:val="none" w:color="000000" w:sz="2" w:space="0"/>
            </w:tcBorders>
          </w:tcPr>
          <w:p>
            <w:pPr>
              <w:ind w:left="45" w:right="295" w:hanging="25"/>
              <w:spacing w:before="66" w:line="208" w:lineRule="auto"/>
              <w:rPr>
                <w:rFonts w:ascii="FangSong" w:hAnsi="FangSong" w:eastAsia="FangSong" w:cs="FangSong"/>
                <w:sz w:val="21"/>
                <w:szCs w:val="21"/>
              </w:rPr>
            </w:pPr>
            <w:r>
              <w:rPr>
                <w:rFonts w:ascii="FangSong" w:hAnsi="FangSong" w:eastAsia="FangSong" w:cs="FangSong"/>
                <w:sz w:val="21"/>
                <w:szCs w:val="21"/>
                <w:spacing w:val="9"/>
              </w:rPr>
              <w:t>最</w:t>
            </w:r>
            <w:r>
              <w:rPr>
                <w:rFonts w:ascii="FangSong" w:hAnsi="FangSong" w:eastAsia="FangSong" w:cs="FangSong"/>
                <w:sz w:val="21"/>
                <w:szCs w:val="21"/>
                <w:spacing w:val="6"/>
              </w:rPr>
              <w:t>小变动单位</w:t>
            </w:r>
            <w:r>
              <w:rPr>
                <w:rFonts w:ascii="FangSong" w:hAnsi="FangSong" w:eastAsia="FangSong" w:cs="FangSong"/>
                <w:sz w:val="21"/>
                <w:szCs w:val="21"/>
              </w:rPr>
              <w:t xml:space="preserve"> </w:t>
            </w:r>
            <w:r>
              <w:rPr>
                <w:rFonts w:ascii="FangSong" w:hAnsi="FangSong" w:eastAsia="FangSong" w:cs="FangSong"/>
                <w:sz w:val="21"/>
                <w:szCs w:val="21"/>
                <w:spacing w:val="-8"/>
              </w:rPr>
              <w:t>(</w:t>
            </w:r>
            <w:r>
              <w:rPr>
                <w:rFonts w:ascii="FangSong" w:hAnsi="FangSong" w:eastAsia="FangSong" w:cs="FangSong"/>
                <w:sz w:val="21"/>
                <w:szCs w:val="21"/>
                <w:spacing w:val="-6"/>
              </w:rPr>
              <w:t>元)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spacing w:before="193" w:line="204" w:lineRule="auto"/>
              <w:jc w:val="right"/>
              <w:rPr>
                <w:rFonts w:ascii="Arial" w:hAnsi="Arial" w:eastAsia="Arial" w:cs="Arial"/>
                <w:sz w:val="21"/>
                <w:szCs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spacing w:val="-1"/>
              </w:rPr>
              <w:t>10</w:t>
            </w:r>
            <w:r>
              <w:rPr>
                <w:rFonts w:ascii="Arial" w:hAnsi="Arial" w:eastAsia="Arial" w:cs="Arial"/>
                <w:sz w:val="21"/>
                <w:szCs w:val="21"/>
              </w:rPr>
              <w:t>000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10"/>
              <w:spacing w:before="191" w:line="219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  <w:spacing w:val="-4"/>
              </w:rPr>
              <w:t>是</w:t>
            </w:r>
            <w:r>
              <w:rPr>
                <w:rFonts w:ascii="FangSong" w:hAnsi="FangSong" w:eastAsia="FangSong" w:cs="FangSong"/>
                <w:sz w:val="22"/>
                <w:szCs w:val="22"/>
                <w:spacing w:val="-3"/>
              </w:rPr>
              <w:t>否</w:t>
            </w:r>
            <w:r>
              <w:rPr>
                <w:rFonts w:ascii="FangSong" w:hAnsi="FangSong" w:eastAsia="FangSong" w:cs="FangSong"/>
                <w:sz w:val="22"/>
                <w:szCs w:val="22"/>
                <w:spacing w:val="-2"/>
              </w:rPr>
              <w:t>可转让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ind w:left="12"/>
              <w:spacing w:before="199" w:line="224" w:lineRule="auto"/>
              <w:rPr>
                <w:rFonts w:ascii="FangSong" w:hAnsi="FangSong" w:eastAsia="FangSong" w:cs="FangSong"/>
                <w:sz w:val="20"/>
                <w:szCs w:val="20"/>
              </w:rPr>
            </w:pPr>
            <w:r>
              <w:rPr>
                <w:rFonts w:ascii="FangSong" w:hAnsi="FangSong" w:eastAsia="FangSong" w:cs="FangSong"/>
                <w:sz w:val="20"/>
                <w:szCs w:val="20"/>
              </w:rPr>
              <w:t>否</w:t>
            </w:r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20" w:type="dxa"/>
            <w:vAlign w:val="top"/>
            <w:tcBorders>
              <w:left w:val="single" w:color="000000" w:sz="4" w:space="0"/>
              <w:right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pgSz w:w="11900" w:h="16840"/>
          <w:pgMar w:top="1423" w:right="1100" w:bottom="0" w:left="1080" w:header="0" w:footer="0" w:gutter="0"/>
        </w:sectPr>
        <w:rPr/>
      </w:pPr>
    </w:p>
    <w:tbl>
      <w:tblPr>
        <w:tblStyle w:val="2"/>
        <w:tblW w:w="9760" w:type="dxa"/>
        <w:tblInd w:w="0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620"/>
        <w:gridCol w:w="8140"/>
      </w:tblGrid>
      <w:tr>
        <w:trPr>
          <w:trHeight w:val="1498" w:hRule="atLeast"/>
        </w:trPr>
        <w:tc>
          <w:tcPr>
            <w:tcW w:w="1620" w:type="dxa"/>
            <w:vAlign w:val="top"/>
            <w:textDirection w:val="tbRlV"/>
            <w:tcBorders>
              <w:left w:val="none" w:color="000000" w:sz="2" w:space="0"/>
              <w:right w:val="single" w:color="000000" w:sz="4" w:space="0"/>
            </w:tcBorders>
          </w:tcPr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spacing w:line="303" w:lineRule="auto"/>
              <w:rPr>
                <w:rFonts w:ascii="Arial"/>
                <w:sz w:val="21"/>
              </w:rPr>
            </w:pPr>
            <w:r/>
          </w:p>
          <w:p>
            <w:pPr>
              <w:ind w:left="43"/>
              <w:spacing w:before="70" w:line="214" w:lineRule="auto"/>
              <w:rPr>
                <w:rFonts w:ascii="FangSong" w:hAnsi="FangSong" w:eastAsia="FangSong" w:cs="FangSong"/>
                <w:sz w:val="21"/>
                <w:szCs w:val="21"/>
              </w:rPr>
            </w:pPr>
            <w:r>
              <w:rPr>
                <w:rFonts w:ascii="FangSong" w:hAnsi="FangSong" w:eastAsia="FangSong" w:cs="FangSong"/>
                <w:sz w:val="21"/>
                <w:szCs w:val="21"/>
                <w:spacing w:val="34"/>
              </w:rPr>
              <w:t>提</w:t>
            </w:r>
            <w:r>
              <w:rPr>
                <w:rFonts w:ascii="FangSong" w:hAnsi="FangSong" w:eastAsia="FangSong" w:cs="FangSong"/>
                <w:sz w:val="21"/>
                <w:szCs w:val="21"/>
                <w:spacing w:val="32"/>
              </w:rPr>
              <w:t>前赎回条件</w:t>
            </w:r>
          </w:p>
        </w:tc>
        <w:tc>
          <w:tcPr>
            <w:tcW w:w="8140" w:type="dxa"/>
            <w:vAlign w:val="top"/>
            <w:tcBorders>
              <w:right w:val="none" w:color="000000" w:sz="2" w:space="0"/>
              <w:left w:val="single" w:color="000000" w:sz="4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493" w:hRule="atLeast"/>
        </w:trPr>
        <w:tc>
          <w:tcPr>
            <w:tcW w:w="1620" w:type="dxa"/>
            <w:vAlign w:val="top"/>
            <w:textDirection w:val="tbRlV"/>
            <w:tcBorders>
              <w:left w:val="none" w:color="000000" w:sz="2" w:space="0"/>
              <w:right w:val="single" w:color="000000" w:sz="4" w:space="0"/>
            </w:tcBorders>
          </w:tcPr>
          <w:p>
            <w:pPr>
              <w:spacing w:line="303" w:lineRule="auto"/>
              <w:rPr>
                <w:rFonts w:ascii="Arial"/>
                <w:sz w:val="21"/>
              </w:rPr>
            </w:pPr>
            <w:r/>
          </w:p>
          <w:p>
            <w:pPr>
              <w:spacing w:line="303" w:lineRule="auto"/>
              <w:rPr>
                <w:rFonts w:ascii="Arial"/>
                <w:sz w:val="21"/>
              </w:rPr>
            </w:pPr>
            <w:r/>
          </w:p>
          <w:p>
            <w:pPr>
              <w:ind w:left="40"/>
              <w:spacing w:before="70" w:line="213" w:lineRule="auto"/>
              <w:rPr>
                <w:rFonts w:ascii="FangSong" w:hAnsi="FangSong" w:eastAsia="FangSong" w:cs="FangSong"/>
                <w:sz w:val="21"/>
                <w:szCs w:val="21"/>
              </w:rPr>
            </w:pPr>
            <w:r>
              <w:rPr>
                <w:rFonts w:ascii="FangSong" w:hAnsi="FangSong" w:eastAsia="FangSong" w:cs="FangSong"/>
                <w:sz w:val="21"/>
                <w:szCs w:val="21"/>
                <w:spacing w:val="32"/>
              </w:rPr>
              <w:t>提前支取条件</w:t>
            </w:r>
          </w:p>
        </w:tc>
        <w:tc>
          <w:tcPr>
            <w:tcW w:w="8140" w:type="dxa"/>
            <w:vAlign w:val="top"/>
            <w:tcBorders>
              <w:right w:val="none" w:color="000000" w:sz="2" w:space="0"/>
              <w:left w:val="single" w:color="000000" w:sz="4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198" w:hRule="atLeast"/>
        </w:trPr>
        <w:tc>
          <w:tcPr>
            <w:tcW w:w="1620" w:type="dxa"/>
            <w:vAlign w:val="top"/>
            <w:tcBorders>
              <w:left w:val="none" w:color="000000" w:sz="2" w:space="0"/>
              <w:right w:val="single" w:color="000000" w:sz="4" w:space="0"/>
            </w:tcBorders>
          </w:tcPr>
          <w:p>
            <w:pPr>
              <w:spacing w:line="321" w:lineRule="auto"/>
              <w:rPr>
                <w:rFonts w:ascii="Arial"/>
                <w:sz w:val="21"/>
              </w:rPr>
            </w:pPr>
            <w:r/>
          </w:p>
          <w:p>
            <w:pPr>
              <w:ind w:left="716"/>
              <w:spacing w:before="72" w:line="210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</w:rPr>
              <w:t>备</w:t>
            </w:r>
          </w:p>
          <w:p>
            <w:pPr>
              <w:ind w:left="720"/>
              <w:spacing w:line="230" w:lineRule="auto"/>
              <w:rPr>
                <w:rFonts w:ascii="FangSong" w:hAnsi="FangSong" w:eastAsia="FangSong" w:cs="FangSong"/>
                <w:sz w:val="22"/>
                <w:szCs w:val="22"/>
              </w:rPr>
            </w:pPr>
            <w:r>
              <w:rPr>
                <w:rFonts w:ascii="FangSong" w:hAnsi="FangSong" w:eastAsia="FangSong" w:cs="FangSong"/>
                <w:sz w:val="22"/>
                <w:szCs w:val="22"/>
              </w:rPr>
              <w:t>注</w:t>
            </w:r>
          </w:p>
        </w:tc>
        <w:tc>
          <w:tcPr>
            <w:tcW w:w="8140" w:type="dxa"/>
            <w:vAlign w:val="top"/>
            <w:tcBorders>
              <w:right w:val="none" w:color="000000" w:sz="2" w:space="0"/>
              <w:left w:val="single" w:color="000000" w:sz="4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spacing w:line="332" w:lineRule="auto"/>
        <w:rPr>
          <w:rFonts w:ascii="Arial"/>
          <w:sz w:val="21"/>
        </w:rPr>
      </w:pPr>
      <w:r/>
    </w:p>
    <w:p>
      <w:pPr>
        <w:ind w:right="39"/>
        <w:spacing w:before="71" w:line="223" w:lineRule="auto"/>
        <w:jc w:val="right"/>
        <w:rPr>
          <w:rFonts w:ascii="SimHei" w:hAnsi="SimHei" w:eastAsia="SimHei" w:cs="SimHei"/>
          <w:sz w:val="22"/>
          <w:szCs w:val="22"/>
        </w:rPr>
      </w:pPr>
      <w:r>
        <w:rPr>
          <w:rFonts w:ascii="SimHei" w:hAnsi="SimHei" w:eastAsia="SimHei" w:cs="SimHei"/>
          <w:sz w:val="22"/>
          <w:szCs w:val="22"/>
          <w:spacing w:val="-1"/>
        </w:rPr>
        <w:t>2023年0</w:t>
      </w:r>
      <w:r>
        <w:rPr>
          <w:rFonts w:ascii="SimHei" w:hAnsi="SimHei" w:eastAsia="SimHei" w:cs="SimHei"/>
          <w:sz w:val="22"/>
          <w:szCs w:val="22"/>
        </w:rPr>
        <w:t>4月26日</w:t>
      </w:r>
    </w:p>
    <w:sectPr>
      <w:footerReference w:type="default" r:id="rId1"/>
      <w:pgSz w:w="11900" w:h="16840"/>
      <w:pgMar w:top="1415" w:right="1060" w:bottom="1573" w:left="1080" w:header="0" w:footer="143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"/>
      <w:spacing w:line="218" w:lineRule="auto"/>
      <w:rPr>
        <w:rFonts w:ascii="SimSun" w:hAnsi="SimSun" w:eastAsia="SimSun" w:cs="SimSun"/>
        <w:sz w:val="12"/>
        <w:szCs w:val="12"/>
      </w:rPr>
    </w:pPr>
    <w:r>
      <w:rPr>
        <w:rFonts w:ascii="SimSun" w:hAnsi="SimSun" w:eastAsia="SimSun" w:cs="SimSun"/>
        <w:sz w:val="12"/>
        <w:szCs w:val="12"/>
        <w:spacing w:val="-1"/>
      </w:rPr>
      <w:t>*本发行要素公告由全国银行间同业拆借中心大</w:t>
    </w:r>
    <w:r>
      <w:rPr>
        <w:rFonts w:ascii="SimSun" w:hAnsi="SimSun" w:eastAsia="SimSun" w:cs="SimSun"/>
        <w:sz w:val="12"/>
        <w:szCs w:val="12"/>
      </w:rPr>
      <w:t>额存单发行系统生成。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styles" Target="styles.xml"/><Relationship Id="rId2" Type="http://schemas.openxmlformats.org/officeDocument/2006/relationships/settings" Target="settings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JasperReports (issueNotice)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2023-04-26T17:22:47Z</dcterms:creat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E94486CC-9CD1-11EB-B3E1-52540006F7B4}" pid="2" name="CRO">
    <vt:lpwstr>wqlLaW5nc29mdCBQREYgdG8gV1BTIDgw</vt:lpwstr>
  </op:property>
  <op:property fmtid="{E94486CC-9CD1-11EB-B3E1-52540006F7B4}" pid="3" name="Created">
    <vt:filetime>2023-04-27T15:20:35</vt:filetime>
  </op:property>
</op:Properties>
</file>