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0" w:firstLineChars="82"/>
        <w:jc w:val="center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8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HDS原厂维保服务</w:t>
      </w:r>
      <w:bookmarkEnd w:id="8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、项目概况</w:t>
      </w:r>
    </w:p>
    <w:p>
      <w:pPr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本次维保涉及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18台HDS设备维保服务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详见附件：2022年HDS续保设备清单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15人天HDS高级工程师服务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设备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主要用于我社统一支付、黔农云、行业应用等重要业务系统。其中生产环境7台，灾备环境6台，开发测试环境5台。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所有设备维保截止日期为202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月3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日。维保期间，由原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HDS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设备原厂商提供服务，更换设备及配件必须为原厂全新的产品。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Toc406671090"/>
      <w:bookmarkStart w:id="1" w:name="_Toc406670719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货物/服务须满足的规范、标准</w:t>
      </w:r>
      <w:bookmarkEnd w:id="0"/>
      <w:bookmarkEnd w:id="1"/>
      <w:bookmarkStart w:id="2" w:name="_Toc406672384"/>
      <w:bookmarkStart w:id="3" w:name="_Toc406671091"/>
      <w:bookmarkStart w:id="4" w:name="_Toc406671679"/>
      <w:bookmarkStart w:id="5" w:name="_Toc406670720"/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（一）基本要求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1.维保时间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本次维保服务购买时间为维保服务到期次日起到202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月3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日止。维护地点为贵州农信指定地点。提供本项目实施策略、工程实施计划、人员安排、项目实施流程、培训计划等工程实施方案。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2.售后服务及其它要求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（1）提供原厂商售后服务承诺书（原件加盖鲜章）。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（2）提供技术支持服务确保项目的完成。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（3）提供切实可行的应急方案，包括对现场的故障诊断，应急的解决方案（故障排除的时间等），保障我社信息系统安全、持续、稳健、可靠地运行，有效防范信息科技风险，确保业务连续性。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（4）提供服务级别内15分钟电话响应，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HDS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原厂工程师需在接到报修后4小时内到达现场。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（5）遇国家重大节假日及重大保障时点，以及我社重要业务时点、应急切换演练、系统迁移等，原厂商需按照我社要求制定服务方案，并安排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HDS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原厂工程师到现场进行技术支持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及实施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（6）原厂商若发现与我社维保设备相关的重大缺陷，或者正式发布与我社维保设备相关的微码及补丁，应及时与我社联系，协商处置及升级等相关事宜，切实保障我社设备安全稳定运行。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（二）服务要求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1.快速服务响应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（1）对于我社的故障事件，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HDS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原厂工程师需在15分钟内电话响应，及时分析和排查问题根源，最大限度减少故障事件对系统正常运作的影响。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（2）若出现严重性故障，影响业务正常运行，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HDS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原厂工程师需提供电话实时响应，并根据需要及时（原则上不超过4小时）赶赴现场分析排查，解决问题。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（3）对于暂时不影响业务正常运转的故障，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HDS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原厂工程师应同我社协商到场时间，并快速落实所需配件等必要基础条件，尽快修复系统，原则上在1-3天内解决。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（4）对于我社有新业务系统上线需使用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HDS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设备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或调整设备用途的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HDS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原厂工程师1-2天内到达现场，做好方案规划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及实施工作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，直至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设备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稳定运行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或调整完毕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2.快速修复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ab/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（1）对于硬件设备，会引起关键性故障的备件，包括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电源、控制器、风扇等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，一旦机器出现故障，应力争迅速恢复正常业务运作。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（2）对于软件问题，确保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存储双活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软件工作正常，并为此进行巡检演练，对系统备份和数据备份，与我社一起建立规范流程，以备不时之需。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3.使系统达到高可用性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ab/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对我社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HDS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设备进行定期的预防性维护，每个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及重要节假日等时点进行一次预防性巡检维护检查和客户拜访，了解我社最新动向，排除故障隐患。每季度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HDS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经理至少进行一次客户访问，每年进行至少一次工作总结,向行领导汇报。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4.建立详尽客户维护服务档案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为我社所有设备建立完整的客户维护服务档案，包括但不限于以下内容：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（1）系统设备的配置信息、网络拓扑、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存储复制关系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、应用程序信息等；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（2）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HDS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及我社有关服务信息、联系人、联系电话等；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（3）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HDS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原厂工程师每次维修、维护服务记录。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（4）每次系统预防性巡检维护服务的报告，并形成巡检报告。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（5）系统升级、变更的跟踪记录。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（6）客户报告、会议记要等。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5、硬件服务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（1）系统出错记录分析和故障诊断。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（2）现场维修，更换备件。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（3）系统板卡，设备的微代码升级。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（4）系统检测诊断(Diagnostic Online/Offline)。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（5）定期的预防性维护。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（6）提供设备维护、维修记录和报告。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（7）系统基本使用的支持，问答。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（8）基本技术培训和经验的传授。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6.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HDS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高级技术支持专家现场支持和访问</w:t>
      </w:r>
    </w:p>
    <w:p>
      <w:pPr>
        <w:widowControl w:val="0"/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为了更好地保障我社数据中心的安全生产工作，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HDS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原厂商在服务期内应安排高级技术专家到我社进行技术支持，包括对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HDS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设备系统的安全检查以及经验交流，分析了解设备运行情况，解决潜在的风险隐患，确保设备稳定运行。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三、HDS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 w:bidi="ar-SA"/>
        </w:rPr>
        <w:t>续保设备清单</w:t>
      </w:r>
    </w:p>
    <w:p>
      <w:pPr>
        <w:widowControl w:val="0"/>
        <w:spacing w:line="560" w:lineRule="exact"/>
        <w:ind w:firstLine="0"/>
        <w:jc w:val="center"/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eastAsia="zh-CN" w:bidi="ar-SA"/>
        </w:rPr>
      </w:pPr>
      <w:bookmarkStart w:id="6" w:name="_Toc511223302"/>
      <w:bookmarkStart w:id="7" w:name="_Toc525892019"/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eastAsia="zh-CN" w:bidi="ar-SA"/>
        </w:rPr>
        <w:t>HDS续保设备清单</w:t>
      </w:r>
    </w:p>
    <w:bookmarkEnd w:id="6"/>
    <w:bookmarkEnd w:id="7"/>
    <w:tbl>
      <w:tblPr>
        <w:tblStyle w:val="3"/>
        <w:tblW w:w="5264" w:type="pct"/>
        <w:tblInd w:w="-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338"/>
        <w:gridCol w:w="1431"/>
        <w:gridCol w:w="1310"/>
        <w:gridCol w:w="1322"/>
        <w:gridCol w:w="1473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序列号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维保起始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维保结束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部署环境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维保服务级别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Brocade 6510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BRW4050N04P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准生产及测试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Brocade 6510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BRW4050N04W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准生产及测试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VSP G400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413591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准生产及测试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VSP G400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413589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准生产及测试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VSP G800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413556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准生产及测试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Brocade 6520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CHQ4048N012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灾备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Brocade 6520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CHQ4050N010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灾备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Brocade 8510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ANN4050N011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灾备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Brocade 8510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ANN4050N00Z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灾备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VSP G800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413554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灾备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VSP G800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413561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2023/03/02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灾备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VSP G900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415133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软硬件7*24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VSP G350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426414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软硬件7*24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VSP G350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426341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软硬件7*24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VSP G350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426882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软硬件7*24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VSP G350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426883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软硬件7*24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VSP G200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427025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软硬件7*24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VSP G800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413639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2023/03/02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2024/06/30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软硬件7*24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65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15人天HDS原厂高级工程师服务（服务包括但不限于以下内容：HDS存储深度优化、存储容灾复制配置、专家培训等。）</w:t>
            </w:r>
          </w:p>
        </w:tc>
      </w:tr>
    </w:tbl>
    <w:p>
      <w:pPr>
        <w:keepNext/>
        <w:keepLines/>
        <w:numPr>
          <w:ilvl w:val="1"/>
          <w:numId w:val="0"/>
        </w:numPr>
        <w:spacing w:line="360" w:lineRule="auto"/>
        <w:ind w:left="1002" w:leftChars="0"/>
        <w:outlineLvl w:val="1"/>
        <w:rPr>
          <w:rFonts w:hint="eastAsia" w:ascii="仿宋_GB2312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</w:p>
    <w:bookmarkEnd w:id="2"/>
    <w:bookmarkEnd w:id="3"/>
    <w:bookmarkEnd w:id="4"/>
    <w:bookmarkEnd w:id="5"/>
    <w:p>
      <w:pPr>
        <w:ind w:left="0" w:leftChars="0" w:firstLine="0" w:firstLineChars="0"/>
        <w:rPr>
          <w:rFonts w:ascii="宋体" w:hAnsi="宋体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贵州省农村信用社联合社HDS设备维保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服务代理商征集报名表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与HDS设备产品及服务相关资质清单</w:t>
      </w:r>
    </w:p>
    <w:tbl>
      <w:tblPr>
        <w:tblStyle w:val="4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462"/>
        <w:gridCol w:w="2163"/>
        <w:gridCol w:w="2181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资质名称及等级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资质评估机构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资质有效期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outlineLvl w:val="0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名称）的法定代表人（单位负责人），现委托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（姓名）为我方代理人。代理人根据授权，以我方名义签署、澄清确认、递交、撤回、修改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文件、签订合同和处理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加盖单位公章并由其法定代表人（单位负责人）和委托代理人签字。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952F7"/>
    <w:rsid w:val="617F19CD"/>
    <w:rsid w:val="6B5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wC Normal"/>
    <w:basedOn w:val="1"/>
    <w:qFormat/>
    <w:uiPriority w:val="99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100256-代文林</cp:lastModifiedBy>
  <dcterms:modified xsi:type="dcterms:W3CDTF">2022-12-28T08:30:50Z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