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六枝特区农村信用合作联社2021年环境</w:t>
      </w:r>
    </w:p>
    <w:p>
      <w:pPr>
        <w:pStyle w:val="18"/>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信息披露报告</w:t>
      </w:r>
    </w:p>
    <w:p>
      <w:pPr>
        <w:pStyle w:val="18"/>
        <w:rPr>
          <w:rFonts w:hint="eastAsia" w:ascii="方正小标宋简体" w:hAnsi="方正小标宋简体" w:eastAsia="方正小标宋简体" w:cs="方正小标宋简体"/>
          <w:color w:val="000000"/>
          <w:kern w:val="0"/>
          <w:sz w:val="44"/>
          <w:szCs w:val="44"/>
          <w:lang w:bidi="ar"/>
        </w:rPr>
      </w:pPr>
    </w:p>
    <w:p>
      <w:pPr>
        <w:pStyle w:val="18"/>
        <w:rPr>
          <w:rFonts w:hint="eastAsia" w:ascii="方正小标宋简体" w:hAnsi="方正小标宋简体" w:eastAsia="方正小标宋简体" w:cs="方正小标宋简体"/>
          <w:color w:val="000000"/>
          <w:kern w:val="0"/>
          <w:sz w:val="44"/>
          <w:szCs w:val="44"/>
          <w:lang w:bidi="ar"/>
        </w:rPr>
      </w:pPr>
    </w:p>
    <w:p>
      <w:pPr>
        <w:pStyle w:val="18"/>
        <w:rPr>
          <w:rFonts w:hint="eastAsia" w:ascii="方正小标宋简体" w:hAnsi="方正小标宋简体" w:eastAsia="方正小标宋简体" w:cs="方正小标宋简体"/>
          <w:color w:val="000000"/>
          <w:kern w:val="0"/>
          <w:sz w:val="44"/>
          <w:szCs w:val="44"/>
          <w:lang w:bidi="ar"/>
        </w:rPr>
      </w:pPr>
    </w:p>
    <w:p>
      <w:pPr>
        <w:pStyle w:val="18"/>
        <w:rPr>
          <w:rFonts w:hint="eastAsia" w:ascii="方正小标宋简体" w:hAnsi="方正小标宋简体" w:eastAsia="方正小标宋简体" w:cs="方正小标宋简体"/>
          <w:color w:val="000000"/>
          <w:kern w:val="0"/>
          <w:sz w:val="44"/>
          <w:szCs w:val="44"/>
          <w:lang w:bidi="ar"/>
        </w:rPr>
      </w:pPr>
    </w:p>
    <w:p>
      <w:pPr>
        <w:pStyle w:val="18"/>
        <w:rPr>
          <w:rFonts w:hint="eastAsia" w:ascii="方正小标宋简体" w:hAnsi="方正小标宋简体" w:eastAsia="方正小标宋简体" w:cs="方正小标宋简体"/>
          <w:color w:val="000000"/>
          <w:kern w:val="0"/>
          <w:sz w:val="44"/>
          <w:szCs w:val="44"/>
          <w:lang w:bidi="ar"/>
        </w:rPr>
      </w:pPr>
    </w:p>
    <w:p>
      <w:pPr>
        <w:pStyle w:val="18"/>
        <w:rPr>
          <w:rFonts w:hint="eastAsia" w:ascii="方正小标宋简体" w:hAnsi="方正小标宋简体" w:eastAsia="方正小标宋简体" w:cs="方正小标宋简体"/>
          <w:color w:val="000000"/>
          <w:kern w:val="0"/>
          <w:sz w:val="44"/>
          <w:szCs w:val="44"/>
          <w:lang w:bidi="ar"/>
        </w:rPr>
      </w:pPr>
    </w:p>
    <w:p>
      <w:pPr>
        <w:pStyle w:val="18"/>
        <w:rPr>
          <w:rFonts w:hint="eastAsia" w:ascii="方正小标宋简体" w:hAnsi="方正小标宋简体" w:eastAsia="方正小标宋简体" w:cs="方正小标宋简体"/>
          <w:color w:val="000000"/>
          <w:kern w:val="0"/>
          <w:sz w:val="44"/>
          <w:szCs w:val="44"/>
          <w:lang w:bidi="ar"/>
        </w:rPr>
      </w:pPr>
    </w:p>
    <w:p>
      <w:pPr>
        <w:pStyle w:val="18"/>
        <w:rPr>
          <w:rFonts w:hint="eastAsia" w:ascii="方正小标宋简体" w:hAnsi="方正小标宋简体" w:eastAsia="方正小标宋简体" w:cs="方正小标宋简体"/>
          <w:color w:val="000000"/>
          <w:kern w:val="0"/>
          <w:sz w:val="44"/>
          <w:szCs w:val="44"/>
          <w:lang w:bidi="ar"/>
        </w:rPr>
      </w:pPr>
    </w:p>
    <w:p>
      <w:pPr>
        <w:pStyle w:val="18"/>
        <w:rPr>
          <w:rFonts w:hint="eastAsia" w:ascii="方正小标宋简体" w:hAnsi="方正小标宋简体" w:eastAsia="方正小标宋简体" w:cs="方正小标宋简体"/>
          <w:color w:val="000000"/>
          <w:kern w:val="0"/>
          <w:sz w:val="44"/>
          <w:szCs w:val="44"/>
          <w:lang w:bidi="ar"/>
        </w:rPr>
      </w:pPr>
    </w:p>
    <w:p>
      <w:pPr>
        <w:pStyle w:val="18"/>
        <w:rPr>
          <w:rFonts w:hint="eastAsia" w:ascii="方正小标宋简体" w:hAnsi="方正小标宋简体" w:eastAsia="方正小标宋简体" w:cs="方正小标宋简体"/>
          <w:color w:val="000000"/>
          <w:kern w:val="0"/>
          <w:sz w:val="44"/>
          <w:szCs w:val="44"/>
          <w:lang w:bidi="ar"/>
        </w:rPr>
      </w:pPr>
    </w:p>
    <w:p>
      <w:pPr>
        <w:pStyle w:val="18"/>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2022年3月31日</w:t>
      </w:r>
    </w:p>
    <w:p>
      <w:pPr>
        <w:pStyle w:val="18"/>
        <w:jc w:val="center"/>
        <w:rPr>
          <w:rFonts w:hint="eastAsia" w:ascii="方正小标宋简体" w:hAnsi="方正小标宋简体" w:eastAsia="方正小标宋简体" w:cs="方正小标宋简体"/>
          <w:color w:val="000000"/>
          <w:kern w:val="0"/>
          <w:sz w:val="44"/>
          <w:szCs w:val="44"/>
          <w:lang w:val="en-US" w:eastAsia="zh-CN" w:bidi="ar"/>
        </w:rPr>
      </w:pPr>
    </w:p>
    <w:p>
      <w:pPr>
        <w:pStyle w:val="18"/>
        <w:jc w:val="center"/>
        <w:rPr>
          <w:rFonts w:hint="eastAsia" w:ascii="方正小标宋简体" w:hAnsi="方正小标宋简体" w:eastAsia="方正小标宋简体" w:cs="方正小标宋简体"/>
          <w:color w:val="000000"/>
          <w:kern w:val="0"/>
          <w:sz w:val="44"/>
          <w:szCs w:val="44"/>
          <w:lang w:val="en-US" w:eastAsia="zh-CN" w:bidi="ar"/>
        </w:rPr>
      </w:pPr>
    </w:p>
    <w:p>
      <w:pPr>
        <w:pStyle w:val="18"/>
        <w:jc w:val="center"/>
        <w:rPr>
          <w:rFonts w:hint="eastAsia" w:ascii="方正小标宋简体" w:hAnsi="方正小标宋简体" w:eastAsia="方正小标宋简体" w:cs="方正小标宋简体"/>
          <w:color w:val="000000"/>
          <w:kern w:val="0"/>
          <w:sz w:val="44"/>
          <w:szCs w:val="44"/>
          <w:lang w:val="en-US" w:eastAsia="zh-CN" w:bidi="ar"/>
        </w:rPr>
      </w:pPr>
    </w:p>
    <w:p>
      <w:pPr>
        <w:pStyle w:val="18"/>
        <w:jc w:val="center"/>
        <w:rPr>
          <w:rFonts w:hint="default" w:ascii="方正小标宋简体" w:hAnsi="方正小标宋简体" w:eastAsia="方正小标宋简体" w:cs="方正小标宋简体"/>
          <w:color w:val="000000"/>
          <w:kern w:val="0"/>
          <w:sz w:val="44"/>
          <w:szCs w:val="44"/>
          <w:lang w:val="en-US" w:eastAsia="zh-CN" w:bidi="ar"/>
        </w:rPr>
      </w:pPr>
    </w:p>
    <w:p>
      <w:pPr>
        <w:pStyle w:val="18"/>
        <w:jc w:val="center"/>
        <w:rPr>
          <w:rFonts w:hint="default" w:ascii="方正小标宋简体" w:hAnsi="方正小标宋简体" w:eastAsia="方正小标宋简体" w:cs="方正小标宋简体"/>
          <w:color w:val="000000"/>
          <w:kern w:val="0"/>
          <w:sz w:val="44"/>
          <w:szCs w:val="44"/>
          <w:lang w:val="en-US" w:eastAsia="zh-CN" w:bidi="ar"/>
        </w:rPr>
      </w:pPr>
    </w:p>
    <w:p>
      <w:pPr>
        <w:pStyle w:val="18"/>
        <w:jc w:val="center"/>
        <w:rPr>
          <w:rFonts w:hint="default" w:ascii="方正小标宋简体" w:hAnsi="方正小标宋简体" w:eastAsia="方正小标宋简体" w:cs="方正小标宋简体"/>
          <w:color w:val="000000"/>
          <w:kern w:val="0"/>
          <w:sz w:val="44"/>
          <w:szCs w:val="44"/>
          <w:lang w:val="en-US" w:eastAsia="zh-CN" w:bidi="ar"/>
        </w:rPr>
      </w:pPr>
    </w:p>
    <w:p>
      <w:pPr>
        <w:pStyle w:val="18"/>
        <w:jc w:val="center"/>
        <w:rPr>
          <w:rFonts w:hint="default" w:ascii="方正小标宋简体" w:hAnsi="方正小标宋简体" w:eastAsia="方正小标宋简体" w:cs="方正小标宋简体"/>
          <w:color w:val="000000"/>
          <w:kern w:val="0"/>
          <w:sz w:val="44"/>
          <w:szCs w:val="44"/>
          <w:lang w:val="en-US" w:eastAsia="zh-CN" w:bidi="ar"/>
        </w:rPr>
      </w:pPr>
    </w:p>
    <w:p>
      <w:pPr>
        <w:pStyle w:val="18"/>
        <w:jc w:val="center"/>
        <w:rPr>
          <w:rFonts w:hint="default" w:ascii="方正小标宋简体" w:hAnsi="方正小标宋简体" w:eastAsia="方正小标宋简体" w:cs="方正小标宋简体"/>
          <w:color w:val="000000"/>
          <w:kern w:val="0"/>
          <w:sz w:val="44"/>
          <w:szCs w:val="44"/>
          <w:lang w:val="en-US" w:eastAsia="zh-CN" w:bidi="ar"/>
        </w:rPr>
      </w:pPr>
    </w:p>
    <w:p>
      <w:pPr>
        <w:pStyle w:val="18"/>
        <w:jc w:val="center"/>
        <w:rPr>
          <w:rFonts w:hint="default" w:ascii="方正小标宋简体" w:hAnsi="方正小标宋简体" w:eastAsia="方正小标宋简体" w:cs="方正小标宋简体"/>
          <w:color w:val="000000"/>
          <w:kern w:val="0"/>
          <w:sz w:val="44"/>
          <w:szCs w:val="44"/>
          <w:lang w:val="en-US" w:eastAsia="zh-CN" w:bidi="ar"/>
        </w:rPr>
      </w:pPr>
    </w:p>
    <w:p>
      <w:pPr>
        <w:pStyle w:val="19"/>
        <w:ind w:left="0" w:leftChars="0" w:firstLine="0" w:firstLineChars="0"/>
        <w:rPr>
          <w:rFonts w:hint="eastAsia" w:ascii="黑体" w:hAnsi="黑体" w:eastAsia="黑体" w:cs="黑体"/>
          <w:sz w:val="44"/>
          <w:szCs w:val="44"/>
        </w:rPr>
      </w:pPr>
      <w:r>
        <w:rPr>
          <w:rFonts w:hint="eastAsia" w:ascii="黑体" w:hAnsi="黑体" w:eastAsia="黑体" w:cs="黑体"/>
          <w:sz w:val="44"/>
          <w:szCs w:val="44"/>
        </w:rPr>
        <w:t>关于本报告</w:t>
      </w:r>
    </w:p>
    <w:p>
      <w:pPr>
        <w:pStyle w:val="19"/>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报告说明</w:t>
      </w:r>
    </w:p>
    <w:p>
      <w:pPr>
        <w:pStyle w:val="19"/>
        <w:ind w:left="0" w:leftChars="0" w:firstLine="0" w:firstLineChars="0"/>
        <w:rPr>
          <w:rFonts w:hint="eastAsia"/>
        </w:rPr>
      </w:pPr>
      <w:r>
        <w:rPr>
          <w:rFonts w:hint="eastAsia"/>
        </w:rPr>
        <w:t>本报告依据中国人民银行金融标准化技术委员会发布《金融机构环境信息披露指南（试行）》等相关文件要求编制，回顾了</w:t>
      </w:r>
      <w:r>
        <w:rPr>
          <w:rFonts w:hint="eastAsia"/>
          <w:lang w:val="en-US" w:eastAsia="zh-CN"/>
        </w:rPr>
        <w:t>六枝特区农村信用合作联社</w:t>
      </w:r>
      <w:r>
        <w:rPr>
          <w:rFonts w:hint="eastAsia"/>
        </w:rPr>
        <w:t>在2021年进行的环境行为以及产生的环境影响情况。</w:t>
      </w:r>
    </w:p>
    <w:p>
      <w:pPr>
        <w:pStyle w:val="19"/>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报告期</w:t>
      </w:r>
    </w:p>
    <w:p>
      <w:pPr>
        <w:pStyle w:val="19"/>
        <w:ind w:left="0" w:leftChars="0" w:firstLine="0" w:firstLineChars="0"/>
        <w:rPr>
          <w:rFonts w:hint="eastAsia"/>
        </w:rPr>
      </w:pPr>
      <w:r>
        <w:rPr>
          <w:rFonts w:hint="eastAsia"/>
        </w:rPr>
        <w:t>2021年1月1日至2021年12月31日</w:t>
      </w:r>
    </w:p>
    <w:p>
      <w:pPr>
        <w:pStyle w:val="19"/>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披露对象</w:t>
      </w:r>
    </w:p>
    <w:p>
      <w:pPr>
        <w:pStyle w:val="19"/>
        <w:ind w:left="0" w:leftChars="0" w:firstLine="0" w:firstLineChars="0"/>
        <w:rPr>
          <w:rFonts w:hint="eastAsia"/>
        </w:rPr>
      </w:pPr>
      <w:r>
        <w:rPr>
          <w:rFonts w:hint="eastAsia"/>
        </w:rPr>
        <w:t>本报告以</w:t>
      </w:r>
      <w:r>
        <w:rPr>
          <w:rFonts w:hint="eastAsia"/>
          <w:lang w:val="en-US" w:eastAsia="zh-CN"/>
        </w:rPr>
        <w:t>六枝特区农村信用合作联社</w:t>
      </w:r>
      <w:r>
        <w:rPr>
          <w:rFonts w:hint="eastAsia"/>
        </w:rPr>
        <w:t>为披露对象，涵盖总</w:t>
      </w:r>
      <w:r>
        <w:rPr>
          <w:rFonts w:hint="eastAsia"/>
          <w:lang w:val="en-US" w:eastAsia="zh-CN"/>
        </w:rPr>
        <w:t>社</w:t>
      </w:r>
      <w:r>
        <w:rPr>
          <w:rFonts w:hint="eastAsia"/>
        </w:rPr>
        <w:t>及分支机构。为便于表述，在报告中使用“</w:t>
      </w:r>
      <w:r>
        <w:rPr>
          <w:rFonts w:hint="eastAsia"/>
          <w:lang w:val="en-US" w:eastAsia="zh-CN"/>
        </w:rPr>
        <w:t>六枝联社</w:t>
      </w:r>
      <w:r>
        <w:rPr>
          <w:rFonts w:hint="eastAsia"/>
        </w:rPr>
        <w:t>”或“</w:t>
      </w:r>
      <w:r>
        <w:rPr>
          <w:rFonts w:hint="eastAsia"/>
          <w:lang w:val="en-US" w:eastAsia="zh-CN"/>
        </w:rPr>
        <w:t>我社</w:t>
      </w:r>
      <w:r>
        <w:rPr>
          <w:rFonts w:hint="eastAsia"/>
        </w:rPr>
        <w:t>”代指</w:t>
      </w:r>
      <w:r>
        <w:rPr>
          <w:rFonts w:hint="eastAsia"/>
          <w:lang w:val="en-US" w:eastAsia="zh-CN"/>
        </w:rPr>
        <w:t>六枝特区农村信用合作联社</w:t>
      </w:r>
      <w:r>
        <w:rPr>
          <w:rFonts w:hint="eastAsia"/>
        </w:rPr>
        <w:t>。</w:t>
      </w:r>
    </w:p>
    <w:p>
      <w:pPr>
        <w:pStyle w:val="19"/>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披露依据</w:t>
      </w:r>
    </w:p>
    <w:p>
      <w:pPr>
        <w:pStyle w:val="19"/>
        <w:ind w:left="0" w:leftChars="0" w:firstLine="0" w:firstLineChars="0"/>
        <w:rPr>
          <w:rFonts w:hint="eastAsia"/>
        </w:rPr>
      </w:pPr>
      <w:r>
        <w:rPr>
          <w:rFonts w:hint="eastAsia"/>
        </w:rPr>
        <w:t>本报告根据中国人民银行金融标准化技术委员会发布《金融机构环境信息披露指南（试行）》的披露要求进行编制，并参考《气候相关财务信息披露工作组（TCFD）建议报告》《气候友好型银行评价指标体系》中的相关披露要求及建议进行披露。</w:t>
      </w:r>
    </w:p>
    <w:p>
      <w:pPr>
        <w:pStyle w:val="19"/>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报告数据说明</w:t>
      </w:r>
    </w:p>
    <w:p>
      <w:pPr>
        <w:pStyle w:val="19"/>
        <w:ind w:left="0" w:leftChars="0" w:firstLine="0" w:firstLineChars="0"/>
        <w:rPr>
          <w:rFonts w:hint="eastAsia"/>
        </w:rPr>
      </w:pPr>
      <w:r>
        <w:rPr>
          <w:rFonts w:hint="eastAsia"/>
        </w:rPr>
        <w:t>报告中的财务数据以2021年1月至2021年12月期间内的数据为主，部分内容包括以前年度数据，主要来自于</w:t>
      </w:r>
      <w:r>
        <w:rPr>
          <w:rFonts w:hint="eastAsia"/>
          <w:lang w:val="en-US" w:eastAsia="zh-CN"/>
        </w:rPr>
        <w:t>我社</w:t>
      </w:r>
      <w:r>
        <w:rPr>
          <w:rFonts w:hint="eastAsia"/>
        </w:rPr>
        <w:t>内部文件和相关统计资料。数据因统计口径因素可能会存在与《2021年度报告》数据不一致的现象，请以年报数据为准。如无特别说明，报告中涉及货币金额均以人民币列示。</w:t>
      </w:r>
    </w:p>
    <w:p>
      <w:pPr>
        <w:pStyle w:val="19"/>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报告发布形式</w:t>
      </w:r>
    </w:p>
    <w:p>
      <w:pPr>
        <w:pStyle w:val="19"/>
        <w:ind w:left="0" w:leftChars="0" w:firstLine="0" w:firstLineChars="0"/>
        <w:rPr>
          <w:rFonts w:hint="eastAsia"/>
        </w:rPr>
      </w:pPr>
      <w:r>
        <w:rPr>
          <w:rFonts w:hint="eastAsia"/>
        </w:rPr>
        <w:t>本报告以网络版和印刷版两种形式发布。</w:t>
      </w:r>
    </w:p>
    <w:p>
      <w:pPr>
        <w:pStyle w:val="19"/>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报告编制单位</w:t>
      </w:r>
    </w:p>
    <w:p>
      <w:pPr>
        <w:pStyle w:val="19"/>
        <w:ind w:left="0" w:leftChars="0" w:firstLine="0" w:firstLineChars="0"/>
        <w:rPr>
          <w:rFonts w:hint="eastAsia"/>
          <w:lang w:val="en-US" w:eastAsia="zh-CN"/>
        </w:rPr>
      </w:pPr>
      <w:r>
        <w:rPr>
          <w:rFonts w:hint="eastAsia"/>
          <w:lang w:val="en-US" w:eastAsia="zh-CN"/>
        </w:rPr>
        <w:t>六枝特区农村信用合作联社</w:t>
      </w:r>
    </w:p>
    <w:p>
      <w:pPr>
        <w:pStyle w:val="19"/>
        <w:ind w:left="0" w:leftChars="0" w:firstLine="0" w:firstLineChars="0"/>
        <w:rPr>
          <w:rFonts w:hint="eastAsia" w:ascii="黑体" w:hAnsi="黑体" w:eastAsia="黑体" w:cs="黑体"/>
          <w:sz w:val="28"/>
          <w:szCs w:val="28"/>
        </w:rPr>
      </w:pPr>
      <w:r>
        <w:rPr>
          <w:rFonts w:hint="eastAsia" w:ascii="黑体" w:hAnsi="黑体" w:eastAsia="黑体" w:cs="黑体"/>
          <w:sz w:val="28"/>
          <w:szCs w:val="28"/>
        </w:rPr>
        <w:t>联系方式</w:t>
      </w:r>
    </w:p>
    <w:p>
      <w:pPr>
        <w:pStyle w:val="19"/>
        <w:ind w:left="0" w:leftChars="0" w:firstLine="0" w:firstLineChars="0"/>
        <w:rPr>
          <w:rFonts w:hint="eastAsia"/>
          <w:lang w:val="en-US" w:eastAsia="zh-CN"/>
        </w:rPr>
      </w:pPr>
      <w:r>
        <w:rPr>
          <w:rFonts w:hint="eastAsia"/>
          <w:lang w:val="en-US" w:eastAsia="zh-CN"/>
        </w:rPr>
        <w:t>六枝特区农村信用合作联社</w:t>
      </w:r>
    </w:p>
    <w:p>
      <w:pPr>
        <w:pStyle w:val="19"/>
        <w:ind w:left="0" w:leftChars="0" w:firstLine="0" w:firstLineChars="0"/>
        <w:rPr>
          <w:rFonts w:hint="eastAsia"/>
          <w:lang w:val="en-US" w:eastAsia="zh-CN"/>
        </w:rPr>
      </w:pPr>
      <w:r>
        <w:rPr>
          <w:rFonts w:hint="eastAsia"/>
        </w:rPr>
        <w:t>地址：贵州省</w:t>
      </w:r>
      <w:r>
        <w:rPr>
          <w:rFonts w:hint="eastAsia"/>
          <w:lang w:val="en-US" w:eastAsia="zh-CN"/>
        </w:rPr>
        <w:t>六盘水市平寨镇矿业北路</w:t>
      </w:r>
    </w:p>
    <w:p>
      <w:pPr>
        <w:pStyle w:val="19"/>
        <w:ind w:left="0" w:leftChars="0" w:firstLine="0" w:firstLineChars="0"/>
        <w:rPr>
          <w:rFonts w:hint="default" w:eastAsia="宋体"/>
          <w:lang w:val="en-US" w:eastAsia="zh-CN"/>
        </w:rPr>
      </w:pPr>
      <w:r>
        <w:rPr>
          <w:rFonts w:hint="eastAsia"/>
        </w:rPr>
        <w:t>邮编：</w:t>
      </w:r>
      <w:r>
        <w:rPr>
          <w:rFonts w:hint="eastAsia"/>
          <w:lang w:val="en-US" w:eastAsia="zh-CN"/>
        </w:rPr>
        <w:t>553500</w:t>
      </w:r>
    </w:p>
    <w:p>
      <w:pPr>
        <w:pStyle w:val="19"/>
        <w:ind w:left="0" w:leftChars="0" w:firstLine="0" w:firstLineChars="0"/>
        <w:rPr>
          <w:rFonts w:hint="default" w:eastAsia="宋体"/>
          <w:lang w:val="en-US" w:eastAsia="zh-CN"/>
        </w:rPr>
      </w:pPr>
      <w:r>
        <w:rPr>
          <w:rFonts w:hint="eastAsia"/>
        </w:rPr>
        <w:t>电话：（+86）</w:t>
      </w:r>
      <w:r>
        <w:rPr>
          <w:rFonts w:hint="eastAsia"/>
          <w:lang w:val="en-US" w:eastAsia="zh-CN"/>
        </w:rPr>
        <w:t>0858-5537351</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目录</w:t>
      </w:r>
    </w:p>
    <w:sdt>
      <w:sdtPr>
        <w:rPr>
          <w:rFonts w:ascii="宋体" w:hAnsi="宋体" w:eastAsia="宋体" w:cs="Times New Roman"/>
          <w:kern w:val="2"/>
          <w:sz w:val="21"/>
          <w:szCs w:val="24"/>
          <w:lang w:val="en-US" w:eastAsia="zh-CN" w:bidi="ar-SA"/>
        </w:rPr>
        <w:id w:val="147474955"/>
        <w15:color w:val="DBDBDB"/>
        <w:docPartObj>
          <w:docPartGallery w:val="Table of Contents"/>
          <w:docPartUnique/>
        </w:docPartObj>
      </w:sdtPr>
      <w:sdtEndPr>
        <w:rPr>
          <w:rFonts w:hint="eastAsia" w:ascii="黑体" w:hAnsi="黑体" w:eastAsia="黑体" w:cs="黑体"/>
          <w:kern w:val="2"/>
          <w:sz w:val="21"/>
          <w:szCs w:val="4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2"/>
            <w:tabs>
              <w:tab w:val="right" w:leader="dot" w:pos="8306"/>
            </w:tabs>
          </w:pPr>
          <w:r>
            <w:fldChar w:fldCharType="begin"/>
          </w:r>
          <w:r>
            <w:instrText xml:space="preserve">TOC \o "1-3" \h \u </w:instrText>
          </w:r>
          <w:r>
            <w:fldChar w:fldCharType="separate"/>
          </w:r>
          <w:r>
            <w:fldChar w:fldCharType="begin"/>
          </w:r>
          <w:r>
            <w:instrText xml:space="preserve"> HYPERLINK \l _Toc14102 </w:instrText>
          </w:r>
          <w:r>
            <w:fldChar w:fldCharType="separate"/>
          </w:r>
          <w:r>
            <w:rPr>
              <w:rFonts w:hint="eastAsia" w:ascii="黑体" w:hAnsi="黑体" w:eastAsia="黑体" w:cs="黑体"/>
              <w:szCs w:val="32"/>
            </w:rPr>
            <w:t>1</w:t>
          </w:r>
          <w:r>
            <w:rPr>
              <w:rFonts w:hint="eastAsia" w:ascii="黑体" w:hAnsi="黑体" w:eastAsia="黑体" w:cs="黑体"/>
              <w:szCs w:val="32"/>
              <w:lang w:val="en-US" w:eastAsia="zh-CN"/>
            </w:rPr>
            <w:t xml:space="preserve"> </w:t>
          </w:r>
          <w:r>
            <w:rPr>
              <w:rFonts w:hint="eastAsia" w:ascii="黑体" w:hAnsi="黑体" w:eastAsia="黑体" w:cs="黑体"/>
              <w:szCs w:val="32"/>
            </w:rPr>
            <w:t>年度概况</w:t>
          </w:r>
          <w:r>
            <w:tab/>
          </w:r>
          <w:r>
            <w:fldChar w:fldCharType="begin"/>
          </w:r>
          <w:r>
            <w:instrText xml:space="preserve"> PAGEREF _Toc14102 \h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_Toc13071 </w:instrText>
          </w:r>
          <w:r>
            <w:fldChar w:fldCharType="separate"/>
          </w:r>
          <w:r>
            <w:rPr>
              <w:rFonts w:hint="eastAsia" w:ascii="楷体" w:hAnsi="楷体" w:eastAsia="楷体" w:cs="楷体"/>
            </w:rPr>
            <w:t>1.1</w:t>
          </w:r>
          <w:r>
            <w:rPr>
              <w:rFonts w:hint="eastAsia" w:ascii="楷体" w:hAnsi="楷体" w:eastAsia="楷体" w:cs="楷体"/>
              <w:lang w:val="en-US" w:eastAsia="zh-CN"/>
            </w:rPr>
            <w:t xml:space="preserve"> </w:t>
          </w:r>
          <w:r>
            <w:rPr>
              <w:rFonts w:hint="eastAsia" w:ascii="楷体" w:hAnsi="楷体" w:eastAsia="楷体" w:cs="楷体"/>
            </w:rPr>
            <w:t>行社概况</w:t>
          </w:r>
          <w:r>
            <w:tab/>
          </w:r>
          <w:r>
            <w:fldChar w:fldCharType="begin"/>
          </w:r>
          <w:r>
            <w:instrText xml:space="preserve"> PAGEREF _Toc13071 \h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_Toc6150 </w:instrText>
          </w:r>
          <w:r>
            <w:fldChar w:fldCharType="separate"/>
          </w:r>
          <w:r>
            <w:rPr>
              <w:rFonts w:hint="eastAsia" w:ascii="楷体" w:hAnsi="楷体" w:eastAsia="楷体" w:cs="楷体"/>
            </w:rPr>
            <w:t>1.2本行社绿色金融整体概况</w:t>
          </w:r>
          <w:r>
            <w:tab/>
          </w:r>
          <w:r>
            <w:fldChar w:fldCharType="begin"/>
          </w:r>
          <w:r>
            <w:instrText xml:space="preserve"> PAGEREF _Toc6150 \h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_Toc23591 </w:instrText>
          </w:r>
          <w:r>
            <w:fldChar w:fldCharType="separate"/>
          </w:r>
          <w:r>
            <w:rPr>
              <w:rFonts w:hint="eastAsia" w:ascii="楷体" w:hAnsi="楷体" w:eastAsia="楷体" w:cs="楷体"/>
            </w:rPr>
            <w:t>1.3本行社环境相关的目标愿景、战略规划、政策、行动及2021年内主要成效</w:t>
          </w:r>
          <w:r>
            <w:tab/>
          </w:r>
          <w:r>
            <w:fldChar w:fldCharType="begin"/>
          </w:r>
          <w:r>
            <w:instrText xml:space="preserve"> PAGEREF _Toc23591 \h </w:instrText>
          </w:r>
          <w:r>
            <w:fldChar w:fldCharType="separate"/>
          </w:r>
          <w:r>
            <w:t>2</w:t>
          </w:r>
          <w:r>
            <w:fldChar w:fldCharType="end"/>
          </w:r>
          <w:r>
            <w:fldChar w:fldCharType="end"/>
          </w:r>
        </w:p>
        <w:p>
          <w:pPr>
            <w:pStyle w:val="13"/>
            <w:tabs>
              <w:tab w:val="right" w:leader="dot" w:pos="8306"/>
            </w:tabs>
          </w:pPr>
          <w:r>
            <w:fldChar w:fldCharType="begin"/>
          </w:r>
          <w:r>
            <w:instrText xml:space="preserve"> HYPERLINK \l _Toc32165 </w:instrText>
          </w:r>
          <w:r>
            <w:fldChar w:fldCharType="separate"/>
          </w:r>
          <w:r>
            <w:rPr>
              <w:rFonts w:hint="eastAsia" w:ascii="楷体" w:hAnsi="楷体" w:eastAsia="楷体" w:cs="楷体"/>
            </w:rPr>
            <w:t>1.4</w:t>
          </w:r>
          <w:r>
            <w:rPr>
              <w:rFonts w:hint="eastAsia" w:ascii="楷体" w:hAnsi="楷体" w:eastAsia="楷体" w:cs="楷体"/>
              <w:lang w:val="en-US" w:eastAsia="zh-CN"/>
            </w:rPr>
            <w:t xml:space="preserve"> </w:t>
          </w:r>
          <w:r>
            <w:rPr>
              <w:rFonts w:hint="eastAsia" w:ascii="楷体" w:hAnsi="楷体" w:eastAsia="楷体" w:cs="楷体"/>
            </w:rPr>
            <w:t>本行社2021年内绿色金融方面的工作亮点和特色。</w:t>
          </w:r>
          <w:r>
            <w:tab/>
          </w:r>
          <w:r>
            <w:fldChar w:fldCharType="begin"/>
          </w:r>
          <w:r>
            <w:instrText xml:space="preserve"> PAGEREF _Toc32165 \h </w:instrText>
          </w:r>
          <w:r>
            <w:fldChar w:fldCharType="separate"/>
          </w:r>
          <w:r>
            <w:t>2</w:t>
          </w:r>
          <w:r>
            <w:fldChar w:fldCharType="end"/>
          </w:r>
          <w:r>
            <w:fldChar w:fldCharType="end"/>
          </w:r>
        </w:p>
        <w:p>
          <w:pPr>
            <w:pStyle w:val="12"/>
            <w:tabs>
              <w:tab w:val="right" w:leader="dot" w:pos="8306"/>
            </w:tabs>
          </w:pPr>
          <w:r>
            <w:fldChar w:fldCharType="begin"/>
          </w:r>
          <w:r>
            <w:instrText xml:space="preserve"> HYPERLINK \l _Toc15032 </w:instrText>
          </w:r>
          <w:r>
            <w:fldChar w:fldCharType="separate"/>
          </w:r>
          <w:r>
            <w:rPr>
              <w:rFonts w:hint="eastAsia" w:ascii="黑体" w:hAnsi="黑体" w:eastAsia="黑体" w:cs="黑体"/>
              <w:szCs w:val="32"/>
              <w:lang w:val="en-US" w:eastAsia="zh-CN"/>
            </w:rPr>
            <w:t xml:space="preserve">2 </w:t>
          </w:r>
          <w:r>
            <w:rPr>
              <w:rFonts w:hint="eastAsia" w:ascii="黑体" w:hAnsi="黑体" w:eastAsia="黑体" w:cs="黑体"/>
              <w:szCs w:val="32"/>
            </w:rPr>
            <w:t>金融机构环境相关治理结</w:t>
          </w:r>
          <w:r>
            <w:tab/>
          </w:r>
          <w:r>
            <w:fldChar w:fldCharType="begin"/>
          </w:r>
          <w:r>
            <w:instrText xml:space="preserve"> PAGEREF _Toc15032 \h </w:instrText>
          </w:r>
          <w:r>
            <w:fldChar w:fldCharType="separate"/>
          </w:r>
          <w:r>
            <w:t>3</w:t>
          </w:r>
          <w:r>
            <w:fldChar w:fldCharType="end"/>
          </w:r>
          <w:r>
            <w:fldChar w:fldCharType="end"/>
          </w:r>
        </w:p>
        <w:p>
          <w:pPr>
            <w:pStyle w:val="12"/>
            <w:tabs>
              <w:tab w:val="right" w:leader="dot" w:pos="8306"/>
            </w:tabs>
          </w:pPr>
          <w:r>
            <w:fldChar w:fldCharType="begin"/>
          </w:r>
          <w:r>
            <w:instrText xml:space="preserve"> HYPERLINK \l _Toc7496 </w:instrText>
          </w:r>
          <w:r>
            <w:fldChar w:fldCharType="separate"/>
          </w:r>
          <w:r>
            <w:rPr>
              <w:rFonts w:hint="eastAsia" w:ascii="黑体" w:hAnsi="黑体" w:eastAsia="黑体" w:cs="黑体"/>
              <w:szCs w:val="32"/>
              <w:lang w:val="en-US" w:eastAsia="zh-CN"/>
            </w:rPr>
            <w:t xml:space="preserve">3 </w:t>
          </w:r>
          <w:r>
            <w:rPr>
              <w:rFonts w:hint="eastAsia" w:ascii="黑体" w:hAnsi="黑体" w:eastAsia="黑体" w:cs="黑体"/>
              <w:szCs w:val="32"/>
            </w:rPr>
            <w:t>金融机构环境相关政策制度</w:t>
          </w:r>
          <w:r>
            <w:tab/>
          </w:r>
          <w:r>
            <w:fldChar w:fldCharType="begin"/>
          </w:r>
          <w:r>
            <w:instrText xml:space="preserve"> PAGEREF _Toc7496 \h </w:instrText>
          </w:r>
          <w:r>
            <w:fldChar w:fldCharType="separate"/>
          </w:r>
          <w:r>
            <w:t>4</w:t>
          </w:r>
          <w:r>
            <w:fldChar w:fldCharType="end"/>
          </w:r>
          <w:r>
            <w:fldChar w:fldCharType="end"/>
          </w:r>
        </w:p>
        <w:p>
          <w:pPr>
            <w:pStyle w:val="13"/>
            <w:tabs>
              <w:tab w:val="right" w:leader="dot" w:pos="8306"/>
            </w:tabs>
          </w:pPr>
          <w:r>
            <w:fldChar w:fldCharType="begin"/>
          </w:r>
          <w:r>
            <w:instrText xml:space="preserve"> HYPERLINK \l _Toc27884 </w:instrText>
          </w:r>
          <w:r>
            <w:fldChar w:fldCharType="separate"/>
          </w:r>
          <w:r>
            <w:rPr>
              <w:rFonts w:hint="eastAsia" w:ascii="楷体" w:hAnsi="楷体" w:eastAsia="楷体" w:cs="楷体"/>
            </w:rPr>
            <w:t>3.1金融机构制定的与环境相关的现行政策</w:t>
          </w:r>
          <w:r>
            <w:tab/>
          </w:r>
          <w:r>
            <w:fldChar w:fldCharType="begin"/>
          </w:r>
          <w:r>
            <w:instrText xml:space="preserve"> PAGEREF _Toc27884 \h </w:instrText>
          </w:r>
          <w:r>
            <w:fldChar w:fldCharType="separate"/>
          </w:r>
          <w:r>
            <w:t>4</w:t>
          </w:r>
          <w:r>
            <w:fldChar w:fldCharType="end"/>
          </w:r>
          <w:r>
            <w:fldChar w:fldCharType="end"/>
          </w:r>
        </w:p>
        <w:p>
          <w:pPr>
            <w:pStyle w:val="13"/>
            <w:tabs>
              <w:tab w:val="right" w:leader="dot" w:pos="8306"/>
            </w:tabs>
          </w:pPr>
          <w:r>
            <w:fldChar w:fldCharType="begin"/>
          </w:r>
          <w:r>
            <w:instrText xml:space="preserve"> HYPERLINK \l _Toc2549 </w:instrText>
          </w:r>
          <w:r>
            <w:fldChar w:fldCharType="separate"/>
          </w:r>
          <w:r>
            <w:rPr>
              <w:rFonts w:hint="eastAsia" w:ascii="楷体" w:hAnsi="楷体" w:eastAsia="楷体" w:cs="楷体"/>
              <w:bCs/>
            </w:rPr>
            <w:t>3.2金融机构对国家及所在地区环境政策的贯彻落实情况，以及遵守采纳国际公约、框架、倡议情况</w:t>
          </w:r>
          <w:r>
            <w:tab/>
          </w:r>
          <w:r>
            <w:fldChar w:fldCharType="begin"/>
          </w:r>
          <w:r>
            <w:instrText xml:space="preserve"> PAGEREF _Toc2549 \h </w:instrText>
          </w:r>
          <w:r>
            <w:fldChar w:fldCharType="separate"/>
          </w:r>
          <w:r>
            <w:t>6</w:t>
          </w:r>
          <w:r>
            <w:fldChar w:fldCharType="end"/>
          </w:r>
          <w:r>
            <w:fldChar w:fldCharType="end"/>
          </w:r>
        </w:p>
        <w:p>
          <w:pPr>
            <w:pStyle w:val="12"/>
            <w:tabs>
              <w:tab w:val="right" w:leader="dot" w:pos="8306"/>
            </w:tabs>
          </w:pPr>
          <w:r>
            <w:fldChar w:fldCharType="begin"/>
          </w:r>
          <w:r>
            <w:instrText xml:space="preserve"> HYPERLINK \l _Toc31020 </w:instrText>
          </w:r>
          <w:r>
            <w:fldChar w:fldCharType="separate"/>
          </w:r>
          <w:r>
            <w:rPr>
              <w:rFonts w:hint="eastAsia" w:ascii="黑体" w:hAnsi="黑体" w:eastAsia="黑体" w:cs="黑体"/>
              <w:szCs w:val="32"/>
              <w:lang w:val="en-US" w:eastAsia="zh-CN"/>
            </w:rPr>
            <w:t xml:space="preserve">4 </w:t>
          </w:r>
          <w:r>
            <w:rPr>
              <w:rFonts w:hint="eastAsia" w:ascii="黑体" w:hAnsi="黑体" w:eastAsia="黑体" w:cs="黑体"/>
              <w:szCs w:val="32"/>
            </w:rPr>
            <w:t>金融机构环境相关产品与服务创新</w:t>
          </w:r>
          <w:r>
            <w:tab/>
          </w:r>
          <w:r>
            <w:fldChar w:fldCharType="begin"/>
          </w:r>
          <w:r>
            <w:instrText xml:space="preserve"> PAGEREF _Toc31020 \h </w:instrText>
          </w:r>
          <w:r>
            <w:fldChar w:fldCharType="separate"/>
          </w:r>
          <w:r>
            <w:t>6</w:t>
          </w:r>
          <w:r>
            <w:fldChar w:fldCharType="end"/>
          </w:r>
          <w:r>
            <w:fldChar w:fldCharType="end"/>
          </w:r>
        </w:p>
        <w:p>
          <w:pPr>
            <w:pStyle w:val="12"/>
            <w:tabs>
              <w:tab w:val="right" w:leader="dot" w:pos="8306"/>
            </w:tabs>
          </w:pPr>
          <w:r>
            <w:fldChar w:fldCharType="begin"/>
          </w:r>
          <w:r>
            <w:instrText xml:space="preserve"> HYPERLINK \l _Toc23042 </w:instrText>
          </w:r>
          <w:r>
            <w:fldChar w:fldCharType="separate"/>
          </w:r>
          <w:r>
            <w:rPr>
              <w:rFonts w:hint="eastAsia" w:ascii="黑体" w:hAnsi="黑体" w:eastAsia="黑体" w:cs="黑体"/>
              <w:szCs w:val="32"/>
              <w:lang w:val="en-US" w:eastAsia="zh-CN"/>
            </w:rPr>
            <w:t xml:space="preserve">5 </w:t>
          </w:r>
          <w:r>
            <w:rPr>
              <w:rFonts w:hint="eastAsia" w:ascii="黑体" w:hAnsi="黑体" w:eastAsia="黑体" w:cs="黑体"/>
              <w:szCs w:val="32"/>
            </w:rPr>
            <w:t>金融机构环境风险管理流程</w:t>
          </w:r>
          <w:r>
            <w:tab/>
          </w:r>
          <w:r>
            <w:fldChar w:fldCharType="begin"/>
          </w:r>
          <w:r>
            <w:instrText xml:space="preserve"> PAGEREF _Toc23042 \h </w:instrText>
          </w:r>
          <w:r>
            <w:fldChar w:fldCharType="separate"/>
          </w:r>
          <w:r>
            <w:t>7</w:t>
          </w:r>
          <w:r>
            <w:fldChar w:fldCharType="end"/>
          </w:r>
          <w:r>
            <w:fldChar w:fldCharType="end"/>
          </w:r>
        </w:p>
        <w:p>
          <w:pPr>
            <w:pStyle w:val="12"/>
            <w:tabs>
              <w:tab w:val="right" w:leader="dot" w:pos="8306"/>
            </w:tabs>
          </w:pPr>
          <w:r>
            <w:fldChar w:fldCharType="begin"/>
          </w:r>
          <w:r>
            <w:instrText xml:space="preserve"> HYPERLINK \l _Toc26559 </w:instrText>
          </w:r>
          <w:r>
            <w:fldChar w:fldCharType="separate"/>
          </w:r>
          <w:r>
            <w:rPr>
              <w:rFonts w:hint="eastAsia" w:ascii="黑体" w:hAnsi="黑体" w:eastAsia="黑体" w:cs="黑体"/>
              <w:szCs w:val="32"/>
            </w:rPr>
            <w:t>6</w:t>
          </w:r>
          <w:r>
            <w:rPr>
              <w:rFonts w:hint="eastAsia" w:ascii="黑体" w:hAnsi="黑体" w:eastAsia="黑体" w:cs="黑体"/>
              <w:szCs w:val="32"/>
              <w:lang w:val="en-US" w:eastAsia="zh-CN"/>
            </w:rPr>
            <w:t xml:space="preserve"> </w:t>
          </w:r>
          <w:r>
            <w:rPr>
              <w:rFonts w:hint="eastAsia" w:ascii="黑体" w:hAnsi="黑体" w:eastAsia="黑体" w:cs="黑体"/>
              <w:szCs w:val="32"/>
            </w:rPr>
            <w:t>金融机构环境风险、机遇的分析与管理</w:t>
          </w:r>
          <w:r>
            <w:tab/>
          </w:r>
          <w:r>
            <w:fldChar w:fldCharType="begin"/>
          </w:r>
          <w:r>
            <w:instrText xml:space="preserve"> PAGEREF _Toc26559 \h </w:instrText>
          </w:r>
          <w:r>
            <w:fldChar w:fldCharType="separate"/>
          </w:r>
          <w:r>
            <w:t>8</w:t>
          </w:r>
          <w:r>
            <w:fldChar w:fldCharType="end"/>
          </w:r>
          <w:r>
            <w:fldChar w:fldCharType="end"/>
          </w:r>
        </w:p>
        <w:p>
          <w:pPr>
            <w:pStyle w:val="13"/>
            <w:tabs>
              <w:tab w:val="right" w:leader="dot" w:pos="8306"/>
            </w:tabs>
          </w:pPr>
          <w:r>
            <w:fldChar w:fldCharType="begin"/>
          </w:r>
          <w:r>
            <w:instrText xml:space="preserve"> HYPERLINK \l _Toc15035 </w:instrText>
          </w:r>
          <w:r>
            <w:fldChar w:fldCharType="separate"/>
          </w:r>
          <w:r>
            <w:rPr>
              <w:rFonts w:hint="eastAsia" w:ascii="楷体" w:hAnsi="楷体" w:eastAsia="楷体" w:cs="楷体"/>
              <w:lang w:val="en-US" w:eastAsia="zh-CN"/>
            </w:rPr>
            <w:t xml:space="preserve">6.1 </w:t>
          </w:r>
          <w:r>
            <w:rPr>
              <w:rFonts w:hint="eastAsia" w:ascii="楷体" w:hAnsi="楷体" w:eastAsia="楷体" w:cs="楷体"/>
            </w:rPr>
            <w:t>本</w:t>
          </w:r>
          <w:r>
            <w:rPr>
              <w:rFonts w:hint="eastAsia" w:ascii="楷体" w:hAnsi="楷体" w:eastAsia="楷体" w:cs="楷体"/>
              <w:lang w:val="en-US" w:eastAsia="zh-CN"/>
            </w:rPr>
            <w:t>社</w:t>
          </w:r>
          <w:r>
            <w:rPr>
              <w:rFonts w:hint="eastAsia" w:ascii="楷体" w:hAnsi="楷体" w:eastAsia="楷体" w:cs="楷体"/>
            </w:rPr>
            <w:t>环境风险影响</w:t>
          </w:r>
          <w:r>
            <w:tab/>
          </w:r>
          <w:r>
            <w:fldChar w:fldCharType="begin"/>
          </w:r>
          <w:r>
            <w:instrText xml:space="preserve"> PAGEREF _Toc15035 \h </w:instrText>
          </w:r>
          <w:r>
            <w:fldChar w:fldCharType="separate"/>
          </w:r>
          <w:r>
            <w:t>8</w:t>
          </w:r>
          <w:r>
            <w:fldChar w:fldCharType="end"/>
          </w:r>
          <w:r>
            <w:fldChar w:fldCharType="end"/>
          </w:r>
        </w:p>
        <w:p>
          <w:pPr>
            <w:pStyle w:val="13"/>
            <w:tabs>
              <w:tab w:val="right" w:leader="dot" w:pos="8306"/>
            </w:tabs>
          </w:pPr>
          <w:r>
            <w:fldChar w:fldCharType="begin"/>
          </w:r>
          <w:r>
            <w:instrText xml:space="preserve"> HYPERLINK \l _Toc26202 </w:instrText>
          </w:r>
          <w:r>
            <w:fldChar w:fldCharType="separate"/>
          </w:r>
          <w:r>
            <w:rPr>
              <w:rFonts w:hint="eastAsia" w:ascii="楷体" w:hAnsi="楷体" w:eastAsia="楷体" w:cs="楷体"/>
              <w:lang w:val="en-US" w:eastAsia="zh-CN"/>
            </w:rPr>
            <w:t>6.2 环境风险带来的机遇</w:t>
          </w:r>
          <w:r>
            <w:tab/>
          </w:r>
          <w:r>
            <w:fldChar w:fldCharType="begin"/>
          </w:r>
          <w:r>
            <w:instrText xml:space="preserve"> PAGEREF _Toc26202 \h </w:instrText>
          </w:r>
          <w:r>
            <w:fldChar w:fldCharType="separate"/>
          </w:r>
          <w:r>
            <w:t>9</w:t>
          </w:r>
          <w:r>
            <w:fldChar w:fldCharType="end"/>
          </w:r>
          <w:r>
            <w:fldChar w:fldCharType="end"/>
          </w:r>
        </w:p>
        <w:p>
          <w:pPr>
            <w:pStyle w:val="13"/>
            <w:tabs>
              <w:tab w:val="right" w:leader="dot" w:pos="8306"/>
            </w:tabs>
          </w:pPr>
          <w:r>
            <w:fldChar w:fldCharType="begin"/>
          </w:r>
          <w:r>
            <w:instrText xml:space="preserve"> HYPERLINK \l _Toc27191 </w:instrText>
          </w:r>
          <w:r>
            <w:fldChar w:fldCharType="separate"/>
          </w:r>
          <w:r>
            <w:rPr>
              <w:rFonts w:hint="eastAsia" w:ascii="楷体" w:hAnsi="楷体" w:eastAsia="楷体" w:cs="楷体"/>
              <w:lang w:val="en-US" w:eastAsia="zh-CN"/>
            </w:rPr>
            <w:t>6.3 本行环境风险应对措施</w:t>
          </w:r>
          <w:r>
            <w:tab/>
          </w:r>
          <w:r>
            <w:fldChar w:fldCharType="begin"/>
          </w:r>
          <w:r>
            <w:instrText xml:space="preserve"> PAGEREF _Toc27191 \h </w:instrText>
          </w:r>
          <w:r>
            <w:fldChar w:fldCharType="separate"/>
          </w:r>
          <w:r>
            <w:t>9</w:t>
          </w:r>
          <w:r>
            <w:fldChar w:fldCharType="end"/>
          </w:r>
          <w:r>
            <w:fldChar w:fldCharType="end"/>
          </w:r>
        </w:p>
        <w:p>
          <w:pPr>
            <w:pStyle w:val="12"/>
            <w:tabs>
              <w:tab w:val="right" w:leader="dot" w:pos="8306"/>
            </w:tabs>
          </w:pPr>
          <w:r>
            <w:fldChar w:fldCharType="begin"/>
          </w:r>
          <w:r>
            <w:instrText xml:space="preserve"> HYPERLINK \l _Toc11557 </w:instrText>
          </w:r>
          <w:r>
            <w:fldChar w:fldCharType="separate"/>
          </w:r>
          <w:r>
            <w:rPr>
              <w:rFonts w:hint="eastAsia" w:ascii="黑体" w:hAnsi="黑体" w:eastAsia="黑体" w:cs="黑体"/>
              <w:szCs w:val="32"/>
            </w:rPr>
            <w:t>7</w:t>
          </w:r>
          <w:r>
            <w:rPr>
              <w:rFonts w:hint="eastAsia" w:ascii="黑体" w:hAnsi="黑体" w:eastAsia="黑体" w:cs="黑体"/>
              <w:szCs w:val="32"/>
              <w:lang w:val="en-US" w:eastAsia="zh-CN"/>
            </w:rPr>
            <w:t xml:space="preserve"> </w:t>
          </w:r>
          <w:r>
            <w:rPr>
              <w:rFonts w:hint="eastAsia" w:ascii="黑体" w:hAnsi="黑体" w:eastAsia="黑体" w:cs="黑体"/>
              <w:szCs w:val="32"/>
            </w:rPr>
            <w:t>金融机构投融资活动的环境影响</w:t>
          </w:r>
          <w:r>
            <w:tab/>
          </w:r>
          <w:r>
            <w:fldChar w:fldCharType="begin"/>
          </w:r>
          <w:r>
            <w:instrText xml:space="preserve"> PAGEREF _Toc11557 \h </w:instrText>
          </w:r>
          <w:r>
            <w:fldChar w:fldCharType="separate"/>
          </w:r>
          <w:r>
            <w:t>10</w:t>
          </w:r>
          <w:r>
            <w:fldChar w:fldCharType="end"/>
          </w:r>
          <w:r>
            <w:fldChar w:fldCharType="end"/>
          </w:r>
        </w:p>
        <w:p>
          <w:pPr>
            <w:pStyle w:val="13"/>
            <w:tabs>
              <w:tab w:val="right" w:leader="dot" w:pos="8306"/>
            </w:tabs>
          </w:pPr>
          <w:r>
            <w:fldChar w:fldCharType="begin"/>
          </w:r>
          <w:r>
            <w:instrText xml:space="preserve"> HYPERLINK \l _Toc4283 </w:instrText>
          </w:r>
          <w:r>
            <w:fldChar w:fldCharType="separate"/>
          </w:r>
          <w:r>
            <w:rPr>
              <w:rFonts w:hint="eastAsia" w:ascii="楷体" w:hAnsi="楷体" w:eastAsia="楷体" w:cs="楷体"/>
            </w:rPr>
            <w:t>7.1整体投融资情况及其环境影响</w:t>
          </w:r>
          <w:r>
            <w:tab/>
          </w:r>
          <w:r>
            <w:fldChar w:fldCharType="begin"/>
          </w:r>
          <w:r>
            <w:instrText xml:space="preserve"> PAGEREF _Toc4283 \h </w:instrText>
          </w:r>
          <w:r>
            <w:fldChar w:fldCharType="separate"/>
          </w:r>
          <w:r>
            <w:t>10</w:t>
          </w:r>
          <w:r>
            <w:fldChar w:fldCharType="end"/>
          </w:r>
          <w:r>
            <w:fldChar w:fldCharType="end"/>
          </w:r>
        </w:p>
        <w:p>
          <w:pPr>
            <w:pStyle w:val="13"/>
            <w:tabs>
              <w:tab w:val="right" w:leader="dot" w:pos="8306"/>
            </w:tabs>
          </w:pPr>
          <w:r>
            <w:fldChar w:fldCharType="begin"/>
          </w:r>
          <w:r>
            <w:instrText xml:space="preserve"> HYPERLINK \l _Toc22792 </w:instrText>
          </w:r>
          <w:r>
            <w:fldChar w:fldCharType="separate"/>
          </w:r>
          <w:r>
            <w:rPr>
              <w:rFonts w:hint="eastAsia" w:ascii="楷体" w:hAnsi="楷体" w:eastAsia="楷体" w:cs="楷体"/>
            </w:rPr>
            <w:t>7.2绿色信贷及其环境影响</w:t>
          </w:r>
          <w:r>
            <w:tab/>
          </w:r>
          <w:r>
            <w:fldChar w:fldCharType="begin"/>
          </w:r>
          <w:r>
            <w:instrText xml:space="preserve"> PAGEREF _Toc22792 \h </w:instrText>
          </w:r>
          <w:r>
            <w:fldChar w:fldCharType="separate"/>
          </w:r>
          <w:r>
            <w:t>12</w:t>
          </w:r>
          <w:r>
            <w:fldChar w:fldCharType="end"/>
          </w:r>
          <w:r>
            <w:fldChar w:fldCharType="end"/>
          </w:r>
        </w:p>
        <w:p>
          <w:pPr>
            <w:pStyle w:val="13"/>
            <w:tabs>
              <w:tab w:val="right" w:leader="dot" w:pos="8306"/>
            </w:tabs>
          </w:pPr>
          <w:r>
            <w:fldChar w:fldCharType="begin"/>
          </w:r>
          <w:r>
            <w:instrText xml:space="preserve"> HYPERLINK \l _Toc32355 </w:instrText>
          </w:r>
          <w:r>
            <w:fldChar w:fldCharType="separate"/>
          </w:r>
          <w:r>
            <w:rPr>
              <w:rFonts w:hint="eastAsia"/>
            </w:rPr>
            <w:t>7.3 环境风险对投融资影响的测算与表达</w:t>
          </w:r>
          <w:r>
            <w:tab/>
          </w:r>
          <w:r>
            <w:fldChar w:fldCharType="begin"/>
          </w:r>
          <w:r>
            <w:instrText xml:space="preserve"> PAGEREF _Toc32355 \h </w:instrText>
          </w:r>
          <w:r>
            <w:fldChar w:fldCharType="separate"/>
          </w:r>
          <w:r>
            <w:t>13</w:t>
          </w:r>
          <w:r>
            <w:fldChar w:fldCharType="end"/>
          </w:r>
          <w:r>
            <w:fldChar w:fldCharType="end"/>
          </w:r>
        </w:p>
        <w:p>
          <w:pPr>
            <w:pStyle w:val="9"/>
            <w:tabs>
              <w:tab w:val="right" w:leader="dot" w:pos="8306"/>
            </w:tabs>
          </w:pPr>
          <w:r>
            <w:fldChar w:fldCharType="begin"/>
          </w:r>
          <w:r>
            <w:instrText xml:space="preserve"> HYPERLINK \l _Toc19772 </w:instrText>
          </w:r>
          <w:r>
            <w:fldChar w:fldCharType="separate"/>
          </w:r>
          <w:r>
            <w:rPr>
              <w:rFonts w:hint="eastAsia" w:ascii="楷体" w:hAnsi="楷体" w:eastAsia="楷体" w:cs="楷体"/>
              <w:lang w:val="en-US" w:eastAsia="zh-CN"/>
            </w:rPr>
            <w:t>7.3.1绿色信贷典型案例</w:t>
          </w:r>
          <w:r>
            <w:tab/>
          </w:r>
          <w:r>
            <w:fldChar w:fldCharType="begin"/>
          </w:r>
          <w:r>
            <w:instrText xml:space="preserve"> PAGEREF _Toc19772 \h </w:instrText>
          </w:r>
          <w:r>
            <w:fldChar w:fldCharType="separate"/>
          </w:r>
          <w:r>
            <w:t>16</w:t>
          </w:r>
          <w:r>
            <w:fldChar w:fldCharType="end"/>
          </w:r>
          <w:r>
            <w:fldChar w:fldCharType="end"/>
          </w:r>
        </w:p>
        <w:p>
          <w:pPr>
            <w:pStyle w:val="12"/>
            <w:tabs>
              <w:tab w:val="right" w:leader="dot" w:pos="8306"/>
            </w:tabs>
          </w:pPr>
          <w:r>
            <w:fldChar w:fldCharType="begin"/>
          </w:r>
          <w:r>
            <w:instrText xml:space="preserve"> HYPERLINK \l _Toc14056 </w:instrText>
          </w:r>
          <w:r>
            <w:fldChar w:fldCharType="separate"/>
          </w:r>
          <w:r>
            <w:rPr>
              <w:rFonts w:hint="eastAsia" w:ascii="黑体" w:hAnsi="黑体" w:eastAsia="黑体" w:cs="黑体"/>
              <w:szCs w:val="32"/>
            </w:rPr>
            <w:t>8</w:t>
          </w:r>
          <w:r>
            <w:rPr>
              <w:rFonts w:hint="eastAsia" w:ascii="黑体" w:hAnsi="黑体" w:eastAsia="黑体" w:cs="黑体"/>
              <w:szCs w:val="32"/>
              <w:lang w:val="en-US" w:eastAsia="zh-CN"/>
            </w:rPr>
            <w:t xml:space="preserve"> </w:t>
          </w:r>
          <w:r>
            <w:rPr>
              <w:rFonts w:hint="eastAsia" w:ascii="黑体" w:hAnsi="黑体" w:eastAsia="黑体" w:cs="黑体"/>
              <w:szCs w:val="32"/>
            </w:rPr>
            <w:t>经营活动的环境影响</w:t>
          </w:r>
          <w:r>
            <w:tab/>
          </w:r>
          <w:r>
            <w:fldChar w:fldCharType="begin"/>
          </w:r>
          <w:r>
            <w:instrText xml:space="preserve"> PAGEREF _Toc14056 \h </w:instrText>
          </w:r>
          <w:r>
            <w:fldChar w:fldCharType="separate"/>
          </w:r>
          <w:r>
            <w:t>17</w:t>
          </w:r>
          <w:r>
            <w:fldChar w:fldCharType="end"/>
          </w:r>
          <w:r>
            <w:fldChar w:fldCharType="end"/>
          </w:r>
        </w:p>
        <w:p>
          <w:pPr>
            <w:pStyle w:val="13"/>
            <w:tabs>
              <w:tab w:val="right" w:leader="dot" w:pos="8306"/>
            </w:tabs>
          </w:pPr>
          <w:r>
            <w:fldChar w:fldCharType="begin"/>
          </w:r>
          <w:r>
            <w:instrText xml:space="preserve"> HYPERLINK \l _Toc32363 </w:instrText>
          </w:r>
          <w:r>
            <w:fldChar w:fldCharType="separate"/>
          </w:r>
          <w:r>
            <w:rPr>
              <w:rFonts w:hint="eastAsia" w:ascii="楷体" w:hAnsi="楷体" w:eastAsia="楷体" w:cs="楷体"/>
            </w:rPr>
            <w:t>8.1经营活动产生的自然资源消耗和温室气体排放</w:t>
          </w:r>
          <w:r>
            <w:tab/>
          </w:r>
          <w:r>
            <w:fldChar w:fldCharType="begin"/>
          </w:r>
          <w:r>
            <w:instrText xml:space="preserve"> PAGEREF _Toc32363 \h </w:instrText>
          </w:r>
          <w:r>
            <w:fldChar w:fldCharType="separate"/>
          </w:r>
          <w:r>
            <w:t>17</w:t>
          </w:r>
          <w:r>
            <w:fldChar w:fldCharType="end"/>
          </w:r>
          <w:r>
            <w:fldChar w:fldCharType="end"/>
          </w:r>
        </w:p>
        <w:p>
          <w:pPr>
            <w:pStyle w:val="9"/>
            <w:tabs>
              <w:tab w:val="right" w:leader="dot" w:pos="8306"/>
            </w:tabs>
          </w:pPr>
          <w:r>
            <w:fldChar w:fldCharType="begin"/>
          </w:r>
          <w:r>
            <w:instrText xml:space="preserve"> HYPERLINK \l _Toc17595 </w:instrText>
          </w:r>
          <w:r>
            <w:fldChar w:fldCharType="separate"/>
          </w:r>
          <w:r>
            <w:rPr>
              <w:rFonts w:hint="eastAsia" w:ascii="宋体" w:hAnsi="宋体" w:cs="宋体"/>
              <w:kern w:val="0"/>
              <w:szCs w:val="28"/>
            </w:rPr>
            <w:t>2021年度经营活动产生的自然资源消耗</w:t>
          </w:r>
          <w:r>
            <w:tab/>
          </w:r>
          <w:r>
            <w:fldChar w:fldCharType="begin"/>
          </w:r>
          <w:r>
            <w:instrText xml:space="preserve"> PAGEREF _Toc17595 \h </w:instrText>
          </w:r>
          <w:r>
            <w:fldChar w:fldCharType="separate"/>
          </w:r>
          <w:r>
            <w:t>17</w:t>
          </w:r>
          <w:r>
            <w:fldChar w:fldCharType="end"/>
          </w:r>
          <w:r>
            <w:fldChar w:fldCharType="end"/>
          </w:r>
        </w:p>
        <w:p>
          <w:pPr>
            <w:pStyle w:val="9"/>
            <w:tabs>
              <w:tab w:val="right" w:leader="dot" w:pos="8306"/>
            </w:tabs>
          </w:pPr>
          <w:r>
            <w:fldChar w:fldCharType="begin"/>
          </w:r>
          <w:r>
            <w:instrText xml:space="preserve"> HYPERLINK \l _Toc23537 </w:instrText>
          </w:r>
          <w:r>
            <w:fldChar w:fldCharType="separate"/>
          </w:r>
          <w:r>
            <w:rPr>
              <w:rFonts w:ascii="宋体" w:hAnsi="宋体" w:cs="宋体"/>
              <w:kern w:val="0"/>
              <w:szCs w:val="28"/>
            </w:rPr>
            <w:t>2021年度经营活动产生的温室气体排放</w:t>
          </w:r>
          <w:r>
            <w:tab/>
          </w:r>
          <w:r>
            <w:fldChar w:fldCharType="begin"/>
          </w:r>
          <w:r>
            <w:instrText xml:space="preserve"> PAGEREF _Toc23537 \h </w:instrText>
          </w:r>
          <w:r>
            <w:fldChar w:fldCharType="separate"/>
          </w:r>
          <w:r>
            <w:t>17</w:t>
          </w:r>
          <w:r>
            <w:fldChar w:fldCharType="end"/>
          </w:r>
          <w:r>
            <w:fldChar w:fldCharType="end"/>
          </w:r>
        </w:p>
        <w:p>
          <w:pPr>
            <w:pStyle w:val="13"/>
            <w:tabs>
              <w:tab w:val="right" w:leader="dot" w:pos="8306"/>
            </w:tabs>
          </w:pPr>
          <w:r>
            <w:fldChar w:fldCharType="begin"/>
          </w:r>
          <w:r>
            <w:instrText xml:space="preserve"> HYPERLINK \l _Toc21965 </w:instrText>
          </w:r>
          <w:r>
            <w:fldChar w:fldCharType="separate"/>
          </w:r>
          <w:r>
            <w:rPr>
              <w:rFonts w:hint="eastAsia" w:ascii="楷体" w:hAnsi="楷体" w:eastAsia="楷体" w:cs="楷体"/>
            </w:rPr>
            <w:t>8.2 经营活动温室气体统计口径与测算方法</w:t>
          </w:r>
          <w:r>
            <w:tab/>
          </w:r>
          <w:r>
            <w:fldChar w:fldCharType="begin"/>
          </w:r>
          <w:r>
            <w:instrText xml:space="preserve"> PAGEREF _Toc21965 \h </w:instrText>
          </w:r>
          <w:r>
            <w:fldChar w:fldCharType="separate"/>
          </w:r>
          <w:r>
            <w:t>18</w:t>
          </w:r>
          <w:r>
            <w:fldChar w:fldCharType="end"/>
          </w:r>
          <w:r>
            <w:fldChar w:fldCharType="end"/>
          </w:r>
        </w:p>
        <w:p>
          <w:pPr>
            <w:pStyle w:val="13"/>
            <w:tabs>
              <w:tab w:val="right" w:leader="dot" w:pos="8306"/>
            </w:tabs>
          </w:pPr>
          <w:r>
            <w:fldChar w:fldCharType="begin"/>
          </w:r>
          <w:r>
            <w:instrText xml:space="preserve"> HYPERLINK \l _Toc28661 </w:instrText>
          </w:r>
          <w:r>
            <w:fldChar w:fldCharType="separate"/>
          </w:r>
          <w:r>
            <w:rPr>
              <w:rFonts w:hint="eastAsia" w:ascii="楷体" w:hAnsi="楷体" w:eastAsia="楷体" w:cs="楷体"/>
            </w:rPr>
            <w:t>8.3.采取的节水、节电、节油、节粮等环保措施</w:t>
          </w:r>
          <w:r>
            <w:tab/>
          </w:r>
          <w:r>
            <w:fldChar w:fldCharType="begin"/>
          </w:r>
          <w:r>
            <w:instrText xml:space="preserve"> PAGEREF _Toc28661 \h </w:instrText>
          </w:r>
          <w:r>
            <w:fldChar w:fldCharType="separate"/>
          </w:r>
          <w:r>
            <w:t>20</w:t>
          </w:r>
          <w:r>
            <w:fldChar w:fldCharType="end"/>
          </w:r>
          <w:r>
            <w:fldChar w:fldCharType="end"/>
          </w:r>
        </w:p>
        <w:p>
          <w:pPr>
            <w:pStyle w:val="9"/>
            <w:tabs>
              <w:tab w:val="right" w:leader="dot" w:pos="8306"/>
            </w:tabs>
          </w:pPr>
          <w:r>
            <w:fldChar w:fldCharType="begin"/>
          </w:r>
          <w:r>
            <w:instrText xml:space="preserve"> HYPERLINK \l _Toc30647 </w:instrText>
          </w:r>
          <w:r>
            <w:fldChar w:fldCharType="separate"/>
          </w:r>
          <w:r>
            <w:rPr>
              <w:rFonts w:hint="eastAsia"/>
              <w:lang w:val="en-US" w:eastAsia="zh-CN"/>
            </w:rPr>
            <w:t>8.3.1</w:t>
          </w:r>
          <w:r>
            <w:rPr>
              <w:rFonts w:hint="eastAsia"/>
            </w:rPr>
            <w:t>.推行绿色服务</w:t>
          </w:r>
          <w:r>
            <w:tab/>
          </w:r>
          <w:r>
            <w:fldChar w:fldCharType="begin"/>
          </w:r>
          <w:r>
            <w:instrText xml:space="preserve"> PAGEREF _Toc30647 \h </w:instrText>
          </w:r>
          <w:r>
            <w:fldChar w:fldCharType="separate"/>
          </w:r>
          <w:r>
            <w:t>20</w:t>
          </w:r>
          <w:r>
            <w:fldChar w:fldCharType="end"/>
          </w:r>
          <w:r>
            <w:fldChar w:fldCharType="end"/>
          </w:r>
        </w:p>
        <w:p>
          <w:pPr>
            <w:pStyle w:val="9"/>
            <w:tabs>
              <w:tab w:val="right" w:leader="dot" w:pos="8306"/>
            </w:tabs>
          </w:pPr>
          <w:r>
            <w:fldChar w:fldCharType="begin"/>
          </w:r>
          <w:r>
            <w:instrText xml:space="preserve"> HYPERLINK \l _Toc21874 </w:instrText>
          </w:r>
          <w:r>
            <w:fldChar w:fldCharType="separate"/>
          </w:r>
          <w:r>
            <w:rPr>
              <w:rFonts w:hint="eastAsia" w:ascii="楷体" w:hAnsi="楷体" w:eastAsia="楷体" w:cs="楷体"/>
              <w:lang w:val="en-US" w:eastAsia="zh-CN"/>
            </w:rPr>
            <w:t>8.3.2.倡导低碳办公理念</w:t>
          </w:r>
          <w:r>
            <w:tab/>
          </w:r>
          <w:r>
            <w:fldChar w:fldCharType="begin"/>
          </w:r>
          <w:r>
            <w:instrText xml:space="preserve"> PAGEREF _Toc21874 \h </w:instrText>
          </w:r>
          <w:r>
            <w:fldChar w:fldCharType="separate"/>
          </w:r>
          <w:r>
            <w:t>20</w:t>
          </w:r>
          <w:r>
            <w:fldChar w:fldCharType="end"/>
          </w:r>
          <w:r>
            <w:fldChar w:fldCharType="end"/>
          </w:r>
        </w:p>
        <w:p>
          <w:pPr>
            <w:pStyle w:val="13"/>
            <w:tabs>
              <w:tab w:val="right" w:leader="dot" w:pos="8306"/>
            </w:tabs>
          </w:pPr>
          <w:r>
            <w:fldChar w:fldCharType="begin"/>
          </w:r>
          <w:r>
            <w:instrText xml:space="preserve"> HYPERLINK \l _Toc13867 </w:instrText>
          </w:r>
          <w:r>
            <w:fldChar w:fldCharType="separate"/>
          </w:r>
          <w:r>
            <w:rPr>
              <w:rFonts w:hint="eastAsia" w:ascii="楷体" w:hAnsi="楷体" w:eastAsia="楷体" w:cs="楷体"/>
            </w:rPr>
            <w:t>8.4.行社开展的绿色宣传、公益活动、交流培训</w:t>
          </w:r>
          <w:r>
            <w:tab/>
          </w:r>
          <w:r>
            <w:fldChar w:fldCharType="begin"/>
          </w:r>
          <w:r>
            <w:instrText xml:space="preserve"> PAGEREF _Toc13867 \h </w:instrText>
          </w:r>
          <w:r>
            <w:fldChar w:fldCharType="separate"/>
          </w:r>
          <w:r>
            <w:t>21</w:t>
          </w:r>
          <w:r>
            <w:fldChar w:fldCharType="end"/>
          </w:r>
          <w:r>
            <w:fldChar w:fldCharType="end"/>
          </w:r>
        </w:p>
        <w:p>
          <w:pPr>
            <w:pStyle w:val="13"/>
            <w:tabs>
              <w:tab w:val="right" w:leader="dot" w:pos="8306"/>
            </w:tabs>
          </w:pPr>
          <w:r>
            <w:fldChar w:fldCharType="begin"/>
          </w:r>
          <w:r>
            <w:instrText xml:space="preserve"> HYPERLINK \l _Toc23406 </w:instrText>
          </w:r>
          <w:r>
            <w:fldChar w:fldCharType="separate"/>
          </w:r>
          <w:r>
            <w:rPr>
              <w:rFonts w:hint="eastAsia" w:ascii="楷体" w:hAnsi="楷体" w:eastAsia="楷体" w:cs="楷体"/>
            </w:rPr>
            <w:t>8.5行社开展的无纸化办公、数字金融、线上业务</w:t>
          </w:r>
          <w:r>
            <w:tab/>
          </w:r>
          <w:r>
            <w:fldChar w:fldCharType="begin"/>
          </w:r>
          <w:r>
            <w:instrText xml:space="preserve"> PAGEREF _Toc23406 \h </w:instrText>
          </w:r>
          <w:r>
            <w:fldChar w:fldCharType="separate"/>
          </w:r>
          <w:r>
            <w:t>26</w:t>
          </w:r>
          <w:r>
            <w:fldChar w:fldCharType="end"/>
          </w:r>
          <w:r>
            <w:fldChar w:fldCharType="end"/>
          </w:r>
        </w:p>
        <w:p>
          <w:pPr>
            <w:pStyle w:val="12"/>
            <w:tabs>
              <w:tab w:val="right" w:leader="dot" w:pos="8306"/>
            </w:tabs>
          </w:pPr>
          <w:r>
            <w:fldChar w:fldCharType="begin"/>
          </w:r>
          <w:r>
            <w:instrText xml:space="preserve"> HYPERLINK \l _Toc13774 </w:instrText>
          </w:r>
          <w:r>
            <w:fldChar w:fldCharType="separate"/>
          </w:r>
          <w:r>
            <w:rPr>
              <w:rFonts w:hint="eastAsia" w:ascii="黑体" w:hAnsi="黑体" w:eastAsia="黑体" w:cs="黑体"/>
              <w:szCs w:val="32"/>
            </w:rPr>
            <w:t>9</w:t>
          </w:r>
          <w:r>
            <w:rPr>
              <w:rFonts w:hint="eastAsia" w:ascii="黑体" w:hAnsi="黑体" w:eastAsia="黑体" w:cs="黑体"/>
              <w:szCs w:val="32"/>
              <w:lang w:val="en-US" w:eastAsia="zh-CN"/>
            </w:rPr>
            <w:t xml:space="preserve"> </w:t>
          </w:r>
          <w:r>
            <w:rPr>
              <w:rFonts w:hint="eastAsia" w:ascii="黑体" w:hAnsi="黑体" w:eastAsia="黑体" w:cs="黑体"/>
              <w:szCs w:val="32"/>
            </w:rPr>
            <w:t>数据梳理、校验及保护</w:t>
          </w:r>
          <w:r>
            <w:tab/>
          </w:r>
          <w:r>
            <w:fldChar w:fldCharType="begin"/>
          </w:r>
          <w:r>
            <w:instrText xml:space="preserve"> PAGEREF _Toc13774 \h </w:instrText>
          </w:r>
          <w:r>
            <w:fldChar w:fldCharType="separate"/>
          </w:r>
          <w:r>
            <w:t>26</w:t>
          </w:r>
          <w:r>
            <w:fldChar w:fldCharType="end"/>
          </w:r>
          <w:r>
            <w:fldChar w:fldCharType="end"/>
          </w:r>
        </w:p>
        <w:p>
          <w:pPr>
            <w:pStyle w:val="13"/>
            <w:tabs>
              <w:tab w:val="right" w:leader="dot" w:pos="8306"/>
            </w:tabs>
          </w:pPr>
          <w:r>
            <w:fldChar w:fldCharType="begin"/>
          </w:r>
          <w:r>
            <w:instrText xml:space="preserve"> HYPERLINK \l _Toc9959 </w:instrText>
          </w:r>
          <w:r>
            <w:fldChar w:fldCharType="separate"/>
          </w:r>
          <w:r>
            <w:rPr>
              <w:rFonts w:hint="eastAsia" w:ascii="楷体" w:hAnsi="楷体" w:eastAsia="楷体" w:cs="楷体"/>
            </w:rPr>
            <w:t>9.1金融机构数据梳理、校验及保护过程</w:t>
          </w:r>
          <w:r>
            <w:tab/>
          </w:r>
          <w:r>
            <w:fldChar w:fldCharType="begin"/>
          </w:r>
          <w:r>
            <w:instrText xml:space="preserve"> PAGEREF _Toc9959 \h </w:instrText>
          </w:r>
          <w:r>
            <w:fldChar w:fldCharType="separate"/>
          </w:r>
          <w:r>
            <w:t>26</w:t>
          </w:r>
          <w:r>
            <w:fldChar w:fldCharType="end"/>
          </w:r>
          <w:r>
            <w:fldChar w:fldCharType="end"/>
          </w:r>
        </w:p>
        <w:p>
          <w:pPr>
            <w:pStyle w:val="12"/>
            <w:tabs>
              <w:tab w:val="right" w:leader="dot" w:pos="8306"/>
            </w:tabs>
          </w:pPr>
          <w:r>
            <w:fldChar w:fldCharType="begin"/>
          </w:r>
          <w:r>
            <w:instrText xml:space="preserve"> HYPERLINK \l _Toc30436 </w:instrText>
          </w:r>
          <w:r>
            <w:fldChar w:fldCharType="separate"/>
          </w:r>
          <w:r>
            <w:rPr>
              <w:rFonts w:hint="eastAsia" w:ascii="黑体" w:hAnsi="黑体" w:eastAsia="黑体" w:cs="黑体"/>
              <w:szCs w:val="32"/>
            </w:rPr>
            <w:t>10</w:t>
          </w:r>
          <w:r>
            <w:rPr>
              <w:rFonts w:hint="eastAsia" w:ascii="黑体" w:hAnsi="黑体" w:eastAsia="黑体" w:cs="黑体"/>
              <w:szCs w:val="32"/>
              <w:lang w:val="en-US" w:eastAsia="zh-CN"/>
            </w:rPr>
            <w:t xml:space="preserve"> </w:t>
          </w:r>
          <w:r>
            <w:rPr>
              <w:rFonts w:hint="eastAsia" w:ascii="黑体" w:hAnsi="黑体" w:eastAsia="黑体" w:cs="黑体"/>
              <w:szCs w:val="32"/>
            </w:rPr>
            <w:t>绿色金融创新及研究成果</w:t>
          </w:r>
          <w:r>
            <w:tab/>
          </w:r>
          <w:r>
            <w:fldChar w:fldCharType="begin"/>
          </w:r>
          <w:r>
            <w:instrText xml:space="preserve"> PAGEREF _Toc30436 \h </w:instrText>
          </w:r>
          <w:r>
            <w:fldChar w:fldCharType="separate"/>
          </w:r>
          <w:r>
            <w:t>28</w:t>
          </w:r>
          <w:r>
            <w:fldChar w:fldCharType="end"/>
          </w:r>
          <w:r>
            <w:fldChar w:fldCharType="end"/>
          </w:r>
        </w:p>
        <w:p>
          <w:pPr>
            <w:pStyle w:val="13"/>
            <w:tabs>
              <w:tab w:val="right" w:leader="dot" w:pos="8306"/>
            </w:tabs>
          </w:pPr>
          <w:r>
            <w:fldChar w:fldCharType="begin"/>
          </w:r>
          <w:r>
            <w:instrText xml:space="preserve"> HYPERLINK \l _Toc28998 </w:instrText>
          </w:r>
          <w:r>
            <w:fldChar w:fldCharType="separate"/>
          </w:r>
          <w:r>
            <w:rPr>
              <w:rFonts w:hint="eastAsia" w:ascii="楷体" w:hAnsi="楷体" w:eastAsia="楷体" w:cs="楷体"/>
            </w:rPr>
            <w:t>10.1绿色金融创新及实践案例</w:t>
          </w:r>
          <w:r>
            <w:tab/>
          </w:r>
          <w:r>
            <w:fldChar w:fldCharType="begin"/>
          </w:r>
          <w:r>
            <w:instrText xml:space="preserve"> PAGEREF _Toc28998 \h </w:instrText>
          </w:r>
          <w:r>
            <w:fldChar w:fldCharType="separate"/>
          </w:r>
          <w:r>
            <w:t>28</w:t>
          </w:r>
          <w:r>
            <w:fldChar w:fldCharType="end"/>
          </w:r>
          <w:r>
            <w:fldChar w:fldCharType="end"/>
          </w:r>
        </w:p>
        <w:p>
          <w:pPr>
            <w:pStyle w:val="12"/>
            <w:tabs>
              <w:tab w:val="right" w:leader="dot" w:pos="8306"/>
            </w:tabs>
          </w:pPr>
          <w:r>
            <w:fldChar w:fldCharType="begin"/>
          </w:r>
          <w:r>
            <w:instrText xml:space="preserve"> HYPERLINK \l _Toc1664 </w:instrText>
          </w:r>
          <w:r>
            <w:fldChar w:fldCharType="separate"/>
          </w:r>
          <w:r>
            <w:rPr>
              <w:rFonts w:hint="eastAsia" w:ascii="黑体" w:hAnsi="黑体" w:eastAsia="黑体" w:cs="黑体"/>
              <w:szCs w:val="32"/>
            </w:rPr>
            <w:t>1</w:t>
          </w:r>
          <w:r>
            <w:rPr>
              <w:rFonts w:hint="eastAsia" w:ascii="黑体" w:hAnsi="黑体" w:eastAsia="黑体" w:cs="黑体"/>
              <w:szCs w:val="32"/>
              <w:lang w:val="en-US" w:eastAsia="zh-CN"/>
            </w:rPr>
            <w:t xml:space="preserve">1 </w:t>
          </w:r>
          <w:r>
            <w:rPr>
              <w:rFonts w:hint="eastAsia" w:ascii="黑体" w:hAnsi="黑体" w:eastAsia="黑体" w:cs="黑体"/>
              <w:szCs w:val="32"/>
            </w:rPr>
            <w:t>其他环境相关信息</w:t>
          </w:r>
          <w:r>
            <w:tab/>
          </w:r>
          <w:r>
            <w:fldChar w:fldCharType="begin"/>
          </w:r>
          <w:r>
            <w:instrText xml:space="preserve"> PAGEREF _Toc1664 \h </w:instrText>
          </w:r>
          <w:r>
            <w:fldChar w:fldCharType="separate"/>
          </w:r>
          <w:r>
            <w:t>29</w:t>
          </w:r>
          <w:r>
            <w:fldChar w:fldCharType="end"/>
          </w:r>
          <w:r>
            <w:fldChar w:fldCharType="end"/>
          </w:r>
        </w:p>
        <w:p>
          <w:pPr>
            <w:pStyle w:val="13"/>
            <w:tabs>
              <w:tab w:val="right" w:leader="dot" w:pos="8306"/>
            </w:tabs>
          </w:pPr>
          <w:r>
            <w:fldChar w:fldCharType="begin"/>
          </w:r>
          <w:r>
            <w:instrText xml:space="preserve"> HYPERLINK \l _Toc12125 </w:instrText>
          </w:r>
          <w:r>
            <w:fldChar w:fldCharType="separate"/>
          </w:r>
          <w:r>
            <w:rPr>
              <w:rFonts w:hint="eastAsia" w:ascii="楷体" w:hAnsi="楷体" w:eastAsia="楷体" w:cs="楷体"/>
              <w:lang w:val="en-US" w:eastAsia="zh-CN"/>
            </w:rPr>
            <w:t xml:space="preserve">11.1 </w:t>
          </w:r>
          <w:r>
            <w:rPr>
              <w:rFonts w:hint="eastAsia" w:ascii="楷体" w:hAnsi="楷体" w:eastAsia="楷体" w:cs="楷体"/>
            </w:rPr>
            <w:t>2021年获奖情况</w:t>
          </w:r>
          <w:r>
            <w:tab/>
          </w:r>
          <w:r>
            <w:fldChar w:fldCharType="begin"/>
          </w:r>
          <w:r>
            <w:instrText xml:space="preserve"> PAGEREF _Toc12125 \h </w:instrText>
          </w:r>
          <w:r>
            <w:fldChar w:fldCharType="separate"/>
          </w:r>
          <w:r>
            <w:t>29</w:t>
          </w:r>
          <w:r>
            <w:fldChar w:fldCharType="end"/>
          </w:r>
          <w:r>
            <w:fldChar w:fldCharType="end"/>
          </w:r>
        </w:p>
        <w:p>
          <w:pPr>
            <w:pStyle w:val="2"/>
            <w:ind w:left="0" w:leftChars="0" w:firstLine="0" w:firstLineChars="0"/>
            <w:jc w:val="both"/>
            <w:outlineLvl w:val="9"/>
            <w:rPr>
              <w:rFonts w:hint="eastAsia" w:ascii="黑体" w:hAnsi="黑体" w:eastAsia="黑体" w:cs="黑体"/>
              <w:sz w:val="44"/>
              <w:szCs w:val="44"/>
              <w:lang w:val="en-US" w:eastAsia="zh-CN"/>
            </w:rPr>
          </w:pPr>
          <w:r>
            <w:fldChar w:fldCharType="end"/>
          </w:r>
        </w:p>
      </w:sdtContent>
    </w:sdt>
    <w:p>
      <w:pPr>
        <w:pStyle w:val="5"/>
        <w:bidi w:val="0"/>
        <w:outlineLvl w:val="0"/>
        <w:rPr>
          <w:rFonts w:hint="eastAsia" w:ascii="黑体" w:hAnsi="黑体" w:eastAsia="黑体" w:cs="黑体"/>
          <w:sz w:val="32"/>
          <w:szCs w:val="32"/>
        </w:rPr>
        <w:sectPr>
          <w:footerReference r:id="rId3" w:type="default"/>
          <w:pgSz w:w="11906" w:h="16838"/>
          <w:pgMar w:top="1440" w:right="1800" w:bottom="1440" w:left="1800" w:header="851" w:footer="992" w:gutter="0"/>
          <w:pgNumType w:start="1"/>
          <w:cols w:space="720" w:num="1"/>
          <w:docGrid w:type="lines" w:linePitch="312" w:charSpace="0"/>
        </w:sectPr>
      </w:pPr>
      <w:bookmarkStart w:id="0" w:name="_Toc32054"/>
    </w:p>
    <w:p>
      <w:pPr>
        <w:pStyle w:val="5"/>
        <w:bidi w:val="0"/>
        <w:outlineLvl w:val="0"/>
        <w:rPr>
          <w:rFonts w:hint="eastAsia" w:ascii="黑体" w:hAnsi="黑体" w:eastAsia="黑体" w:cs="黑体"/>
          <w:sz w:val="32"/>
          <w:szCs w:val="32"/>
        </w:rPr>
      </w:pPr>
      <w:bookmarkStart w:id="1" w:name="_Toc14102"/>
      <w:r>
        <w:rPr>
          <w:rFonts w:hint="eastAsia" w:ascii="黑体" w:hAnsi="黑体" w:eastAsia="黑体" w:cs="黑体"/>
          <w:sz w:val="32"/>
          <w:szCs w:val="32"/>
        </w:rPr>
        <w:t>1</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年度概况</w:t>
      </w:r>
      <w:bookmarkEnd w:id="0"/>
      <w:bookmarkEnd w:id="1"/>
    </w:p>
    <w:p>
      <w:pPr>
        <w:pStyle w:val="6"/>
        <w:bidi w:val="0"/>
        <w:rPr>
          <w:rFonts w:hint="eastAsia" w:ascii="楷体" w:hAnsi="楷体" w:eastAsia="楷体" w:cs="楷体"/>
        </w:rPr>
      </w:pPr>
      <w:bookmarkStart w:id="2" w:name="_Toc13071"/>
      <w:r>
        <w:rPr>
          <w:rFonts w:hint="eastAsia" w:ascii="楷体" w:hAnsi="楷体" w:eastAsia="楷体" w:cs="楷体"/>
        </w:rPr>
        <w:t>1.1</w:t>
      </w:r>
      <w:r>
        <w:rPr>
          <w:rFonts w:hint="eastAsia" w:ascii="楷体" w:hAnsi="楷体" w:eastAsia="楷体" w:cs="楷体"/>
          <w:lang w:val="en-US" w:eastAsia="zh-CN"/>
        </w:rPr>
        <w:t xml:space="preserve"> </w:t>
      </w:r>
      <w:r>
        <w:rPr>
          <w:rFonts w:hint="eastAsia" w:ascii="楷体" w:hAnsi="楷体" w:eastAsia="楷体" w:cs="楷体"/>
        </w:rPr>
        <w:t>行社概况</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枝特区农村信用合作联社（以下简称“我社”或六枝联社）是六枝特区服务“三农”、服务中小微企业的金融主力军，根据《国务院关于印发深化农村信用社改革试点方案的通知》（国发〔2003〕15号）文件精神，六枝联社作为全省第一批改革试点社，于2004年5月30日完成县级统一法人改革。共有员工342人，内设部室13个，辖内营业网点30个，覆盖全区各乡镇。六枝联社秉承“百姓银行”的核心价值理念，始终坚持立足县域，助力地方经济社会发展，让客户满意、让员工幸福，让社员获益，让百姓认可。在新形势下，六枝联社继续发扬吃苦耐劳、艰苦奋斗的“挎包精神”，立足“三农”、建设六枝，为实现“信合梦”作出更大的贡献！</w:t>
      </w:r>
    </w:p>
    <w:p>
      <w:pPr>
        <w:pStyle w:val="6"/>
        <w:bidi w:val="0"/>
        <w:rPr>
          <w:rFonts w:hint="eastAsia" w:ascii="楷体" w:hAnsi="楷体" w:eastAsia="楷体" w:cs="楷体"/>
        </w:rPr>
      </w:pPr>
      <w:bookmarkStart w:id="3" w:name="_Toc6150"/>
      <w:r>
        <w:rPr>
          <w:rFonts w:hint="eastAsia" w:ascii="楷体" w:hAnsi="楷体" w:eastAsia="楷体" w:cs="楷体"/>
        </w:rPr>
        <w:t>1.2本行社绿色金融整体概况</w:t>
      </w:r>
      <w:bookmarkEnd w:id="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4" w:name="_Toc2249"/>
      <w:bookmarkStart w:id="5" w:name="_Toc13964"/>
      <w:r>
        <w:rPr>
          <w:rFonts w:hint="eastAsia" w:ascii="仿宋" w:hAnsi="仿宋" w:eastAsia="仿宋" w:cs="仿宋"/>
          <w:sz w:val="32"/>
          <w:szCs w:val="32"/>
        </w:rPr>
        <w:t>截止2021年12月末，六枝联社贷款余额52.15亿元，其中绿色贷款余额为6641.37万元，从行业项目看，其中“绿色农业开发项目”贷款93.9万元 、“绿色林业开发项目”贷款2322万元、“自然保护、生态修复及灾害防控项目”贷款1940.47万元、“工业节能节水环保项目”贷款270万元、“可再生能源及清洁能源项目”贷款490万元、“农村及城市水项目”贷款1075万元、“绿色交通运输项目”贷款450万元。</w:t>
      </w:r>
      <w:bookmarkEnd w:id="4"/>
      <w:bookmarkEnd w:id="5"/>
    </w:p>
    <w:p>
      <w:pPr>
        <w:pStyle w:val="6"/>
        <w:bidi w:val="0"/>
        <w:rPr>
          <w:rFonts w:hint="eastAsia" w:ascii="楷体" w:hAnsi="楷体" w:eastAsia="楷体" w:cs="楷体"/>
        </w:rPr>
      </w:pPr>
      <w:bookmarkStart w:id="6" w:name="_Toc23591"/>
      <w:r>
        <w:rPr>
          <w:rFonts w:hint="eastAsia" w:ascii="楷体" w:hAnsi="楷体" w:eastAsia="楷体" w:cs="楷体"/>
        </w:rPr>
        <w:t>1.3本行社环境相关的目标愿景、战略规划、政策、行动及2021年内主要成效</w:t>
      </w:r>
      <w:bookmarkEnd w:id="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7" w:name="_Toc23081"/>
      <w:bookmarkStart w:id="8" w:name="_Toc27666"/>
      <w:r>
        <w:rPr>
          <w:rFonts w:hint="eastAsia" w:ascii="仿宋" w:hAnsi="仿宋" w:eastAsia="仿宋" w:cs="仿宋"/>
          <w:sz w:val="32"/>
          <w:szCs w:val="32"/>
        </w:rPr>
        <w:t>六枝联社根据人民银行、银保监、省联社相关指导，进一步创新信贷产品，完善相关制度，充分发挥金融支持绿色发展在资源配置、风险管理和市场定价等方面的功能，思考通过利率优惠，碳减排专项再贴现、再贷款以及长期资金的信贷工具支持碳减排项目，探索完善本社激励约束机制，增加绿色资产配置、强化环境风险管理，提升金融业支持绿色低碳发展的能力。紧跟《贵州省农村信用社加强绿色金融建设助力碳达峰碳中和指导意见（2021-2025年）》，加大绿色产业支持和绿色信贷投放力度，更好推动生态产品价值的实现，促进六枝特区全面绿色转型。实现项目融资业务碳减排量237.79吨。</w:t>
      </w:r>
      <w:bookmarkEnd w:id="7"/>
      <w:bookmarkEnd w:id="8"/>
    </w:p>
    <w:p>
      <w:pPr>
        <w:pStyle w:val="6"/>
        <w:bidi w:val="0"/>
        <w:rPr>
          <w:rFonts w:hint="eastAsia" w:ascii="楷体" w:hAnsi="楷体" w:eastAsia="楷体" w:cs="楷体"/>
        </w:rPr>
      </w:pPr>
      <w:bookmarkStart w:id="9" w:name="_Toc32165"/>
      <w:r>
        <w:rPr>
          <w:rFonts w:hint="eastAsia" w:ascii="楷体" w:hAnsi="楷体" w:eastAsia="楷体" w:cs="楷体"/>
        </w:rPr>
        <w:t>1.4</w:t>
      </w:r>
      <w:r>
        <w:rPr>
          <w:rFonts w:hint="eastAsia" w:ascii="楷体" w:hAnsi="楷体" w:eastAsia="楷体" w:cs="楷体"/>
          <w:lang w:val="en-US" w:eastAsia="zh-CN"/>
        </w:rPr>
        <w:t xml:space="preserve"> </w:t>
      </w:r>
      <w:r>
        <w:rPr>
          <w:rFonts w:hint="eastAsia" w:ascii="楷体" w:hAnsi="楷体" w:eastAsia="楷体" w:cs="楷体"/>
        </w:rPr>
        <w:t>本行社2021年内绿色金融方面的工作亮点和特色。</w:t>
      </w:r>
      <w:bookmarkEnd w:id="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01.强化绿色金融知识学习。六枝联社紧紧围绕绿色金融相关文件和政策精神，组织绿色贷款专项统计制度进行学习，深入掌握“绿色信贷”、“绿色农业开发项目”、“绿色林业开发项目”、“绿色交通运输项目”等统计指标定义，对已支持并发放贷款的企业进行全面梳理，根据贷款投向和用途，结合相关制度文件确定绿色贷款统计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02. 六枝联社着力培育绿色信贷，鼓励已投放信贷支持的涉农企业申请办理《有机产品认证证书》等绿色标识，不断加快绿色信贷发展，促进企业绿色发展，加大绿色信贷投入，双向引导信贷资金投向绿色环保领域，不断走绿色经济、低碳经济、循环经济的高质量发展道路，推进建设可持续发展的资源节约型、环境友好型社会。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03.创新担保方式。六枝联社积极探索、积极创新绿色信贷担保方式，探索推出排污权质押、林权抵押贷款、水权质押贷款、专利权质押、环境服务项目未来收益权质押等担保方式，拓宽绿色环保企业融资担保渠道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已经实现水费收费权质押融资模式。</w:t>
      </w:r>
    </w:p>
    <w:p>
      <w:pPr>
        <w:pStyle w:val="5"/>
        <w:numPr>
          <w:ilvl w:val="0"/>
          <w:numId w:val="0"/>
        </w:numPr>
        <w:bidi w:val="0"/>
        <w:rPr>
          <w:rFonts w:hint="eastAsia" w:ascii="黑体" w:hAnsi="黑体" w:eastAsia="黑体" w:cs="黑体"/>
          <w:sz w:val="32"/>
          <w:szCs w:val="32"/>
          <w:lang w:val="en-US" w:eastAsia="zh-CN"/>
        </w:rPr>
      </w:pPr>
      <w:bookmarkStart w:id="10" w:name="_Toc6379"/>
      <w:bookmarkStart w:id="11" w:name="_Toc15032"/>
      <w:r>
        <w:rPr>
          <w:rFonts w:hint="eastAsia" w:ascii="黑体" w:hAnsi="黑体" w:eastAsia="黑体" w:cs="黑体"/>
          <w:sz w:val="32"/>
          <w:szCs w:val="32"/>
          <w:lang w:val="en-US" w:eastAsia="zh-CN"/>
        </w:rPr>
        <w:t xml:space="preserve">2 </w:t>
      </w:r>
      <w:r>
        <w:rPr>
          <w:rFonts w:hint="eastAsia" w:ascii="黑体" w:hAnsi="黑体" w:eastAsia="黑体" w:cs="黑体"/>
          <w:sz w:val="32"/>
          <w:szCs w:val="32"/>
        </w:rPr>
        <w:t>金融机构环境相关治理结</w:t>
      </w:r>
      <w:bookmarkEnd w:id="10"/>
      <w:bookmarkEnd w:id="11"/>
      <w:r>
        <w:rPr>
          <w:rFonts w:hint="eastAsia" w:ascii="黑体" w:hAnsi="黑体" w:eastAsia="黑体" w:cs="黑体"/>
          <w:sz w:val="32"/>
          <w:szCs w:val="32"/>
          <w:lang w:eastAsia="zh-CN"/>
        </w:rPr>
        <w:t>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六枝联社于2020年12月制定《六枝特区农村信用合作联社绿色信贷管理实施细则》对绿色信贷组织架构及职责进行了明确：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（一）理事会职责：负责制定绿色信贷发展战略，审定联社经营层制定的绿色信贷目标，监督、评估联社绿色信贷发展战略执行情况，对联社绿色信贷业务负最终责任。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高级管理层</w:t>
      </w:r>
      <w:r>
        <w:rPr>
          <w:rFonts w:hint="eastAsia" w:ascii="仿宋" w:hAnsi="仿宋" w:eastAsia="仿宋" w:cs="仿宋"/>
          <w:sz w:val="32"/>
          <w:szCs w:val="32"/>
        </w:rPr>
        <w:t>职责：在理事会授权下，根据理事会的决定，制定本机构绿色信贷目标任务、管理办法、实施细则，建立机制和流程，开展内控检查和考核评价。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业务发展部职责：作为绿色信贷牵头部门，负责在经营层的领导下开展具体的绿色信贷工作，配备相应人员，组织开展绿色信贷各项工作，并做好归口管理，及时向经营层、监事会、理事会、监管机构等报送相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（四）各经营网点职责：主要负责绿色信贷项目营销、尽职调查、项目上报；落实绿色信贷项目授信条件、贷款发放等事宜；并依据上级管理部门相关规定负责绿色信贷其他工作。</w:t>
      </w:r>
    </w:p>
    <w:p>
      <w:pPr>
        <w:pStyle w:val="5"/>
        <w:numPr>
          <w:ilvl w:val="0"/>
          <w:numId w:val="0"/>
        </w:numPr>
        <w:bidi w:val="0"/>
        <w:rPr>
          <w:rFonts w:hint="eastAsia" w:ascii="黑体" w:hAnsi="黑体" w:eastAsia="黑体" w:cs="黑体"/>
          <w:sz w:val="32"/>
          <w:szCs w:val="32"/>
        </w:rPr>
      </w:pPr>
      <w:bookmarkStart w:id="12" w:name="_Toc22129"/>
      <w:bookmarkStart w:id="13" w:name="_Toc7496"/>
      <w:r>
        <w:rPr>
          <w:rFonts w:hint="eastAsia" w:ascii="黑体" w:hAnsi="黑体" w:eastAsia="黑体" w:cs="黑体"/>
          <w:sz w:val="32"/>
          <w:szCs w:val="32"/>
          <w:lang w:val="en-US" w:eastAsia="zh-CN"/>
        </w:rPr>
        <w:t xml:space="preserve">3 </w:t>
      </w:r>
      <w:r>
        <w:rPr>
          <w:rFonts w:hint="eastAsia" w:ascii="黑体" w:hAnsi="黑体" w:eastAsia="黑体" w:cs="黑体"/>
          <w:sz w:val="32"/>
          <w:szCs w:val="32"/>
        </w:rPr>
        <w:t>金融机构环境相关政策制度</w:t>
      </w:r>
      <w:bookmarkEnd w:id="12"/>
      <w:bookmarkEnd w:id="13"/>
    </w:p>
    <w:p>
      <w:pPr>
        <w:pStyle w:val="6"/>
        <w:bidi w:val="0"/>
        <w:rPr>
          <w:rFonts w:hint="eastAsia" w:ascii="楷体" w:hAnsi="楷体" w:eastAsia="楷体" w:cs="楷体"/>
        </w:rPr>
      </w:pPr>
      <w:bookmarkStart w:id="14" w:name="_Toc27884"/>
      <w:r>
        <w:rPr>
          <w:rFonts w:hint="eastAsia" w:ascii="楷体" w:hAnsi="楷体" w:eastAsia="楷体" w:cs="楷体"/>
        </w:rPr>
        <w:t>3.1金融机构制定的与环境相关的现行政策</w:t>
      </w:r>
      <w:bookmarkEnd w:id="1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贵州省农村信用合作联社于2021年9月转发贵州省绿色金融创新发展工作领导小组《关于积极发展绿色金融推动绿色高质量发展的实施意见》并要求：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01</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紧跟政策导向，切实提高绿色金融建设的思想自觉和行动自觉。大力发展绿色金融，是深入贯彻国家生态文明建设和碳达峰碳中和重大决策部署，有效落实金融监管政策的必然要求，贵州省农村信用社联合社办公室文件是自身转型发展，提升社会影响力，更好地履行社会责任的必然选择。各审计中心、各行社要深入理解国家实施绿色金融的内在逻辑，充分认识发展绿色金融的重要意义，切实提高全面、系统地发展绿色金融的思想自觉；要高度关注近年来国家各项绿色金融政策，集中力量着手推进绿色金融战略布局和发展规划，将思想自觉加快转化为具体落实的行动自觉。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02、对标政策要点，积极应对绿色金融发展面临的机遇与挑战。《实施意见》提出了八个方面二十二项工作任务，其中，各金融机构需要具体落实的内容主要有：“提升绿色金融业务比重、完善内部绩效激励机制、健全绿色专营分支机构、建立环境信息披露制度、积极开展环境权益融资等创新金融业务、加大金融科技运用”等。各审计中心、各行社要充分把握我省绿色金融改革创新发展和贵阳贵安共建绿色金融改革创新试验区的重大机遇，对标监管新规，全面厘清当前绿色金融发展存在的问题，找准差距，弥补短板，积极应对绿色金融发展带来的新挑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03、落实政策要求，加快推进绿色金融改革创新和业务发展。各审计中心、各行社要结合本地区产业布局、自然资源、生态环境等禀赋特征，抢抓十二大特色产业、林下经济等发展政策红利，深入挖掘绿色金融发展潜力，从强化组织保障、明确发展目标、夯实基础工作、专项资源倾斜、金融产品创新等方面着手，积极推进绿色金融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枝联社于2020年12月制定《六枝特区农村信用合作联社绿色信贷管理实施细则》对绿色信贷组织管理及职责进行了明确。并对绿色信贷管理、绿色信贷投向、绿色信贷流程及内容管理、产品创新及罚则等进行了规范明确的要求和规定。</w:t>
      </w:r>
    </w:p>
    <w:p>
      <w:pPr>
        <w:pStyle w:val="6"/>
        <w:bidi w:val="0"/>
        <w:rPr>
          <w:rFonts w:hint="eastAsia" w:ascii="楷体" w:hAnsi="楷体" w:eastAsia="楷体" w:cs="楷体"/>
          <w:b/>
          <w:bCs/>
        </w:rPr>
      </w:pPr>
      <w:bookmarkStart w:id="15" w:name="_Toc2549"/>
      <w:r>
        <w:rPr>
          <w:rFonts w:hint="eastAsia" w:ascii="楷体" w:hAnsi="楷体" w:eastAsia="楷体" w:cs="楷体"/>
          <w:b/>
          <w:bCs/>
        </w:rPr>
        <w:t>3.2金融机构对国家及所在地区环境政策的贯彻落实情况，以及遵守采纳国际公约、框架、倡议情况</w:t>
      </w:r>
      <w:bookmarkEnd w:id="15"/>
      <w:r>
        <w:rPr>
          <w:rFonts w:hint="eastAsia" w:ascii="楷体" w:hAnsi="楷体" w:eastAsia="楷体" w:cs="楷体"/>
          <w:b/>
          <w:bCs/>
        </w:rPr>
        <w:tab/>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根据中国人民银行办公厅关于在绿色金融改革创新试验区试行《金融机构碳核算技术指南（试行）》的通知、积极开展绿色金融，并参与碳核算工作。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紧跟《贵州省农村信用社加强绿色金融建设助力碳达峰碳中和指导意见（2021-2025年）》，加大绿色产业支持和绿色信贷投放力度，更好推动生态产品价值的实现，促进六枝特区全面绿色转型。</w:t>
      </w:r>
    </w:p>
    <w:p>
      <w:pPr>
        <w:pStyle w:val="5"/>
        <w:numPr>
          <w:ilvl w:val="0"/>
          <w:numId w:val="0"/>
        </w:numPr>
        <w:bidi w:val="0"/>
        <w:rPr>
          <w:rFonts w:hint="eastAsia" w:ascii="黑体" w:hAnsi="黑体" w:eastAsia="黑体" w:cs="黑体"/>
          <w:sz w:val="32"/>
          <w:szCs w:val="32"/>
        </w:rPr>
      </w:pPr>
      <w:bookmarkStart w:id="16" w:name="_Toc14638"/>
      <w:bookmarkStart w:id="17" w:name="_Toc31020"/>
      <w:r>
        <w:rPr>
          <w:rFonts w:hint="eastAsia" w:ascii="黑体" w:hAnsi="黑体" w:eastAsia="黑体" w:cs="黑体"/>
          <w:sz w:val="32"/>
          <w:szCs w:val="32"/>
          <w:lang w:val="en-US" w:eastAsia="zh-CN"/>
        </w:rPr>
        <w:t xml:space="preserve">4 </w:t>
      </w:r>
      <w:r>
        <w:rPr>
          <w:rFonts w:hint="eastAsia" w:ascii="黑体" w:hAnsi="黑体" w:eastAsia="黑体" w:cs="黑体"/>
          <w:sz w:val="32"/>
          <w:szCs w:val="32"/>
        </w:rPr>
        <w:t>金融机构环境相关产品与服务创新</w:t>
      </w:r>
      <w:bookmarkEnd w:id="16"/>
      <w:bookmarkEnd w:id="1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六枝联社暂未针对绿色信贷推出对应绿色金融产品，积极探索、创新绿色信贷担保方式，探索推出排污权质押、林权抵押贷款、水权质押贷款、专利权质押、环境服务项目未来收益权质押等担保方式，</w:t>
      </w:r>
      <w:r>
        <w:rPr>
          <w:rFonts w:hint="eastAsia" w:ascii="仿宋" w:hAnsi="仿宋" w:eastAsia="仿宋" w:cs="仿宋"/>
          <w:sz w:val="32"/>
          <w:szCs w:val="32"/>
          <w:lang w:val="en-US" w:eastAsia="zh-CN"/>
        </w:rPr>
        <w:t>已经实现水费收费权质押融资模式。</w:t>
      </w:r>
      <w:r>
        <w:rPr>
          <w:rFonts w:hint="eastAsia" w:ascii="仿宋" w:hAnsi="仿宋" w:eastAsia="仿宋" w:cs="仿宋"/>
          <w:sz w:val="32"/>
          <w:szCs w:val="32"/>
        </w:rPr>
        <w:t>拓宽绿色环保企业融资担保渠道。在绿色信贷中积极推广“442”政银担风险分担业务和绿色产业扶贫投资基金投贷联动业务，充分利用财政贴息和绿色信贷风险基金的优势，降低绿色环保企业融资成本，推进企业持续发展。</w:t>
      </w:r>
    </w:p>
    <w:p>
      <w:pPr>
        <w:pStyle w:val="5"/>
        <w:numPr>
          <w:ilvl w:val="0"/>
          <w:numId w:val="0"/>
        </w:numPr>
        <w:bidi w:val="0"/>
        <w:rPr>
          <w:rFonts w:hint="eastAsia" w:ascii="黑体" w:hAnsi="黑体" w:eastAsia="黑体" w:cs="黑体"/>
          <w:sz w:val="32"/>
          <w:szCs w:val="32"/>
        </w:rPr>
      </w:pPr>
      <w:bookmarkStart w:id="18" w:name="_Toc25846"/>
      <w:bookmarkStart w:id="19" w:name="_Toc23042"/>
      <w:r>
        <w:rPr>
          <w:rFonts w:hint="eastAsia" w:ascii="黑体" w:hAnsi="黑体" w:eastAsia="黑体" w:cs="黑体"/>
          <w:sz w:val="32"/>
          <w:szCs w:val="32"/>
          <w:lang w:val="en-US" w:eastAsia="zh-CN"/>
        </w:rPr>
        <w:t xml:space="preserve">5 </w:t>
      </w:r>
      <w:r>
        <w:rPr>
          <w:rFonts w:hint="eastAsia" w:ascii="黑体" w:hAnsi="黑体" w:eastAsia="黑体" w:cs="黑体"/>
          <w:sz w:val="32"/>
          <w:szCs w:val="32"/>
        </w:rPr>
        <w:t>金融机构环境风险管理流程</w:t>
      </w:r>
      <w:bookmarkEnd w:id="18"/>
      <w:bookmarkEnd w:id="1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枝联社将环境及社会风险纳入信贷管理全流程，明确贷前调查时要根据客户及其项目所处行业、区域、特点，明确环境和社会风险尽职调查的内容，从客户采购原材料、生产制造、质量检测和销售运输等经营全流程评估客户的环境和社会表现，评价可能存在的耗能、污染、安全、健康隐患及采取的防控措施，把好信贷准入关口；信贷审查时审查人员应重点审查企业或项目环保审批手续的合规性和完整性，将符合环保、安全生产等政策法规要求作为信贷审批的必要条件，必要情况下，可委托第三方专业机构进行环保评估评价；贷款审批时对绿色信贷审批要对客户所属的环境和社会风险的性质和严重程度进行分析评估，对环境和社会表现不合规、违法违规、污染严重、社会影响负面的客户，不得通过审批。</w:t>
      </w:r>
    </w:p>
    <w:p>
      <w:pPr>
        <w:pStyle w:val="5"/>
        <w:bidi w:val="0"/>
        <w:rPr>
          <w:rFonts w:hint="eastAsia" w:ascii="黑体" w:hAnsi="黑体" w:eastAsia="黑体" w:cs="黑体"/>
          <w:sz w:val="32"/>
          <w:szCs w:val="32"/>
        </w:rPr>
      </w:pPr>
      <w:bookmarkStart w:id="20" w:name="_Toc13267"/>
      <w:bookmarkStart w:id="21" w:name="_Toc26559"/>
      <w:r>
        <w:rPr>
          <w:rFonts w:hint="eastAsia" w:ascii="黑体" w:hAnsi="黑体" w:eastAsia="黑体" w:cs="黑体"/>
          <w:sz w:val="32"/>
          <w:szCs w:val="32"/>
        </w:rPr>
        <w:t>6</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金融机构环境风险、机遇的分析与管理</w:t>
      </w:r>
      <w:bookmarkEnd w:id="20"/>
      <w:bookmarkEnd w:id="21"/>
    </w:p>
    <w:p>
      <w:pPr>
        <w:pStyle w:val="6"/>
        <w:bidi w:val="0"/>
        <w:rPr>
          <w:rFonts w:hint="eastAsia" w:ascii="楷体" w:hAnsi="楷体" w:eastAsia="楷体" w:cs="楷体"/>
          <w:lang w:val="en-US" w:eastAsia="zh-CN"/>
        </w:rPr>
      </w:pPr>
      <w:bookmarkStart w:id="22" w:name="_Toc16556"/>
      <w:bookmarkStart w:id="23" w:name="_Toc15035"/>
      <w:r>
        <w:rPr>
          <w:rFonts w:hint="eastAsia" w:ascii="楷体" w:hAnsi="楷体" w:eastAsia="楷体" w:cs="楷体"/>
          <w:lang w:val="en-US" w:eastAsia="zh-CN"/>
        </w:rPr>
        <w:t xml:space="preserve">6.1 </w:t>
      </w:r>
      <w:r>
        <w:rPr>
          <w:rFonts w:hint="eastAsia" w:ascii="楷体" w:hAnsi="楷体" w:eastAsia="楷体" w:cs="楷体"/>
        </w:rPr>
        <w:t>本</w:t>
      </w:r>
      <w:r>
        <w:rPr>
          <w:rFonts w:hint="eastAsia" w:ascii="楷体" w:hAnsi="楷体" w:eastAsia="楷体" w:cs="楷体"/>
          <w:lang w:val="en-US" w:eastAsia="zh-CN"/>
        </w:rPr>
        <w:t>社</w:t>
      </w:r>
      <w:r>
        <w:rPr>
          <w:rFonts w:hint="eastAsia" w:ascii="楷体" w:hAnsi="楷体" w:eastAsia="楷体" w:cs="楷体"/>
        </w:rPr>
        <w:t>环境风险影响</w:t>
      </w:r>
      <w:bookmarkEnd w:id="22"/>
      <w:bookmarkEnd w:id="2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本社</w:t>
      </w:r>
      <w:r>
        <w:rPr>
          <w:rFonts w:hint="eastAsia" w:ascii="仿宋" w:hAnsi="仿宋" w:eastAsia="仿宋" w:cs="仿宋"/>
          <w:sz w:val="32"/>
          <w:szCs w:val="32"/>
        </w:rPr>
        <w:t>重视环境相关风险及其对</w:t>
      </w:r>
      <w:r>
        <w:rPr>
          <w:rFonts w:hint="eastAsia" w:ascii="仿宋" w:hAnsi="仿宋" w:eastAsia="仿宋" w:cs="仿宋"/>
          <w:sz w:val="32"/>
          <w:szCs w:val="32"/>
          <w:lang w:val="en-US" w:eastAsia="zh-CN"/>
        </w:rPr>
        <w:t>本社</w:t>
      </w:r>
      <w:r>
        <w:rPr>
          <w:rFonts w:hint="eastAsia" w:ascii="仿宋" w:hAnsi="仿宋" w:eastAsia="仿宋" w:cs="仿宋"/>
          <w:sz w:val="32"/>
          <w:szCs w:val="32"/>
        </w:rPr>
        <w:t>业务、战略和财务规划带来的实际和潜在影响，识别出</w:t>
      </w:r>
      <w:r>
        <w:rPr>
          <w:rFonts w:hint="eastAsia" w:ascii="仿宋" w:hAnsi="仿宋" w:eastAsia="仿宋" w:cs="仿宋"/>
          <w:sz w:val="32"/>
          <w:szCs w:val="32"/>
          <w:lang w:val="en-US" w:eastAsia="zh-CN"/>
        </w:rPr>
        <w:t>本社</w:t>
      </w:r>
      <w:r>
        <w:rPr>
          <w:rFonts w:hint="eastAsia" w:ascii="仿宋" w:hAnsi="仿宋" w:eastAsia="仿宋" w:cs="仿宋"/>
          <w:sz w:val="32"/>
          <w:szCs w:val="32"/>
        </w:rPr>
        <w:t>目前在环境方面面临的主要风险和机遇。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政策风险:近年来，我国政府发布了一系列绿色金融相关政策，</w:t>
      </w:r>
      <w:r>
        <w:rPr>
          <w:rFonts w:hint="eastAsia" w:ascii="仿宋" w:hAnsi="仿宋" w:eastAsia="仿宋" w:cs="仿宋"/>
          <w:sz w:val="32"/>
          <w:szCs w:val="32"/>
          <w:lang w:val="en-US" w:eastAsia="zh-CN"/>
        </w:rPr>
        <w:t>如《关于构建绿色金融体系的指导意见》《绿色投资指引(试行)》《关于促进应对气候变化投融资的指导意见》等;2021年，我国发布《中共中央 国务院关于完整准确全面贯彻新发展理念做好碳达峰碳中和工作的意见》《2030年前碳达</w:t>
      </w:r>
      <w:r>
        <w:rPr>
          <w:rFonts w:hint="eastAsia" w:ascii="仿宋" w:hAnsi="仿宋" w:eastAsia="仿宋" w:cs="仿宋"/>
          <w:sz w:val="32"/>
          <w:szCs w:val="32"/>
        </w:rPr>
        <w:t>峰行动方案》等文件，显示出国家应对</w:t>
      </w:r>
      <w:r>
        <w:rPr>
          <w:rFonts w:hint="eastAsia" w:ascii="仿宋" w:hAnsi="仿宋" w:eastAsia="仿宋" w:cs="仿宋"/>
          <w:sz w:val="32"/>
          <w:szCs w:val="32"/>
          <w:lang w:val="en-US" w:eastAsia="zh-CN"/>
        </w:rPr>
        <w:t>环境、</w:t>
      </w:r>
      <w:r>
        <w:rPr>
          <w:rFonts w:hint="eastAsia" w:ascii="仿宋" w:hAnsi="仿宋" w:eastAsia="仿宋" w:cs="仿宋"/>
          <w:sz w:val="32"/>
          <w:szCs w:val="32"/>
        </w:rPr>
        <w:t>气候变化的强烈决心。如本</w:t>
      </w:r>
      <w:r>
        <w:rPr>
          <w:rFonts w:hint="eastAsia" w:ascii="仿宋" w:hAnsi="仿宋" w:eastAsia="仿宋" w:cs="仿宋"/>
          <w:sz w:val="32"/>
          <w:szCs w:val="32"/>
          <w:lang w:val="en-US" w:eastAsia="zh-CN"/>
        </w:rPr>
        <w:t>社</w:t>
      </w:r>
      <w:r>
        <w:rPr>
          <w:rFonts w:hint="eastAsia" w:ascii="仿宋" w:hAnsi="仿宋" w:eastAsia="仿宋" w:cs="仿宋"/>
          <w:sz w:val="32"/>
          <w:szCs w:val="32"/>
        </w:rPr>
        <w:t>未能及时跟进、研究国家宏观政策并制定相应实施措施，可能会为本</w:t>
      </w:r>
      <w:r>
        <w:rPr>
          <w:rFonts w:hint="eastAsia" w:ascii="仿宋" w:hAnsi="仿宋" w:eastAsia="仿宋" w:cs="仿宋"/>
          <w:sz w:val="32"/>
          <w:szCs w:val="32"/>
          <w:lang w:eastAsia="zh-CN"/>
        </w:rPr>
        <w:t>社</w:t>
      </w:r>
      <w:r>
        <w:rPr>
          <w:rFonts w:hint="eastAsia" w:ascii="仿宋" w:hAnsi="仿宋" w:eastAsia="仿宋" w:cs="仿宋"/>
          <w:sz w:val="32"/>
          <w:szCs w:val="32"/>
        </w:rPr>
        <w:t>经营发展带来一定压力。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风险:我国在环境领域制定有《中华人民共和国环境保护法》《中华人民共和国节约能源法》《中华人民共和国固体废物污染环境防治法》等法律法规，如本行未能认真遵守这些法律法规要求，可能会面临诉讼风险，带来因罚款和判决导致的成本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声誉风险:绿色环保等议题正逐步被更多公众认知。如本</w:t>
      </w:r>
      <w:r>
        <w:rPr>
          <w:rFonts w:hint="eastAsia" w:ascii="仿宋" w:hAnsi="仿宋" w:eastAsia="仿宋" w:cs="仿宋"/>
          <w:sz w:val="32"/>
          <w:szCs w:val="32"/>
          <w:lang w:val="en-US" w:eastAsia="zh-CN"/>
        </w:rPr>
        <w:t>社</w:t>
      </w:r>
      <w:r>
        <w:rPr>
          <w:rFonts w:hint="eastAsia" w:ascii="仿宋" w:hAnsi="仿宋" w:eastAsia="仿宋" w:cs="仿宋"/>
          <w:sz w:val="32"/>
          <w:szCs w:val="32"/>
        </w:rPr>
        <w:t>在运营和业务</w:t>
      </w:r>
      <w:r>
        <w:rPr>
          <w:rFonts w:hint="eastAsia" w:ascii="仿宋" w:hAnsi="仿宋" w:eastAsia="仿宋" w:cs="仿宋"/>
          <w:sz w:val="32"/>
          <w:szCs w:val="32"/>
          <w:lang w:val="en-US" w:eastAsia="zh-CN"/>
        </w:rPr>
        <w:t>开展</w:t>
      </w:r>
      <w:r>
        <w:rPr>
          <w:rFonts w:hint="eastAsia" w:ascii="仿宋" w:hAnsi="仿宋" w:eastAsia="仿宋" w:cs="仿宋"/>
          <w:sz w:val="32"/>
          <w:szCs w:val="32"/>
        </w:rPr>
        <w:t>过程中长期对气候和环境造成破坏性影响，可能会面临声誉风险。</w:t>
      </w:r>
    </w:p>
    <w:p>
      <w:pPr>
        <w:pStyle w:val="6"/>
        <w:bidi w:val="0"/>
        <w:rPr>
          <w:rFonts w:hint="eastAsia" w:ascii="楷体" w:hAnsi="楷体" w:eastAsia="楷体" w:cs="楷体"/>
          <w:lang w:val="en-US" w:eastAsia="zh-CN"/>
        </w:rPr>
      </w:pPr>
      <w:bookmarkStart w:id="24" w:name="_Toc11088"/>
      <w:bookmarkStart w:id="25" w:name="_Toc26202"/>
      <w:r>
        <w:rPr>
          <w:rFonts w:hint="eastAsia" w:ascii="楷体" w:hAnsi="楷体" w:eastAsia="楷体" w:cs="楷体"/>
          <w:lang w:val="en-US" w:eastAsia="zh-CN"/>
        </w:rPr>
        <w:t>6.2 环境风险带来的机遇</w:t>
      </w:r>
      <w:bookmarkEnd w:id="24"/>
      <w:bookmarkEnd w:id="2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运营效率</w:t>
      </w:r>
      <w:r>
        <w:rPr>
          <w:rFonts w:hint="eastAsia" w:ascii="仿宋" w:hAnsi="仿宋" w:eastAsia="仿宋" w:cs="仿宋"/>
          <w:sz w:val="32"/>
          <w:szCs w:val="32"/>
          <w:lang w:eastAsia="zh-CN"/>
        </w:rPr>
        <w:t>:在本</w:t>
      </w:r>
      <w:r>
        <w:rPr>
          <w:rFonts w:hint="eastAsia" w:ascii="仿宋" w:hAnsi="仿宋" w:eastAsia="仿宋" w:cs="仿宋"/>
          <w:sz w:val="32"/>
          <w:szCs w:val="32"/>
          <w:lang w:val="en-US" w:eastAsia="zh-CN"/>
        </w:rPr>
        <w:t>社</w:t>
      </w:r>
      <w:r>
        <w:rPr>
          <w:rFonts w:hint="eastAsia" w:ascii="仿宋" w:hAnsi="仿宋" w:eastAsia="仿宋" w:cs="仿宋"/>
          <w:sz w:val="32"/>
          <w:szCs w:val="32"/>
          <w:lang w:eastAsia="zh-CN"/>
        </w:rPr>
        <w:t>运营过程中践行低碳原则，积极使用节能减排技术，可以降低温室气体排放风险和运营成本。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服务</w:t>
      </w:r>
      <w:r>
        <w:rPr>
          <w:rFonts w:hint="eastAsia" w:ascii="仿宋" w:hAnsi="仿宋" w:eastAsia="仿宋" w:cs="仿宋"/>
          <w:sz w:val="32"/>
          <w:szCs w:val="32"/>
          <w:lang w:val="en-US" w:eastAsia="zh-CN"/>
        </w:rPr>
        <w:t>升级转型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随着</w:t>
      </w:r>
      <w:r>
        <w:rPr>
          <w:rFonts w:hint="eastAsia" w:ascii="仿宋" w:hAnsi="仿宋" w:eastAsia="仿宋" w:cs="仿宋"/>
          <w:sz w:val="32"/>
          <w:szCs w:val="32"/>
          <w:lang w:eastAsia="zh-CN"/>
        </w:rPr>
        <w:t>碳达峰、碳中和等相关政策的持续推进，将为本行拓展绿色金融业务提供新的机遇，将有利于</w:t>
      </w:r>
      <w:r>
        <w:rPr>
          <w:rFonts w:hint="eastAsia" w:ascii="仿宋" w:hAnsi="仿宋" w:eastAsia="仿宋" w:cs="仿宋"/>
          <w:sz w:val="32"/>
          <w:szCs w:val="32"/>
          <w:lang w:val="en-US" w:eastAsia="zh-CN"/>
        </w:rPr>
        <w:t>本行</w:t>
      </w:r>
      <w:r>
        <w:rPr>
          <w:rFonts w:hint="eastAsia" w:ascii="仿宋" w:hAnsi="仿宋" w:eastAsia="仿宋" w:cs="仿宋"/>
          <w:sz w:val="32"/>
          <w:szCs w:val="32"/>
          <w:lang w:eastAsia="zh-CN"/>
        </w:rPr>
        <w:t>发挥金融支持绿色发展的功能，以资金配置引导产业结构、能源结构向绿色低碳转型。</w:t>
      </w:r>
    </w:p>
    <w:p>
      <w:pPr>
        <w:pStyle w:val="6"/>
        <w:bidi w:val="0"/>
        <w:rPr>
          <w:rFonts w:hint="eastAsia" w:ascii="楷体" w:hAnsi="楷体" w:eastAsia="楷体" w:cs="楷体"/>
          <w:lang w:val="en-US" w:eastAsia="zh-CN"/>
        </w:rPr>
      </w:pPr>
      <w:bookmarkStart w:id="26" w:name="_Toc28821"/>
      <w:bookmarkStart w:id="27" w:name="_Toc27191"/>
      <w:r>
        <w:rPr>
          <w:rFonts w:hint="eastAsia" w:ascii="楷体" w:hAnsi="楷体" w:eastAsia="楷体" w:cs="楷体"/>
          <w:lang w:val="en-US" w:eastAsia="zh-CN"/>
        </w:rPr>
        <w:t>6.3 本行环境风险应对措施</w:t>
      </w:r>
      <w:bookmarkEnd w:id="26"/>
      <w:bookmarkEnd w:id="2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本行</w:t>
      </w:r>
      <w:r>
        <w:rPr>
          <w:rFonts w:hint="eastAsia" w:ascii="仿宋" w:hAnsi="仿宋" w:eastAsia="仿宋" w:cs="仿宋"/>
          <w:sz w:val="32"/>
          <w:szCs w:val="32"/>
          <w:lang w:eastAsia="zh-CN"/>
        </w:rPr>
        <w:t>将绿色金融纳入银行整体发展战略中，</w:t>
      </w:r>
      <w:r>
        <w:rPr>
          <w:rFonts w:hint="eastAsia" w:ascii="仿宋" w:hAnsi="仿宋" w:eastAsia="仿宋" w:cs="仿宋"/>
          <w:sz w:val="32"/>
          <w:szCs w:val="32"/>
          <w:lang w:val="en-US" w:eastAsia="zh-CN"/>
        </w:rPr>
        <w:t>建立</w:t>
      </w:r>
      <w:r>
        <w:rPr>
          <w:rFonts w:hint="eastAsia" w:ascii="仿宋" w:hAnsi="仿宋" w:eastAsia="仿宋" w:cs="仿宋"/>
          <w:sz w:val="32"/>
          <w:szCs w:val="32"/>
          <w:lang w:eastAsia="zh-CN"/>
        </w:rPr>
        <w:t>健全完善环境风险管理体系。持续关注国内和国际环境政策变化，及时与监管部门沟通，完善绿色金融与环境风险管理政策，将环境风险</w:t>
      </w:r>
      <w:r>
        <w:rPr>
          <w:rFonts w:hint="eastAsia" w:ascii="仿宋" w:hAnsi="仿宋" w:eastAsia="仿宋" w:cs="仿宋"/>
          <w:sz w:val="32"/>
          <w:szCs w:val="32"/>
          <w:lang w:val="en-US" w:eastAsia="zh-CN"/>
        </w:rPr>
        <w:t>与</w:t>
      </w:r>
      <w:r>
        <w:rPr>
          <w:rFonts w:hint="eastAsia" w:ascii="仿宋" w:hAnsi="仿宋" w:eastAsia="仿宋" w:cs="仿宋"/>
          <w:sz w:val="32"/>
          <w:szCs w:val="32"/>
          <w:lang w:eastAsia="zh-CN"/>
        </w:rPr>
        <w:t>绿色金融发展的相关要求纳入授信业务全流程管理。加强客户对环境影响的评估，</w:t>
      </w:r>
      <w:r>
        <w:rPr>
          <w:rFonts w:hint="eastAsia" w:ascii="仿宋" w:hAnsi="仿宋" w:eastAsia="仿宋" w:cs="仿宋"/>
          <w:sz w:val="32"/>
          <w:szCs w:val="32"/>
          <w:lang w:val="en-US" w:eastAsia="zh-CN"/>
        </w:rPr>
        <w:t>完善</w:t>
      </w:r>
      <w:r>
        <w:rPr>
          <w:rFonts w:hint="eastAsia" w:ascii="仿宋" w:hAnsi="仿宋" w:eastAsia="仿宋" w:cs="仿宋"/>
          <w:sz w:val="32"/>
          <w:szCs w:val="32"/>
          <w:lang w:eastAsia="zh-CN"/>
        </w:rPr>
        <w:t>对落后产能、污染排放不达标企业退出</w:t>
      </w:r>
      <w:r>
        <w:rPr>
          <w:rFonts w:hint="eastAsia" w:ascii="仿宋" w:hAnsi="仿宋" w:eastAsia="仿宋" w:cs="仿宋"/>
          <w:sz w:val="32"/>
          <w:szCs w:val="32"/>
          <w:lang w:val="en-US" w:eastAsia="zh-CN"/>
        </w:rPr>
        <w:t>机制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创新绿色金融产品与服务水平，优化绿色资产结构，围绕绿色能源、绿色工业、绿色交通以及绿色建筑等重点行业，积极创新服务及配套产品，不断提升本行在绿色金融方面服务</w:t>
      </w:r>
      <w:r>
        <w:rPr>
          <w:rFonts w:hint="eastAsia" w:ascii="仿宋" w:hAnsi="仿宋" w:eastAsia="仿宋" w:cs="仿宋"/>
          <w:sz w:val="32"/>
          <w:szCs w:val="32"/>
          <w:lang w:val="en-US" w:eastAsia="zh-CN"/>
        </w:rPr>
        <w:t>质量</w:t>
      </w:r>
      <w:r>
        <w:rPr>
          <w:rFonts w:hint="eastAsia" w:ascii="仿宋" w:hAnsi="仿宋" w:eastAsia="仿宋" w:cs="仿宋"/>
          <w:sz w:val="32"/>
          <w:szCs w:val="32"/>
          <w:lang w:eastAsia="zh-CN"/>
        </w:rPr>
        <w:t>及产品竞争力。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制定节能减排制度措施，强化绿色办公管理要求，提高员工节能减排意识。加强节水、节电、节油等节能管理，将绿色环保意识融入办公场所建设、装修等各方面，提升资源利用效率，减少碳排放。</w:t>
      </w:r>
    </w:p>
    <w:p>
      <w:pPr>
        <w:pStyle w:val="5"/>
        <w:bidi w:val="0"/>
        <w:rPr>
          <w:rFonts w:hint="eastAsia" w:ascii="黑体" w:hAnsi="黑体" w:eastAsia="黑体" w:cs="黑体"/>
          <w:sz w:val="32"/>
          <w:szCs w:val="32"/>
        </w:rPr>
      </w:pPr>
      <w:bookmarkStart w:id="28" w:name="_Toc9737"/>
      <w:bookmarkStart w:id="29" w:name="_Toc11557"/>
      <w:r>
        <w:rPr>
          <w:rFonts w:hint="eastAsia" w:ascii="黑体" w:hAnsi="黑体" w:eastAsia="黑体" w:cs="黑体"/>
          <w:sz w:val="32"/>
          <w:szCs w:val="32"/>
        </w:rPr>
        <w:t>7</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金融机构投融资活动的环境影响</w:t>
      </w:r>
      <w:bookmarkEnd w:id="28"/>
      <w:bookmarkEnd w:id="29"/>
    </w:p>
    <w:p>
      <w:pPr>
        <w:pStyle w:val="6"/>
        <w:bidi w:val="0"/>
        <w:rPr>
          <w:rFonts w:hint="eastAsia" w:ascii="楷体" w:hAnsi="楷体" w:eastAsia="楷体" w:cs="楷体"/>
        </w:rPr>
      </w:pPr>
      <w:bookmarkStart w:id="30" w:name="_Toc4283"/>
      <w:r>
        <w:rPr>
          <w:rFonts w:hint="eastAsia" w:ascii="楷体" w:hAnsi="楷体" w:eastAsia="楷体" w:cs="楷体"/>
        </w:rPr>
        <w:t>7.1整体投融资情况及其环境影响</w:t>
      </w:r>
      <w:bookmarkEnd w:id="30"/>
    </w:p>
    <w:p>
      <w:pPr>
        <w:bidi w:val="0"/>
        <w:jc w:val="center"/>
        <w:rPr>
          <w:rFonts w:hint="eastAsia" w:ascii="仿宋" w:hAnsi="仿宋" w:eastAsia="仿宋" w:cs="仿宋"/>
          <w:sz w:val="32"/>
          <w:szCs w:val="32"/>
        </w:rPr>
      </w:pPr>
      <w:bookmarkStart w:id="31" w:name="_Toc4983"/>
      <w:bookmarkStart w:id="32" w:name="_Toc29365"/>
      <w:r>
        <w:rPr>
          <w:rFonts w:hint="eastAsia" w:ascii="仿宋" w:hAnsi="仿宋" w:eastAsia="仿宋" w:cs="仿宋"/>
          <w:sz w:val="32"/>
          <w:szCs w:val="32"/>
        </w:rPr>
        <w:t>2021年投融资活动碳排放量</w:t>
      </w:r>
      <w:bookmarkEnd w:id="31"/>
      <w:bookmarkEnd w:id="32"/>
    </w:p>
    <w:tbl>
      <w:tblPr>
        <w:tblStyle w:val="15"/>
        <w:tblpPr w:leftFromText="180" w:rightFromText="180" w:vertAnchor="text" w:horzAnchor="margin" w:tblpY="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6"/>
        <w:gridCol w:w="2621"/>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636" w:type="dxa"/>
            <w:noWrap w:val="0"/>
            <w:vAlign w:val="center"/>
          </w:tcPr>
          <w:p>
            <w:pPr>
              <w:bidi w:val="0"/>
              <w:rPr>
                <w:rFonts w:hint="eastAsia" w:ascii="宋体" w:hAnsi="宋体" w:eastAsia="宋体" w:cs="宋体"/>
                <w:sz w:val="28"/>
                <w:szCs w:val="28"/>
              </w:rPr>
            </w:pPr>
            <w:bookmarkStart w:id="33" w:name="_Toc19873"/>
            <w:bookmarkStart w:id="34" w:name="_Toc9149"/>
            <w:r>
              <w:rPr>
                <w:rFonts w:hint="eastAsia" w:ascii="宋体" w:hAnsi="宋体" w:eastAsia="宋体" w:cs="宋体"/>
                <w:sz w:val="28"/>
                <w:szCs w:val="28"/>
              </w:rPr>
              <w:t>行业类别（一级行业代码及类别）</w:t>
            </w:r>
            <w:bookmarkEnd w:id="33"/>
            <w:bookmarkEnd w:id="34"/>
          </w:p>
        </w:tc>
        <w:tc>
          <w:tcPr>
            <w:tcW w:w="2621" w:type="dxa"/>
            <w:noWrap w:val="0"/>
            <w:vAlign w:val="center"/>
          </w:tcPr>
          <w:p>
            <w:pPr>
              <w:bidi w:val="0"/>
              <w:rPr>
                <w:rFonts w:hint="eastAsia" w:ascii="宋体" w:hAnsi="宋体" w:eastAsia="宋体" w:cs="宋体"/>
                <w:sz w:val="28"/>
                <w:szCs w:val="28"/>
              </w:rPr>
            </w:pPr>
            <w:bookmarkStart w:id="35" w:name="_Toc20421"/>
            <w:bookmarkStart w:id="36" w:name="_Toc2220"/>
            <w:r>
              <w:rPr>
                <w:rFonts w:hint="eastAsia" w:ascii="宋体" w:hAnsi="宋体" w:eastAsia="宋体" w:cs="宋体"/>
                <w:sz w:val="28"/>
                <w:szCs w:val="28"/>
              </w:rPr>
              <w:t>行业贷款碳排放量（吨）</w:t>
            </w:r>
            <w:bookmarkEnd w:id="35"/>
            <w:bookmarkEnd w:id="36"/>
          </w:p>
        </w:tc>
        <w:tc>
          <w:tcPr>
            <w:tcW w:w="2265" w:type="dxa"/>
            <w:noWrap w:val="0"/>
            <w:vAlign w:val="center"/>
          </w:tcPr>
          <w:p>
            <w:pPr>
              <w:bidi w:val="0"/>
              <w:rPr>
                <w:rFonts w:hint="eastAsia" w:ascii="宋体" w:hAnsi="宋体" w:eastAsia="宋体" w:cs="宋体"/>
                <w:sz w:val="28"/>
                <w:szCs w:val="28"/>
              </w:rPr>
            </w:pPr>
            <w:bookmarkStart w:id="37" w:name="_Toc31290"/>
            <w:bookmarkStart w:id="38" w:name="_Toc6883"/>
            <w:r>
              <w:rPr>
                <w:rFonts w:hint="eastAsia" w:ascii="宋体" w:hAnsi="宋体" w:eastAsia="宋体" w:cs="宋体"/>
                <w:sz w:val="28"/>
                <w:szCs w:val="28"/>
              </w:rPr>
              <w:t>行业贷款碳排放量占比</w:t>
            </w:r>
            <w:bookmarkEnd w:id="37"/>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noWrap w:val="0"/>
            <w:vAlign w:val="center"/>
          </w:tcPr>
          <w:p>
            <w:pPr>
              <w:bidi w:val="0"/>
              <w:rPr>
                <w:rFonts w:hint="eastAsia" w:ascii="宋体" w:hAnsi="宋体" w:eastAsia="宋体" w:cs="宋体"/>
                <w:sz w:val="28"/>
                <w:szCs w:val="28"/>
              </w:rPr>
            </w:pPr>
            <w:bookmarkStart w:id="39" w:name="_Toc27442"/>
            <w:bookmarkStart w:id="40" w:name="_Toc23194"/>
            <w:r>
              <w:rPr>
                <w:rFonts w:hint="eastAsia" w:ascii="宋体" w:hAnsi="宋体" w:eastAsia="宋体" w:cs="宋体"/>
                <w:sz w:val="28"/>
                <w:szCs w:val="28"/>
              </w:rPr>
              <w:t>A农、林、牧、渔业</w:t>
            </w:r>
            <w:bookmarkEnd w:id="39"/>
            <w:bookmarkEnd w:id="40"/>
          </w:p>
        </w:tc>
        <w:tc>
          <w:tcPr>
            <w:tcW w:w="2621" w:type="dxa"/>
            <w:noWrap w:val="0"/>
            <w:vAlign w:val="center"/>
          </w:tcPr>
          <w:p>
            <w:pPr>
              <w:bidi w:val="0"/>
              <w:rPr>
                <w:rFonts w:hint="eastAsia" w:ascii="宋体" w:hAnsi="宋体" w:eastAsia="宋体" w:cs="宋体"/>
                <w:sz w:val="28"/>
                <w:szCs w:val="28"/>
              </w:rPr>
            </w:pPr>
            <w:bookmarkStart w:id="41" w:name="_Toc4948"/>
            <w:bookmarkStart w:id="42" w:name="_Toc14125"/>
            <w:r>
              <w:rPr>
                <w:rFonts w:hint="eastAsia" w:ascii="宋体" w:hAnsi="宋体" w:eastAsia="宋体" w:cs="宋体"/>
                <w:sz w:val="28"/>
                <w:szCs w:val="28"/>
              </w:rPr>
              <w:t>578.23</w:t>
            </w:r>
            <w:bookmarkEnd w:id="41"/>
            <w:bookmarkEnd w:id="42"/>
            <w:r>
              <w:rPr>
                <w:rFonts w:hint="eastAsia" w:ascii="宋体" w:hAnsi="宋体" w:eastAsia="宋体" w:cs="宋体"/>
                <w:sz w:val="28"/>
                <w:szCs w:val="28"/>
              </w:rPr>
              <w:t xml:space="preserve"> </w:t>
            </w:r>
          </w:p>
        </w:tc>
        <w:tc>
          <w:tcPr>
            <w:tcW w:w="2265" w:type="dxa"/>
            <w:noWrap w:val="0"/>
            <w:vAlign w:val="center"/>
          </w:tcPr>
          <w:p>
            <w:pPr>
              <w:bidi w:val="0"/>
              <w:rPr>
                <w:rFonts w:hint="eastAsia" w:ascii="宋体" w:hAnsi="宋体" w:eastAsia="宋体" w:cs="宋体"/>
                <w:sz w:val="28"/>
                <w:szCs w:val="28"/>
              </w:rPr>
            </w:pPr>
            <w:bookmarkStart w:id="43" w:name="_Toc4478"/>
            <w:bookmarkStart w:id="44" w:name="_Toc1538"/>
            <w:r>
              <w:rPr>
                <w:rFonts w:hint="eastAsia" w:ascii="宋体" w:hAnsi="宋体" w:eastAsia="宋体" w:cs="宋体"/>
                <w:sz w:val="28"/>
                <w:szCs w:val="28"/>
              </w:rPr>
              <w:t>10.58%</w:t>
            </w:r>
            <w:bookmarkEnd w:id="43"/>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noWrap w:val="0"/>
            <w:vAlign w:val="center"/>
          </w:tcPr>
          <w:p>
            <w:pPr>
              <w:bidi w:val="0"/>
              <w:rPr>
                <w:rFonts w:hint="eastAsia" w:ascii="宋体" w:hAnsi="宋体" w:eastAsia="宋体" w:cs="宋体"/>
                <w:sz w:val="28"/>
                <w:szCs w:val="28"/>
              </w:rPr>
            </w:pPr>
            <w:bookmarkStart w:id="45" w:name="_Toc10460"/>
            <w:bookmarkStart w:id="46" w:name="_Toc6188"/>
            <w:r>
              <w:rPr>
                <w:rFonts w:hint="eastAsia" w:ascii="宋体" w:hAnsi="宋体" w:eastAsia="宋体" w:cs="宋体"/>
                <w:sz w:val="28"/>
                <w:szCs w:val="28"/>
              </w:rPr>
              <w:t>B采矿业</w:t>
            </w:r>
            <w:bookmarkEnd w:id="45"/>
            <w:bookmarkEnd w:id="46"/>
          </w:p>
        </w:tc>
        <w:tc>
          <w:tcPr>
            <w:tcW w:w="2621" w:type="dxa"/>
            <w:noWrap w:val="0"/>
            <w:vAlign w:val="center"/>
          </w:tcPr>
          <w:p>
            <w:pPr>
              <w:bidi w:val="0"/>
              <w:rPr>
                <w:rFonts w:hint="eastAsia" w:ascii="宋体" w:hAnsi="宋体" w:eastAsia="宋体" w:cs="宋体"/>
                <w:sz w:val="28"/>
                <w:szCs w:val="28"/>
              </w:rPr>
            </w:pPr>
            <w:bookmarkStart w:id="47" w:name="_Toc24770"/>
            <w:bookmarkStart w:id="48" w:name="_Toc19588"/>
            <w:r>
              <w:rPr>
                <w:rFonts w:hint="eastAsia" w:ascii="宋体" w:hAnsi="宋体" w:eastAsia="宋体" w:cs="宋体"/>
                <w:sz w:val="28"/>
                <w:szCs w:val="28"/>
              </w:rPr>
              <w:t>70.98</w:t>
            </w:r>
            <w:bookmarkEnd w:id="47"/>
            <w:bookmarkEnd w:id="48"/>
            <w:r>
              <w:rPr>
                <w:rFonts w:hint="eastAsia" w:ascii="宋体" w:hAnsi="宋体" w:eastAsia="宋体" w:cs="宋体"/>
                <w:sz w:val="28"/>
                <w:szCs w:val="28"/>
              </w:rPr>
              <w:t xml:space="preserve"> </w:t>
            </w:r>
          </w:p>
        </w:tc>
        <w:tc>
          <w:tcPr>
            <w:tcW w:w="2265" w:type="dxa"/>
            <w:noWrap w:val="0"/>
            <w:vAlign w:val="center"/>
          </w:tcPr>
          <w:p>
            <w:pPr>
              <w:bidi w:val="0"/>
              <w:rPr>
                <w:rFonts w:hint="eastAsia" w:ascii="宋体" w:hAnsi="宋体" w:eastAsia="宋体" w:cs="宋体"/>
                <w:sz w:val="28"/>
                <w:szCs w:val="28"/>
              </w:rPr>
            </w:pPr>
            <w:bookmarkStart w:id="49" w:name="_Toc4273"/>
            <w:bookmarkStart w:id="50" w:name="_Toc20021"/>
            <w:r>
              <w:rPr>
                <w:rFonts w:hint="eastAsia" w:ascii="宋体" w:hAnsi="宋体" w:eastAsia="宋体" w:cs="宋体"/>
                <w:sz w:val="28"/>
                <w:szCs w:val="28"/>
              </w:rPr>
              <w:t>1.30%</w:t>
            </w:r>
            <w:bookmarkEnd w:id="49"/>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6" w:type="dxa"/>
            <w:noWrap w:val="0"/>
            <w:vAlign w:val="center"/>
          </w:tcPr>
          <w:p>
            <w:pPr>
              <w:bidi w:val="0"/>
              <w:rPr>
                <w:rFonts w:hint="eastAsia" w:ascii="宋体" w:hAnsi="宋体" w:eastAsia="宋体" w:cs="宋体"/>
                <w:sz w:val="28"/>
                <w:szCs w:val="28"/>
              </w:rPr>
            </w:pPr>
            <w:bookmarkStart w:id="51" w:name="_Toc3839"/>
            <w:bookmarkStart w:id="52" w:name="_Toc17747"/>
            <w:r>
              <w:rPr>
                <w:rFonts w:hint="eastAsia" w:ascii="宋体" w:hAnsi="宋体" w:eastAsia="宋体" w:cs="宋体"/>
                <w:sz w:val="28"/>
                <w:szCs w:val="28"/>
              </w:rPr>
              <w:t>C制造业</w:t>
            </w:r>
            <w:bookmarkEnd w:id="51"/>
            <w:bookmarkEnd w:id="52"/>
          </w:p>
        </w:tc>
        <w:tc>
          <w:tcPr>
            <w:tcW w:w="2621" w:type="dxa"/>
            <w:noWrap w:val="0"/>
            <w:vAlign w:val="center"/>
          </w:tcPr>
          <w:p>
            <w:pPr>
              <w:bidi w:val="0"/>
              <w:rPr>
                <w:rFonts w:hint="eastAsia" w:ascii="宋体" w:hAnsi="宋体" w:eastAsia="宋体" w:cs="宋体"/>
                <w:sz w:val="28"/>
                <w:szCs w:val="28"/>
              </w:rPr>
            </w:pPr>
            <w:bookmarkStart w:id="53" w:name="_Toc10288"/>
            <w:bookmarkStart w:id="54" w:name="_Toc25819"/>
            <w:r>
              <w:rPr>
                <w:rFonts w:hint="eastAsia" w:ascii="宋体" w:hAnsi="宋体" w:eastAsia="宋体" w:cs="宋体"/>
                <w:sz w:val="28"/>
                <w:szCs w:val="28"/>
              </w:rPr>
              <w:t>1249.93</w:t>
            </w:r>
            <w:bookmarkEnd w:id="53"/>
            <w:bookmarkEnd w:id="54"/>
            <w:r>
              <w:rPr>
                <w:rFonts w:hint="eastAsia" w:ascii="宋体" w:hAnsi="宋体" w:eastAsia="宋体" w:cs="宋体"/>
                <w:sz w:val="28"/>
                <w:szCs w:val="28"/>
              </w:rPr>
              <w:t xml:space="preserve"> </w:t>
            </w:r>
          </w:p>
        </w:tc>
        <w:tc>
          <w:tcPr>
            <w:tcW w:w="2265" w:type="dxa"/>
            <w:noWrap w:val="0"/>
            <w:vAlign w:val="center"/>
          </w:tcPr>
          <w:p>
            <w:pPr>
              <w:bidi w:val="0"/>
              <w:rPr>
                <w:rFonts w:hint="eastAsia" w:ascii="宋体" w:hAnsi="宋体" w:eastAsia="宋体" w:cs="宋体"/>
                <w:sz w:val="28"/>
                <w:szCs w:val="28"/>
              </w:rPr>
            </w:pPr>
            <w:bookmarkStart w:id="55" w:name="_Toc9473"/>
            <w:bookmarkStart w:id="56" w:name="_Toc19278"/>
            <w:r>
              <w:rPr>
                <w:rFonts w:hint="eastAsia" w:ascii="宋体" w:hAnsi="宋体" w:eastAsia="宋体" w:cs="宋体"/>
                <w:sz w:val="28"/>
                <w:szCs w:val="28"/>
              </w:rPr>
              <w:t>22.88%</w:t>
            </w:r>
            <w:bookmarkEnd w:id="55"/>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noWrap w:val="0"/>
            <w:vAlign w:val="center"/>
          </w:tcPr>
          <w:p>
            <w:pPr>
              <w:bidi w:val="0"/>
              <w:rPr>
                <w:rFonts w:hint="eastAsia" w:ascii="宋体" w:hAnsi="宋体" w:eastAsia="宋体" w:cs="宋体"/>
                <w:sz w:val="28"/>
                <w:szCs w:val="28"/>
              </w:rPr>
            </w:pPr>
            <w:bookmarkStart w:id="57" w:name="_Toc3520"/>
            <w:bookmarkStart w:id="58" w:name="_Toc1875"/>
            <w:r>
              <w:rPr>
                <w:rFonts w:hint="eastAsia" w:ascii="宋体" w:hAnsi="宋体" w:eastAsia="宋体" w:cs="宋体"/>
                <w:sz w:val="28"/>
                <w:szCs w:val="28"/>
              </w:rPr>
              <w:t>D电力、热力、燃气及水生产和供应业</w:t>
            </w:r>
            <w:bookmarkEnd w:id="57"/>
            <w:bookmarkEnd w:id="58"/>
          </w:p>
        </w:tc>
        <w:tc>
          <w:tcPr>
            <w:tcW w:w="2621" w:type="dxa"/>
            <w:noWrap w:val="0"/>
            <w:vAlign w:val="center"/>
          </w:tcPr>
          <w:p>
            <w:pPr>
              <w:bidi w:val="0"/>
              <w:rPr>
                <w:rFonts w:hint="eastAsia" w:ascii="宋体" w:hAnsi="宋体" w:eastAsia="宋体" w:cs="宋体"/>
                <w:sz w:val="28"/>
                <w:szCs w:val="28"/>
              </w:rPr>
            </w:pPr>
            <w:bookmarkStart w:id="59" w:name="_Toc63"/>
            <w:bookmarkStart w:id="60" w:name="_Toc22075"/>
            <w:r>
              <w:rPr>
                <w:rFonts w:hint="eastAsia" w:ascii="宋体" w:hAnsi="宋体" w:eastAsia="宋体" w:cs="宋体"/>
                <w:sz w:val="28"/>
                <w:szCs w:val="28"/>
              </w:rPr>
              <w:t>98.68</w:t>
            </w:r>
            <w:bookmarkEnd w:id="59"/>
            <w:bookmarkEnd w:id="60"/>
            <w:r>
              <w:rPr>
                <w:rFonts w:hint="eastAsia" w:ascii="宋体" w:hAnsi="宋体" w:eastAsia="宋体" w:cs="宋体"/>
                <w:sz w:val="28"/>
                <w:szCs w:val="28"/>
              </w:rPr>
              <w:t xml:space="preserve"> </w:t>
            </w:r>
          </w:p>
        </w:tc>
        <w:tc>
          <w:tcPr>
            <w:tcW w:w="2265" w:type="dxa"/>
            <w:noWrap w:val="0"/>
            <w:vAlign w:val="center"/>
          </w:tcPr>
          <w:p>
            <w:pPr>
              <w:bidi w:val="0"/>
              <w:rPr>
                <w:rFonts w:hint="eastAsia" w:ascii="宋体" w:hAnsi="宋体" w:eastAsia="宋体" w:cs="宋体"/>
                <w:sz w:val="28"/>
                <w:szCs w:val="28"/>
              </w:rPr>
            </w:pPr>
            <w:bookmarkStart w:id="61" w:name="_Toc14792"/>
            <w:bookmarkStart w:id="62" w:name="_Toc30534"/>
            <w:r>
              <w:rPr>
                <w:rFonts w:hint="eastAsia" w:ascii="宋体" w:hAnsi="宋体" w:eastAsia="宋体" w:cs="宋体"/>
                <w:sz w:val="28"/>
                <w:szCs w:val="28"/>
              </w:rPr>
              <w:t>1.81%</w:t>
            </w:r>
            <w:bookmarkEnd w:id="61"/>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noWrap w:val="0"/>
            <w:vAlign w:val="center"/>
          </w:tcPr>
          <w:p>
            <w:pPr>
              <w:bidi w:val="0"/>
              <w:rPr>
                <w:rFonts w:hint="eastAsia" w:ascii="宋体" w:hAnsi="宋体" w:eastAsia="宋体" w:cs="宋体"/>
                <w:sz w:val="28"/>
                <w:szCs w:val="28"/>
              </w:rPr>
            </w:pPr>
            <w:bookmarkStart w:id="63" w:name="_Toc26749"/>
            <w:bookmarkStart w:id="64" w:name="_Toc21205"/>
            <w:r>
              <w:rPr>
                <w:rFonts w:hint="eastAsia" w:ascii="宋体" w:hAnsi="宋体" w:eastAsia="宋体" w:cs="宋体"/>
                <w:sz w:val="28"/>
                <w:szCs w:val="28"/>
              </w:rPr>
              <w:t>G交通运输、仓储和邮政业</w:t>
            </w:r>
            <w:bookmarkEnd w:id="63"/>
            <w:bookmarkEnd w:id="64"/>
          </w:p>
        </w:tc>
        <w:tc>
          <w:tcPr>
            <w:tcW w:w="2621" w:type="dxa"/>
            <w:noWrap w:val="0"/>
            <w:vAlign w:val="center"/>
          </w:tcPr>
          <w:p>
            <w:pPr>
              <w:bidi w:val="0"/>
              <w:rPr>
                <w:rFonts w:hint="eastAsia" w:ascii="宋体" w:hAnsi="宋体" w:eastAsia="宋体" w:cs="宋体"/>
                <w:sz w:val="28"/>
                <w:szCs w:val="28"/>
              </w:rPr>
            </w:pPr>
            <w:bookmarkStart w:id="65" w:name="_Toc3202"/>
            <w:bookmarkStart w:id="66" w:name="_Toc24286"/>
            <w:r>
              <w:rPr>
                <w:rFonts w:hint="eastAsia" w:ascii="宋体" w:hAnsi="宋体" w:eastAsia="宋体" w:cs="宋体"/>
                <w:sz w:val="28"/>
                <w:szCs w:val="28"/>
              </w:rPr>
              <w:t>2814.35</w:t>
            </w:r>
            <w:bookmarkEnd w:id="65"/>
            <w:bookmarkEnd w:id="66"/>
            <w:r>
              <w:rPr>
                <w:rFonts w:hint="eastAsia" w:ascii="宋体" w:hAnsi="宋体" w:eastAsia="宋体" w:cs="宋体"/>
                <w:sz w:val="28"/>
                <w:szCs w:val="28"/>
              </w:rPr>
              <w:t xml:space="preserve"> </w:t>
            </w:r>
          </w:p>
        </w:tc>
        <w:tc>
          <w:tcPr>
            <w:tcW w:w="2265" w:type="dxa"/>
            <w:noWrap w:val="0"/>
            <w:vAlign w:val="center"/>
          </w:tcPr>
          <w:p>
            <w:pPr>
              <w:bidi w:val="0"/>
              <w:rPr>
                <w:rFonts w:hint="eastAsia" w:ascii="宋体" w:hAnsi="宋体" w:eastAsia="宋体" w:cs="宋体"/>
                <w:sz w:val="28"/>
                <w:szCs w:val="28"/>
              </w:rPr>
            </w:pPr>
            <w:bookmarkStart w:id="67" w:name="_Toc30431"/>
            <w:bookmarkStart w:id="68" w:name="_Toc8489"/>
            <w:r>
              <w:rPr>
                <w:rFonts w:hint="eastAsia" w:ascii="宋体" w:hAnsi="宋体" w:eastAsia="宋体" w:cs="宋体"/>
                <w:sz w:val="28"/>
                <w:szCs w:val="28"/>
              </w:rPr>
              <w:t>51.52%</w:t>
            </w:r>
            <w:bookmarkEnd w:id="67"/>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noWrap w:val="0"/>
            <w:vAlign w:val="center"/>
          </w:tcPr>
          <w:p>
            <w:pPr>
              <w:bidi w:val="0"/>
              <w:rPr>
                <w:rFonts w:hint="eastAsia" w:ascii="宋体" w:hAnsi="宋体" w:eastAsia="宋体" w:cs="宋体"/>
                <w:sz w:val="28"/>
                <w:szCs w:val="28"/>
              </w:rPr>
            </w:pPr>
            <w:bookmarkStart w:id="69" w:name="_Toc29156"/>
            <w:bookmarkStart w:id="70" w:name="_Toc28062"/>
            <w:r>
              <w:rPr>
                <w:rFonts w:hint="eastAsia" w:ascii="宋体" w:hAnsi="宋体" w:eastAsia="宋体" w:cs="宋体"/>
                <w:sz w:val="28"/>
                <w:szCs w:val="28"/>
              </w:rPr>
              <w:t>K房地产业</w:t>
            </w:r>
            <w:bookmarkEnd w:id="69"/>
            <w:bookmarkEnd w:id="70"/>
          </w:p>
        </w:tc>
        <w:tc>
          <w:tcPr>
            <w:tcW w:w="2621" w:type="dxa"/>
            <w:noWrap w:val="0"/>
            <w:vAlign w:val="center"/>
          </w:tcPr>
          <w:p>
            <w:pPr>
              <w:bidi w:val="0"/>
              <w:rPr>
                <w:rFonts w:hint="eastAsia" w:ascii="宋体" w:hAnsi="宋体" w:eastAsia="宋体" w:cs="宋体"/>
                <w:sz w:val="28"/>
                <w:szCs w:val="28"/>
              </w:rPr>
            </w:pPr>
            <w:bookmarkStart w:id="71" w:name="_Toc23147"/>
            <w:bookmarkStart w:id="72" w:name="_Toc15027"/>
            <w:r>
              <w:rPr>
                <w:rFonts w:hint="eastAsia" w:ascii="宋体" w:hAnsi="宋体" w:eastAsia="宋体" w:cs="宋体"/>
                <w:sz w:val="28"/>
                <w:szCs w:val="28"/>
              </w:rPr>
              <w:t>174.13</w:t>
            </w:r>
            <w:bookmarkEnd w:id="71"/>
            <w:bookmarkEnd w:id="72"/>
            <w:r>
              <w:rPr>
                <w:rFonts w:hint="eastAsia" w:ascii="宋体" w:hAnsi="宋体" w:eastAsia="宋体" w:cs="宋体"/>
                <w:sz w:val="28"/>
                <w:szCs w:val="28"/>
              </w:rPr>
              <w:t xml:space="preserve"> </w:t>
            </w:r>
          </w:p>
        </w:tc>
        <w:tc>
          <w:tcPr>
            <w:tcW w:w="2265" w:type="dxa"/>
            <w:noWrap w:val="0"/>
            <w:vAlign w:val="center"/>
          </w:tcPr>
          <w:p>
            <w:pPr>
              <w:bidi w:val="0"/>
              <w:rPr>
                <w:rFonts w:hint="eastAsia" w:ascii="宋体" w:hAnsi="宋体" w:eastAsia="宋体" w:cs="宋体"/>
                <w:sz w:val="28"/>
                <w:szCs w:val="28"/>
              </w:rPr>
            </w:pPr>
            <w:bookmarkStart w:id="73" w:name="_Toc27653"/>
            <w:bookmarkStart w:id="74" w:name="_Toc1795"/>
            <w:r>
              <w:rPr>
                <w:rFonts w:hint="eastAsia" w:ascii="宋体" w:hAnsi="宋体" w:eastAsia="宋体" w:cs="宋体"/>
                <w:sz w:val="28"/>
                <w:szCs w:val="28"/>
              </w:rPr>
              <w:t>3.19%</w:t>
            </w:r>
            <w:bookmarkEnd w:id="73"/>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6" w:type="dxa"/>
            <w:noWrap w:val="0"/>
            <w:vAlign w:val="center"/>
          </w:tcPr>
          <w:p>
            <w:pPr>
              <w:bidi w:val="0"/>
              <w:rPr>
                <w:rFonts w:hint="eastAsia" w:ascii="宋体" w:hAnsi="宋体" w:eastAsia="宋体" w:cs="宋体"/>
                <w:sz w:val="28"/>
                <w:szCs w:val="28"/>
              </w:rPr>
            </w:pPr>
            <w:bookmarkStart w:id="75" w:name="_Toc3543"/>
            <w:bookmarkStart w:id="76" w:name="_Toc26264"/>
            <w:r>
              <w:rPr>
                <w:rFonts w:hint="eastAsia" w:ascii="宋体" w:hAnsi="宋体" w:eastAsia="宋体" w:cs="宋体"/>
                <w:sz w:val="28"/>
                <w:szCs w:val="28"/>
              </w:rPr>
              <w:t>L租赁和商务服务业</w:t>
            </w:r>
            <w:bookmarkEnd w:id="75"/>
            <w:bookmarkEnd w:id="76"/>
          </w:p>
        </w:tc>
        <w:tc>
          <w:tcPr>
            <w:tcW w:w="2621" w:type="dxa"/>
            <w:noWrap w:val="0"/>
            <w:vAlign w:val="center"/>
          </w:tcPr>
          <w:p>
            <w:pPr>
              <w:bidi w:val="0"/>
              <w:rPr>
                <w:rFonts w:hint="eastAsia" w:ascii="宋体" w:hAnsi="宋体" w:eastAsia="宋体" w:cs="宋体"/>
                <w:sz w:val="28"/>
                <w:szCs w:val="28"/>
              </w:rPr>
            </w:pPr>
            <w:bookmarkStart w:id="77" w:name="_Toc7352"/>
            <w:bookmarkStart w:id="78" w:name="_Toc15346"/>
            <w:r>
              <w:rPr>
                <w:rFonts w:hint="eastAsia" w:ascii="宋体" w:hAnsi="宋体" w:eastAsia="宋体" w:cs="宋体"/>
                <w:sz w:val="28"/>
                <w:szCs w:val="28"/>
              </w:rPr>
              <w:t>260.17</w:t>
            </w:r>
            <w:bookmarkEnd w:id="77"/>
            <w:bookmarkEnd w:id="78"/>
            <w:r>
              <w:rPr>
                <w:rFonts w:hint="eastAsia" w:ascii="宋体" w:hAnsi="宋体" w:eastAsia="宋体" w:cs="宋体"/>
                <w:sz w:val="28"/>
                <w:szCs w:val="28"/>
              </w:rPr>
              <w:t xml:space="preserve"> </w:t>
            </w:r>
          </w:p>
        </w:tc>
        <w:tc>
          <w:tcPr>
            <w:tcW w:w="2265" w:type="dxa"/>
            <w:noWrap w:val="0"/>
            <w:vAlign w:val="center"/>
          </w:tcPr>
          <w:p>
            <w:pPr>
              <w:bidi w:val="0"/>
              <w:rPr>
                <w:rFonts w:hint="eastAsia" w:ascii="宋体" w:hAnsi="宋体" w:eastAsia="宋体" w:cs="宋体"/>
                <w:sz w:val="28"/>
                <w:szCs w:val="28"/>
              </w:rPr>
            </w:pPr>
            <w:bookmarkStart w:id="79" w:name="_Toc28825"/>
            <w:bookmarkStart w:id="80" w:name="_Toc21614"/>
            <w:r>
              <w:rPr>
                <w:rFonts w:hint="eastAsia" w:ascii="宋体" w:hAnsi="宋体" w:eastAsia="宋体" w:cs="宋体"/>
                <w:sz w:val="28"/>
                <w:szCs w:val="28"/>
              </w:rPr>
              <w:t>4.76%</w:t>
            </w:r>
            <w:bookmarkEnd w:id="79"/>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noWrap w:val="0"/>
            <w:vAlign w:val="center"/>
          </w:tcPr>
          <w:p>
            <w:pPr>
              <w:bidi w:val="0"/>
              <w:rPr>
                <w:rFonts w:hint="eastAsia" w:ascii="宋体" w:hAnsi="宋体" w:eastAsia="宋体" w:cs="宋体"/>
                <w:sz w:val="28"/>
                <w:szCs w:val="28"/>
              </w:rPr>
            </w:pPr>
            <w:bookmarkStart w:id="81" w:name="_Toc26796"/>
            <w:bookmarkStart w:id="82" w:name="_Toc21758"/>
            <w:r>
              <w:rPr>
                <w:rFonts w:hint="eastAsia" w:ascii="宋体" w:hAnsi="宋体" w:eastAsia="宋体" w:cs="宋体"/>
                <w:sz w:val="28"/>
                <w:szCs w:val="28"/>
              </w:rPr>
              <w:t>O居民服务、修理和其他服务业</w:t>
            </w:r>
            <w:bookmarkEnd w:id="81"/>
            <w:bookmarkEnd w:id="82"/>
          </w:p>
        </w:tc>
        <w:tc>
          <w:tcPr>
            <w:tcW w:w="2621" w:type="dxa"/>
            <w:noWrap w:val="0"/>
            <w:vAlign w:val="center"/>
          </w:tcPr>
          <w:p>
            <w:pPr>
              <w:bidi w:val="0"/>
              <w:rPr>
                <w:rFonts w:hint="eastAsia" w:ascii="宋体" w:hAnsi="宋体" w:eastAsia="宋体" w:cs="宋体"/>
                <w:sz w:val="28"/>
                <w:szCs w:val="28"/>
              </w:rPr>
            </w:pPr>
            <w:bookmarkStart w:id="83" w:name="_Toc1418"/>
            <w:bookmarkStart w:id="84" w:name="_Toc31335"/>
            <w:r>
              <w:rPr>
                <w:rFonts w:hint="eastAsia" w:ascii="宋体" w:hAnsi="宋体" w:eastAsia="宋体" w:cs="宋体"/>
                <w:sz w:val="28"/>
                <w:szCs w:val="28"/>
              </w:rPr>
              <w:t>0.19</w:t>
            </w:r>
            <w:bookmarkEnd w:id="83"/>
            <w:bookmarkEnd w:id="84"/>
            <w:r>
              <w:rPr>
                <w:rFonts w:hint="eastAsia" w:ascii="宋体" w:hAnsi="宋体" w:eastAsia="宋体" w:cs="宋体"/>
                <w:sz w:val="28"/>
                <w:szCs w:val="28"/>
              </w:rPr>
              <w:t xml:space="preserve"> </w:t>
            </w:r>
          </w:p>
        </w:tc>
        <w:tc>
          <w:tcPr>
            <w:tcW w:w="2265" w:type="dxa"/>
            <w:noWrap w:val="0"/>
            <w:vAlign w:val="center"/>
          </w:tcPr>
          <w:p>
            <w:pPr>
              <w:bidi w:val="0"/>
              <w:rPr>
                <w:rFonts w:hint="eastAsia" w:ascii="宋体" w:hAnsi="宋体" w:eastAsia="宋体" w:cs="宋体"/>
                <w:sz w:val="28"/>
                <w:szCs w:val="28"/>
              </w:rPr>
            </w:pPr>
            <w:bookmarkStart w:id="85" w:name="_Toc31308"/>
            <w:bookmarkStart w:id="86" w:name="_Toc2585"/>
            <w:r>
              <w:rPr>
                <w:rFonts w:hint="eastAsia" w:ascii="宋体" w:hAnsi="宋体" w:eastAsia="宋体" w:cs="宋体"/>
                <w:sz w:val="28"/>
                <w:szCs w:val="28"/>
              </w:rPr>
              <w:t>0.00%</w:t>
            </w:r>
            <w:bookmarkEnd w:id="85"/>
            <w:bookmarkEnd w:id="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noWrap w:val="0"/>
            <w:vAlign w:val="center"/>
          </w:tcPr>
          <w:p>
            <w:pPr>
              <w:bidi w:val="0"/>
              <w:rPr>
                <w:rFonts w:hint="eastAsia" w:ascii="宋体" w:hAnsi="宋体" w:eastAsia="宋体" w:cs="宋体"/>
                <w:sz w:val="28"/>
                <w:szCs w:val="28"/>
              </w:rPr>
            </w:pPr>
            <w:bookmarkStart w:id="87" w:name="_Toc14830"/>
            <w:bookmarkStart w:id="88" w:name="_Toc27556"/>
            <w:r>
              <w:rPr>
                <w:rFonts w:hint="eastAsia" w:ascii="宋体" w:hAnsi="宋体" w:eastAsia="宋体" w:cs="宋体"/>
                <w:sz w:val="28"/>
                <w:szCs w:val="28"/>
              </w:rPr>
              <w:t>P教育</w:t>
            </w:r>
            <w:bookmarkEnd w:id="87"/>
            <w:bookmarkEnd w:id="88"/>
          </w:p>
        </w:tc>
        <w:tc>
          <w:tcPr>
            <w:tcW w:w="2621" w:type="dxa"/>
            <w:noWrap w:val="0"/>
            <w:vAlign w:val="center"/>
          </w:tcPr>
          <w:p>
            <w:pPr>
              <w:bidi w:val="0"/>
              <w:rPr>
                <w:rFonts w:hint="eastAsia" w:ascii="宋体" w:hAnsi="宋体" w:eastAsia="宋体" w:cs="宋体"/>
                <w:sz w:val="28"/>
                <w:szCs w:val="28"/>
              </w:rPr>
            </w:pPr>
            <w:bookmarkStart w:id="89" w:name="_Toc19975"/>
            <w:bookmarkStart w:id="90" w:name="_Toc14158"/>
            <w:r>
              <w:rPr>
                <w:rFonts w:hint="eastAsia" w:ascii="宋体" w:hAnsi="宋体" w:eastAsia="宋体" w:cs="宋体"/>
                <w:sz w:val="28"/>
                <w:szCs w:val="28"/>
              </w:rPr>
              <w:t>27.10</w:t>
            </w:r>
            <w:bookmarkEnd w:id="89"/>
            <w:bookmarkEnd w:id="90"/>
            <w:r>
              <w:rPr>
                <w:rFonts w:hint="eastAsia" w:ascii="宋体" w:hAnsi="宋体" w:eastAsia="宋体" w:cs="宋体"/>
                <w:sz w:val="28"/>
                <w:szCs w:val="28"/>
              </w:rPr>
              <w:t xml:space="preserve"> </w:t>
            </w:r>
          </w:p>
        </w:tc>
        <w:tc>
          <w:tcPr>
            <w:tcW w:w="2265" w:type="dxa"/>
            <w:noWrap w:val="0"/>
            <w:vAlign w:val="center"/>
          </w:tcPr>
          <w:p>
            <w:pPr>
              <w:bidi w:val="0"/>
              <w:rPr>
                <w:rFonts w:hint="eastAsia" w:ascii="宋体" w:hAnsi="宋体" w:eastAsia="宋体" w:cs="宋体"/>
                <w:sz w:val="28"/>
                <w:szCs w:val="28"/>
              </w:rPr>
            </w:pPr>
            <w:bookmarkStart w:id="91" w:name="_Toc2460"/>
            <w:bookmarkStart w:id="92" w:name="_Toc9704"/>
            <w:r>
              <w:rPr>
                <w:rFonts w:hint="eastAsia" w:ascii="宋体" w:hAnsi="宋体" w:eastAsia="宋体" w:cs="宋体"/>
                <w:sz w:val="28"/>
                <w:szCs w:val="28"/>
              </w:rPr>
              <w:t>0.50%</w:t>
            </w:r>
            <w:bookmarkEnd w:id="91"/>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noWrap w:val="0"/>
            <w:vAlign w:val="center"/>
          </w:tcPr>
          <w:p>
            <w:pPr>
              <w:bidi w:val="0"/>
              <w:rPr>
                <w:rFonts w:hint="eastAsia" w:ascii="宋体" w:hAnsi="宋体" w:eastAsia="宋体" w:cs="宋体"/>
                <w:sz w:val="28"/>
                <w:szCs w:val="28"/>
              </w:rPr>
            </w:pPr>
            <w:bookmarkStart w:id="93" w:name="_Toc31285"/>
            <w:bookmarkStart w:id="94" w:name="_Toc8253"/>
            <w:r>
              <w:rPr>
                <w:rFonts w:hint="eastAsia" w:ascii="宋体" w:hAnsi="宋体" w:eastAsia="宋体" w:cs="宋体"/>
                <w:sz w:val="28"/>
                <w:szCs w:val="28"/>
              </w:rPr>
              <w:t>Q卫生和社会工作</w:t>
            </w:r>
            <w:bookmarkEnd w:id="93"/>
            <w:bookmarkEnd w:id="94"/>
          </w:p>
        </w:tc>
        <w:tc>
          <w:tcPr>
            <w:tcW w:w="2621" w:type="dxa"/>
            <w:noWrap w:val="0"/>
            <w:vAlign w:val="center"/>
          </w:tcPr>
          <w:p>
            <w:pPr>
              <w:bidi w:val="0"/>
              <w:rPr>
                <w:rFonts w:hint="eastAsia" w:ascii="宋体" w:hAnsi="宋体" w:eastAsia="宋体" w:cs="宋体"/>
                <w:sz w:val="28"/>
                <w:szCs w:val="28"/>
              </w:rPr>
            </w:pPr>
            <w:bookmarkStart w:id="95" w:name="_Toc27499"/>
            <w:bookmarkStart w:id="96" w:name="_Toc24629"/>
            <w:r>
              <w:rPr>
                <w:rFonts w:hint="eastAsia" w:ascii="宋体" w:hAnsi="宋体" w:eastAsia="宋体" w:cs="宋体"/>
                <w:sz w:val="28"/>
                <w:szCs w:val="28"/>
              </w:rPr>
              <w:t>28.55</w:t>
            </w:r>
            <w:bookmarkEnd w:id="95"/>
            <w:bookmarkEnd w:id="96"/>
            <w:r>
              <w:rPr>
                <w:rFonts w:hint="eastAsia" w:ascii="宋体" w:hAnsi="宋体" w:eastAsia="宋体" w:cs="宋体"/>
                <w:sz w:val="28"/>
                <w:szCs w:val="28"/>
              </w:rPr>
              <w:t xml:space="preserve"> </w:t>
            </w:r>
          </w:p>
        </w:tc>
        <w:tc>
          <w:tcPr>
            <w:tcW w:w="2265" w:type="dxa"/>
            <w:noWrap w:val="0"/>
            <w:vAlign w:val="center"/>
          </w:tcPr>
          <w:p>
            <w:pPr>
              <w:bidi w:val="0"/>
              <w:rPr>
                <w:rFonts w:hint="eastAsia" w:ascii="宋体" w:hAnsi="宋体" w:eastAsia="宋体" w:cs="宋体"/>
                <w:sz w:val="28"/>
                <w:szCs w:val="28"/>
              </w:rPr>
            </w:pPr>
            <w:bookmarkStart w:id="97" w:name="_Toc24945"/>
            <w:bookmarkStart w:id="98" w:name="_Toc30109"/>
            <w:r>
              <w:rPr>
                <w:rFonts w:hint="eastAsia" w:ascii="宋体" w:hAnsi="宋体" w:eastAsia="宋体" w:cs="宋体"/>
                <w:sz w:val="28"/>
                <w:szCs w:val="28"/>
              </w:rPr>
              <w:t>0.52%</w:t>
            </w:r>
            <w:bookmarkEnd w:id="97"/>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6" w:type="dxa"/>
            <w:noWrap w:val="0"/>
            <w:vAlign w:val="center"/>
          </w:tcPr>
          <w:p>
            <w:pPr>
              <w:bidi w:val="0"/>
              <w:rPr>
                <w:rFonts w:hint="eastAsia" w:ascii="宋体" w:hAnsi="宋体" w:eastAsia="宋体" w:cs="宋体"/>
                <w:sz w:val="28"/>
                <w:szCs w:val="28"/>
              </w:rPr>
            </w:pPr>
            <w:bookmarkStart w:id="99" w:name="_Toc28724"/>
            <w:bookmarkStart w:id="100" w:name="_Toc2308"/>
            <w:r>
              <w:rPr>
                <w:rFonts w:hint="eastAsia" w:ascii="宋体" w:hAnsi="宋体" w:eastAsia="宋体" w:cs="宋体"/>
                <w:sz w:val="28"/>
                <w:szCs w:val="28"/>
              </w:rPr>
              <w:t>R文化、体育和娱乐业</w:t>
            </w:r>
            <w:bookmarkEnd w:id="99"/>
            <w:bookmarkEnd w:id="100"/>
          </w:p>
        </w:tc>
        <w:tc>
          <w:tcPr>
            <w:tcW w:w="2621" w:type="dxa"/>
            <w:noWrap w:val="0"/>
            <w:vAlign w:val="center"/>
          </w:tcPr>
          <w:p>
            <w:pPr>
              <w:bidi w:val="0"/>
              <w:rPr>
                <w:rFonts w:hint="eastAsia" w:ascii="宋体" w:hAnsi="宋体" w:eastAsia="宋体" w:cs="宋体"/>
                <w:sz w:val="28"/>
                <w:szCs w:val="28"/>
              </w:rPr>
            </w:pPr>
            <w:bookmarkStart w:id="101" w:name="_Toc6472"/>
            <w:bookmarkStart w:id="102" w:name="_Toc18421"/>
            <w:r>
              <w:rPr>
                <w:rFonts w:hint="eastAsia" w:ascii="宋体" w:hAnsi="宋体" w:eastAsia="宋体" w:cs="宋体"/>
                <w:sz w:val="28"/>
                <w:szCs w:val="28"/>
              </w:rPr>
              <w:t>160.58</w:t>
            </w:r>
            <w:bookmarkEnd w:id="101"/>
            <w:bookmarkEnd w:id="102"/>
            <w:r>
              <w:rPr>
                <w:rFonts w:hint="eastAsia" w:ascii="宋体" w:hAnsi="宋体" w:eastAsia="宋体" w:cs="宋体"/>
                <w:sz w:val="28"/>
                <w:szCs w:val="28"/>
              </w:rPr>
              <w:t xml:space="preserve"> </w:t>
            </w:r>
          </w:p>
        </w:tc>
        <w:tc>
          <w:tcPr>
            <w:tcW w:w="2265" w:type="dxa"/>
            <w:noWrap w:val="0"/>
            <w:vAlign w:val="center"/>
          </w:tcPr>
          <w:p>
            <w:pPr>
              <w:bidi w:val="0"/>
              <w:rPr>
                <w:rFonts w:hint="eastAsia" w:ascii="宋体" w:hAnsi="宋体" w:eastAsia="宋体" w:cs="宋体"/>
                <w:sz w:val="28"/>
                <w:szCs w:val="28"/>
              </w:rPr>
            </w:pPr>
            <w:bookmarkStart w:id="103" w:name="_Toc10179"/>
            <w:bookmarkStart w:id="104" w:name="_Toc16970"/>
            <w:r>
              <w:rPr>
                <w:rFonts w:hint="eastAsia" w:ascii="宋体" w:hAnsi="宋体" w:eastAsia="宋体" w:cs="宋体"/>
                <w:sz w:val="28"/>
                <w:szCs w:val="28"/>
              </w:rPr>
              <w:t>2.94%</w:t>
            </w:r>
            <w:bookmarkEnd w:id="103"/>
            <w:bookmarkEnd w:id="1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6" w:type="dxa"/>
            <w:noWrap w:val="0"/>
            <w:vAlign w:val="center"/>
          </w:tcPr>
          <w:p>
            <w:pPr>
              <w:bidi w:val="0"/>
              <w:rPr>
                <w:rFonts w:hint="eastAsia" w:ascii="宋体" w:hAnsi="宋体" w:eastAsia="宋体" w:cs="宋体"/>
                <w:sz w:val="28"/>
                <w:szCs w:val="28"/>
              </w:rPr>
            </w:pPr>
            <w:bookmarkStart w:id="105" w:name="_Toc25967"/>
            <w:bookmarkStart w:id="106" w:name="_Toc8809"/>
            <w:r>
              <w:rPr>
                <w:rFonts w:hint="eastAsia" w:ascii="宋体" w:hAnsi="宋体" w:eastAsia="宋体" w:cs="宋体"/>
                <w:sz w:val="28"/>
                <w:szCs w:val="28"/>
              </w:rPr>
              <w:t>总计</w:t>
            </w:r>
            <w:bookmarkEnd w:id="105"/>
            <w:bookmarkEnd w:id="106"/>
          </w:p>
        </w:tc>
        <w:tc>
          <w:tcPr>
            <w:tcW w:w="2621" w:type="dxa"/>
            <w:noWrap w:val="0"/>
            <w:vAlign w:val="center"/>
          </w:tcPr>
          <w:p>
            <w:pPr>
              <w:bidi w:val="0"/>
              <w:rPr>
                <w:rFonts w:hint="eastAsia" w:ascii="宋体" w:hAnsi="宋体" w:eastAsia="宋体" w:cs="宋体"/>
                <w:sz w:val="28"/>
                <w:szCs w:val="28"/>
              </w:rPr>
            </w:pPr>
            <w:bookmarkStart w:id="107" w:name="_Toc16577"/>
            <w:bookmarkStart w:id="108" w:name="_Toc21602"/>
            <w:r>
              <w:rPr>
                <w:rFonts w:hint="eastAsia" w:ascii="宋体" w:hAnsi="宋体" w:eastAsia="宋体" w:cs="宋体"/>
                <w:sz w:val="28"/>
                <w:szCs w:val="28"/>
              </w:rPr>
              <w:t>5462.88</w:t>
            </w:r>
            <w:bookmarkEnd w:id="107"/>
            <w:bookmarkEnd w:id="108"/>
            <w:r>
              <w:rPr>
                <w:rFonts w:hint="eastAsia" w:ascii="宋体" w:hAnsi="宋体" w:eastAsia="宋体" w:cs="宋体"/>
                <w:sz w:val="28"/>
                <w:szCs w:val="28"/>
              </w:rPr>
              <w:t xml:space="preserve"> </w:t>
            </w:r>
          </w:p>
        </w:tc>
        <w:tc>
          <w:tcPr>
            <w:tcW w:w="2265" w:type="dxa"/>
            <w:noWrap w:val="0"/>
            <w:vAlign w:val="center"/>
          </w:tcPr>
          <w:p>
            <w:pPr>
              <w:bidi w:val="0"/>
              <w:rPr>
                <w:rFonts w:hint="eastAsia" w:ascii="宋体" w:hAnsi="宋体" w:eastAsia="宋体" w:cs="宋体"/>
                <w:sz w:val="28"/>
                <w:szCs w:val="28"/>
              </w:rPr>
            </w:pPr>
            <w:bookmarkStart w:id="109" w:name="_Toc23594"/>
            <w:bookmarkStart w:id="110" w:name="_Toc12026"/>
            <w:r>
              <w:rPr>
                <w:rFonts w:hint="eastAsia" w:ascii="宋体" w:hAnsi="宋体" w:eastAsia="宋体" w:cs="宋体"/>
                <w:sz w:val="28"/>
                <w:szCs w:val="28"/>
              </w:rPr>
              <w:t>100.00%</w:t>
            </w:r>
            <w:bookmarkEnd w:id="109"/>
            <w:bookmarkEnd w:id="110"/>
          </w:p>
        </w:tc>
      </w:tr>
    </w:tbl>
    <w:p>
      <w:pPr>
        <w:bidi w:val="0"/>
        <w:rPr>
          <w:rFonts w:hint="eastAsia"/>
        </w:rPr>
      </w:pPr>
      <w:bookmarkStart w:id="111" w:name="_Toc8557"/>
      <w:bookmarkStart w:id="112" w:name="_Toc14454"/>
      <w:r>
        <w:rPr>
          <w:rFonts w:hint="eastAsia"/>
        </w:rPr>
        <w:t>注：</w:t>
      </w:r>
      <w:bookmarkEnd w:id="111"/>
      <w:bookmarkEnd w:id="112"/>
    </w:p>
    <w:p>
      <w:pPr>
        <w:bidi w:val="0"/>
        <w:rPr>
          <w:rFonts w:hint="eastAsia"/>
        </w:rPr>
      </w:pPr>
      <w:r>
        <w:rPr>
          <w:rFonts w:hint="eastAsia"/>
        </w:rPr>
        <w:t>数据来源：主要企业/项目碳排放数据基于客户提供的碳排放数据或能耗数据计算得出，对于部分贷款企业/项目数据如客户无法提供，则主要根据企业/项目投入量/产出量等参数与同行业企业/项目类比得到；</w:t>
      </w:r>
    </w:p>
    <w:p>
      <w:pPr>
        <w:bidi w:val="0"/>
        <w:rPr>
          <w:rFonts w:hint="eastAsia"/>
        </w:rPr>
      </w:pPr>
      <w:r>
        <w:rPr>
          <w:rFonts w:hint="eastAsia"/>
        </w:rPr>
        <w:t>碳排放核算方法主要依据：《金融机构碳核算技术指南（试行）》和其规范性引用文件；</w:t>
      </w:r>
    </w:p>
    <w:p>
      <w:pPr>
        <w:bidi w:val="0"/>
        <w:rPr>
          <w:rFonts w:hint="eastAsia"/>
        </w:rPr>
      </w:pPr>
      <w:r>
        <w:rPr>
          <w:rFonts w:hint="eastAsia"/>
        </w:rPr>
        <w:t xml:space="preserve">项目融资业务：报告期内，运行时间不足30天的项目碳排放未纳入核算； </w:t>
      </w:r>
    </w:p>
    <w:p>
      <w:pPr>
        <w:bidi w:val="0"/>
        <w:rPr>
          <w:rFonts w:hint="eastAsia"/>
        </w:rPr>
      </w:pPr>
      <w:r>
        <w:rPr>
          <w:rFonts w:hint="eastAsia"/>
        </w:rPr>
        <w:t>非项目融资业务：存续期不足30天或月均融资额少于500万元的融资主体的碳排放未纳入核算。仅统计大型和中型企业的碳排放；</w:t>
      </w:r>
    </w:p>
    <w:p>
      <w:pPr>
        <w:bidi w:val="0"/>
        <w:rPr>
          <w:rFonts w:hint="eastAsia"/>
        </w:rPr>
      </w:pPr>
      <w:r>
        <w:rPr>
          <w:rFonts w:hint="eastAsia"/>
        </w:rPr>
        <w:t>我社不存在境外项目和境外融资主体。</w:t>
      </w:r>
    </w:p>
    <w:p>
      <w:pPr>
        <w:bidi w:val="0"/>
        <w:jc w:val="center"/>
        <w:rPr>
          <w:rFonts w:hint="eastAsia" w:ascii="仿宋" w:hAnsi="仿宋" w:eastAsia="仿宋" w:cs="仿宋"/>
          <w:sz w:val="32"/>
          <w:szCs w:val="32"/>
        </w:rPr>
      </w:pPr>
      <w:bookmarkStart w:id="113" w:name="_Toc23235"/>
      <w:bookmarkStart w:id="114" w:name="_Toc24953"/>
      <w:r>
        <w:rPr>
          <w:rFonts w:hint="eastAsia" w:ascii="仿宋" w:hAnsi="仿宋" w:eastAsia="仿宋" w:cs="仿宋"/>
          <w:sz w:val="32"/>
          <w:szCs w:val="32"/>
        </w:rPr>
        <w:t>报告期投融资活动产生的碳排放量汇总表</w:t>
      </w:r>
      <w:bookmarkEnd w:id="113"/>
      <w:bookmarkEnd w:id="114"/>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213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noWrap w:val="0"/>
            <w:vAlign w:val="center"/>
          </w:tcPr>
          <w:p>
            <w:pPr>
              <w:bidi w:val="0"/>
              <w:rPr>
                <w:rFonts w:hint="eastAsia" w:ascii="宋体" w:hAnsi="宋体" w:eastAsia="宋体" w:cs="宋体"/>
                <w:sz w:val="28"/>
                <w:szCs w:val="28"/>
              </w:rPr>
            </w:pPr>
            <w:bookmarkStart w:id="115" w:name="_Toc30354"/>
            <w:bookmarkStart w:id="116" w:name="_Toc4150"/>
            <w:r>
              <w:rPr>
                <w:rFonts w:hint="eastAsia" w:ascii="宋体" w:hAnsi="宋体" w:eastAsia="宋体" w:cs="宋体"/>
                <w:sz w:val="28"/>
                <w:szCs w:val="28"/>
              </w:rPr>
              <w:t>类别</w:t>
            </w:r>
            <w:bookmarkEnd w:id="115"/>
            <w:bookmarkEnd w:id="116"/>
          </w:p>
        </w:tc>
        <w:tc>
          <w:tcPr>
            <w:tcW w:w="2133" w:type="dxa"/>
            <w:noWrap w:val="0"/>
            <w:vAlign w:val="center"/>
          </w:tcPr>
          <w:p>
            <w:pPr>
              <w:bidi w:val="0"/>
              <w:rPr>
                <w:rFonts w:hint="eastAsia" w:ascii="宋体" w:hAnsi="宋体" w:eastAsia="宋体" w:cs="宋体"/>
                <w:sz w:val="28"/>
                <w:szCs w:val="28"/>
              </w:rPr>
            </w:pPr>
            <w:bookmarkStart w:id="117" w:name="_Toc25118"/>
            <w:bookmarkStart w:id="118" w:name="_Toc22560"/>
            <w:r>
              <w:rPr>
                <w:rFonts w:hint="eastAsia" w:ascii="宋体" w:hAnsi="宋体" w:eastAsia="宋体" w:cs="宋体"/>
                <w:sz w:val="28"/>
                <w:szCs w:val="28"/>
              </w:rPr>
              <w:t>二氧化碳当量</w:t>
            </w:r>
            <w:bookmarkEnd w:id="117"/>
            <w:bookmarkEnd w:id="118"/>
          </w:p>
          <w:p>
            <w:pPr>
              <w:bidi w:val="0"/>
              <w:rPr>
                <w:rFonts w:hint="eastAsia" w:ascii="宋体" w:hAnsi="宋体" w:eastAsia="宋体" w:cs="宋体"/>
                <w:sz w:val="28"/>
                <w:szCs w:val="28"/>
              </w:rPr>
            </w:pPr>
            <w:bookmarkStart w:id="119" w:name="_Toc20403"/>
            <w:bookmarkStart w:id="120" w:name="_Toc24389"/>
            <w:r>
              <w:rPr>
                <w:rFonts w:hint="eastAsia" w:ascii="宋体" w:hAnsi="宋体" w:eastAsia="宋体" w:cs="宋体"/>
                <w:sz w:val="28"/>
                <w:szCs w:val="28"/>
              </w:rPr>
              <w:t>（单位：吨二氧化碳当量）</w:t>
            </w:r>
            <w:bookmarkEnd w:id="119"/>
            <w:bookmarkEnd w:id="120"/>
          </w:p>
        </w:tc>
        <w:tc>
          <w:tcPr>
            <w:tcW w:w="2766" w:type="dxa"/>
            <w:noWrap w:val="0"/>
            <w:vAlign w:val="center"/>
          </w:tcPr>
          <w:p>
            <w:pPr>
              <w:bidi w:val="0"/>
              <w:rPr>
                <w:rFonts w:hint="eastAsia" w:ascii="宋体" w:hAnsi="宋体" w:eastAsia="宋体" w:cs="宋体"/>
                <w:sz w:val="28"/>
                <w:szCs w:val="28"/>
              </w:rPr>
            </w:pPr>
            <w:bookmarkStart w:id="121" w:name="_Toc22514"/>
            <w:bookmarkStart w:id="122" w:name="_Toc29282"/>
            <w:r>
              <w:rPr>
                <w:rFonts w:hint="eastAsia" w:ascii="宋体" w:hAnsi="宋体" w:eastAsia="宋体" w:cs="宋体"/>
                <w:sz w:val="28"/>
                <w:szCs w:val="28"/>
              </w:rPr>
              <w:t>所报告部分融资业务占该类型融资业务的比例</w:t>
            </w:r>
            <w:bookmarkEnd w:id="121"/>
            <w:bookmarkEnd w:id="122"/>
          </w:p>
          <w:p>
            <w:pPr>
              <w:bidi w:val="0"/>
              <w:rPr>
                <w:rFonts w:hint="eastAsia" w:ascii="宋体" w:hAnsi="宋体" w:eastAsia="宋体" w:cs="宋体"/>
                <w:sz w:val="28"/>
                <w:szCs w:val="28"/>
              </w:rPr>
            </w:pPr>
            <w:bookmarkStart w:id="123" w:name="_Toc31617"/>
            <w:bookmarkStart w:id="124" w:name="_Toc7037"/>
            <w:r>
              <w:rPr>
                <w:rFonts w:hint="eastAsia" w:ascii="宋体" w:hAnsi="宋体" w:eastAsia="宋体" w:cs="宋体"/>
                <w:sz w:val="28"/>
                <w:szCs w:val="28"/>
              </w:rPr>
              <w:t>（%）</w:t>
            </w:r>
            <w:bookmarkEnd w:id="123"/>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397" w:type="dxa"/>
            <w:shd w:val="clear" w:color="auto" w:fill="auto"/>
            <w:noWrap w:val="0"/>
            <w:vAlign w:val="center"/>
          </w:tcPr>
          <w:p>
            <w:pPr>
              <w:bidi w:val="0"/>
              <w:rPr>
                <w:rFonts w:hint="eastAsia" w:ascii="宋体" w:hAnsi="宋体" w:eastAsia="宋体" w:cs="宋体"/>
                <w:sz w:val="28"/>
                <w:szCs w:val="28"/>
              </w:rPr>
            </w:pPr>
            <w:bookmarkStart w:id="125" w:name="_Toc120"/>
            <w:bookmarkStart w:id="126" w:name="_Toc12846"/>
            <w:r>
              <w:rPr>
                <w:rFonts w:hint="eastAsia" w:ascii="宋体" w:hAnsi="宋体" w:eastAsia="宋体" w:cs="宋体"/>
                <w:sz w:val="28"/>
                <w:szCs w:val="28"/>
              </w:rPr>
              <w:t>项目融资业务碳排放量</w:t>
            </w:r>
            <w:bookmarkEnd w:id="125"/>
            <w:bookmarkEnd w:id="126"/>
          </w:p>
        </w:tc>
        <w:tc>
          <w:tcPr>
            <w:tcW w:w="2133" w:type="dxa"/>
            <w:shd w:val="clear" w:color="auto" w:fill="auto"/>
            <w:noWrap w:val="0"/>
            <w:vAlign w:val="center"/>
          </w:tcPr>
          <w:p>
            <w:pPr>
              <w:bidi w:val="0"/>
              <w:rPr>
                <w:rFonts w:hint="eastAsia" w:ascii="宋体" w:hAnsi="宋体" w:eastAsia="宋体" w:cs="宋体"/>
                <w:sz w:val="28"/>
                <w:szCs w:val="28"/>
              </w:rPr>
            </w:pPr>
            <w:bookmarkStart w:id="127" w:name="_Toc3003"/>
            <w:bookmarkStart w:id="128" w:name="_Toc13666"/>
            <w:r>
              <w:rPr>
                <w:rFonts w:hint="eastAsia" w:ascii="宋体" w:hAnsi="宋体" w:eastAsia="宋体" w:cs="宋体"/>
                <w:sz w:val="28"/>
                <w:szCs w:val="28"/>
              </w:rPr>
              <w:t>5462.88</w:t>
            </w:r>
            <w:bookmarkEnd w:id="127"/>
            <w:bookmarkEnd w:id="128"/>
          </w:p>
        </w:tc>
        <w:tc>
          <w:tcPr>
            <w:tcW w:w="2766" w:type="dxa"/>
            <w:shd w:val="clear" w:color="auto" w:fill="FFFF00"/>
            <w:noWrap w:val="0"/>
            <w:vAlign w:val="center"/>
          </w:tcPr>
          <w:p>
            <w:pPr>
              <w:bidi w:val="0"/>
              <w:rPr>
                <w:rFonts w:hint="eastAsia" w:ascii="宋体" w:hAnsi="宋体" w:eastAsia="宋体" w:cs="宋体"/>
                <w:sz w:val="28"/>
                <w:szCs w:val="28"/>
              </w:rPr>
            </w:pPr>
            <w:bookmarkStart w:id="129" w:name="_Toc27462"/>
            <w:bookmarkStart w:id="130" w:name="_Toc21255"/>
            <w:r>
              <w:rPr>
                <w:rFonts w:hint="eastAsia" w:ascii="宋体" w:hAnsi="宋体" w:eastAsia="宋体" w:cs="宋体"/>
                <w:sz w:val="28"/>
                <w:szCs w:val="28"/>
              </w:rPr>
              <w:t>100</w:t>
            </w:r>
            <w:bookmarkEnd w:id="129"/>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shd w:val="clear" w:color="auto" w:fill="auto"/>
            <w:noWrap w:val="0"/>
            <w:vAlign w:val="center"/>
          </w:tcPr>
          <w:p>
            <w:pPr>
              <w:bidi w:val="0"/>
              <w:rPr>
                <w:rFonts w:hint="eastAsia" w:ascii="宋体" w:hAnsi="宋体" w:eastAsia="宋体" w:cs="宋体"/>
                <w:sz w:val="28"/>
                <w:szCs w:val="28"/>
              </w:rPr>
            </w:pPr>
            <w:bookmarkStart w:id="131" w:name="_Toc6463"/>
            <w:bookmarkStart w:id="132" w:name="_Toc19738"/>
            <w:r>
              <w:rPr>
                <w:rFonts w:hint="eastAsia" w:ascii="宋体" w:hAnsi="宋体" w:eastAsia="宋体" w:cs="宋体"/>
                <w:sz w:val="28"/>
                <w:szCs w:val="28"/>
              </w:rPr>
              <w:t>非项目融资业务碳排放量</w:t>
            </w:r>
            <w:bookmarkEnd w:id="131"/>
            <w:bookmarkEnd w:id="132"/>
          </w:p>
        </w:tc>
        <w:tc>
          <w:tcPr>
            <w:tcW w:w="2133" w:type="dxa"/>
            <w:shd w:val="clear" w:color="auto" w:fill="auto"/>
            <w:noWrap w:val="0"/>
            <w:vAlign w:val="center"/>
          </w:tcPr>
          <w:p>
            <w:pPr>
              <w:bidi w:val="0"/>
              <w:rPr>
                <w:rFonts w:hint="eastAsia" w:ascii="宋体" w:hAnsi="宋体" w:eastAsia="宋体" w:cs="宋体"/>
                <w:sz w:val="28"/>
                <w:szCs w:val="28"/>
              </w:rPr>
            </w:pPr>
            <w:bookmarkStart w:id="133" w:name="_Toc3400"/>
            <w:bookmarkStart w:id="134" w:name="_Toc13817"/>
            <w:r>
              <w:rPr>
                <w:rFonts w:hint="eastAsia" w:ascii="宋体" w:hAnsi="宋体" w:eastAsia="宋体" w:cs="宋体"/>
                <w:sz w:val="28"/>
                <w:szCs w:val="28"/>
              </w:rPr>
              <w:t>——</w:t>
            </w:r>
            <w:bookmarkEnd w:id="133"/>
            <w:bookmarkEnd w:id="134"/>
          </w:p>
        </w:tc>
        <w:tc>
          <w:tcPr>
            <w:tcW w:w="2766" w:type="dxa"/>
            <w:shd w:val="clear" w:color="auto" w:fill="FFFFFF"/>
            <w:noWrap w:val="0"/>
            <w:vAlign w:val="center"/>
          </w:tcPr>
          <w:p>
            <w:pPr>
              <w:bidi w:val="0"/>
              <w:rPr>
                <w:rFonts w:hint="eastAsia" w:ascii="宋体" w:hAnsi="宋体" w:eastAsia="宋体" w:cs="宋体"/>
                <w:sz w:val="28"/>
                <w:szCs w:val="28"/>
              </w:rPr>
            </w:pPr>
            <w:bookmarkStart w:id="135" w:name="_Toc1671"/>
            <w:bookmarkStart w:id="136" w:name="_Toc2876"/>
            <w:r>
              <w:rPr>
                <w:rFonts w:hint="eastAsia" w:ascii="宋体" w:hAnsi="宋体" w:eastAsia="宋体" w:cs="宋体"/>
                <w:sz w:val="28"/>
                <w:szCs w:val="28"/>
              </w:rPr>
              <w:t>——</w:t>
            </w:r>
            <w:bookmarkEnd w:id="135"/>
            <w:bookmarkEnd w:id="136"/>
          </w:p>
        </w:tc>
      </w:tr>
    </w:tbl>
    <w:p>
      <w:pPr>
        <w:bidi w:val="0"/>
      </w:pPr>
      <w:bookmarkStart w:id="137" w:name="_Toc4250"/>
      <w:bookmarkStart w:id="138" w:name="_Toc14554"/>
      <w:r>
        <w:rPr>
          <w:rFonts w:hint="eastAsia"/>
        </w:rPr>
        <w:t>注：本报告遵循“能披尽披”原则，对符合《金融机构碳核算技术指南（试行）》的全部融资业务进行了碳核算。</w:t>
      </w:r>
      <w:bookmarkEnd w:id="137"/>
      <w:bookmarkEnd w:id="138"/>
    </w:p>
    <w:p>
      <w:pPr>
        <w:bidi w:val="0"/>
        <w:jc w:val="center"/>
        <w:rPr>
          <w:rFonts w:hint="eastAsia"/>
          <w:sz w:val="32"/>
          <w:szCs w:val="32"/>
        </w:rPr>
      </w:pPr>
      <w:bookmarkStart w:id="139" w:name="_Toc28502"/>
      <w:bookmarkStart w:id="140" w:name="_Toc20668"/>
      <w:r>
        <w:rPr>
          <w:rFonts w:hint="eastAsia"/>
          <w:sz w:val="32"/>
          <w:szCs w:val="32"/>
        </w:rPr>
        <w:t>报告期投融资活动产生的碳减排量汇总表</w:t>
      </w:r>
      <w:bookmarkEnd w:id="139"/>
      <w:bookmarkEnd w:id="14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213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noWrap w:val="0"/>
            <w:vAlign w:val="center"/>
          </w:tcPr>
          <w:p>
            <w:pPr>
              <w:bidi w:val="0"/>
              <w:rPr>
                <w:rFonts w:hint="eastAsia" w:ascii="宋体" w:hAnsi="宋体" w:eastAsia="宋体" w:cs="宋体"/>
                <w:sz w:val="28"/>
                <w:szCs w:val="28"/>
              </w:rPr>
            </w:pPr>
            <w:bookmarkStart w:id="141" w:name="_Toc19380"/>
            <w:bookmarkStart w:id="142" w:name="_Toc8530"/>
            <w:r>
              <w:rPr>
                <w:rFonts w:hint="eastAsia" w:ascii="宋体" w:hAnsi="宋体" w:eastAsia="宋体" w:cs="宋体"/>
                <w:sz w:val="28"/>
                <w:szCs w:val="28"/>
              </w:rPr>
              <w:t>类别</w:t>
            </w:r>
            <w:bookmarkEnd w:id="141"/>
            <w:bookmarkEnd w:id="142"/>
          </w:p>
        </w:tc>
        <w:tc>
          <w:tcPr>
            <w:tcW w:w="2133" w:type="dxa"/>
            <w:noWrap w:val="0"/>
            <w:vAlign w:val="center"/>
          </w:tcPr>
          <w:p>
            <w:pPr>
              <w:bidi w:val="0"/>
              <w:rPr>
                <w:rFonts w:hint="eastAsia" w:ascii="宋体" w:hAnsi="宋体" w:eastAsia="宋体" w:cs="宋体"/>
                <w:sz w:val="28"/>
                <w:szCs w:val="28"/>
              </w:rPr>
            </w:pPr>
            <w:bookmarkStart w:id="143" w:name="_Toc16025"/>
            <w:bookmarkStart w:id="144" w:name="_Toc14219"/>
            <w:r>
              <w:rPr>
                <w:rFonts w:hint="eastAsia" w:ascii="宋体" w:hAnsi="宋体" w:eastAsia="宋体" w:cs="宋体"/>
                <w:sz w:val="28"/>
                <w:szCs w:val="28"/>
              </w:rPr>
              <w:t>二氧化碳当量</w:t>
            </w:r>
            <w:bookmarkEnd w:id="143"/>
            <w:bookmarkEnd w:id="144"/>
          </w:p>
          <w:p>
            <w:pPr>
              <w:bidi w:val="0"/>
              <w:rPr>
                <w:rFonts w:hint="eastAsia" w:ascii="宋体" w:hAnsi="宋体" w:eastAsia="宋体" w:cs="宋体"/>
                <w:sz w:val="28"/>
                <w:szCs w:val="28"/>
              </w:rPr>
            </w:pPr>
            <w:bookmarkStart w:id="145" w:name="_Toc14559"/>
            <w:bookmarkStart w:id="146" w:name="_Toc10976"/>
            <w:r>
              <w:rPr>
                <w:rFonts w:hint="eastAsia" w:ascii="宋体" w:hAnsi="宋体" w:eastAsia="宋体" w:cs="宋体"/>
                <w:sz w:val="28"/>
                <w:szCs w:val="28"/>
              </w:rPr>
              <w:t>（单位：吨二氧化碳当量）</w:t>
            </w:r>
            <w:bookmarkEnd w:id="145"/>
            <w:bookmarkEnd w:id="146"/>
          </w:p>
        </w:tc>
        <w:tc>
          <w:tcPr>
            <w:tcW w:w="2766" w:type="dxa"/>
            <w:noWrap w:val="0"/>
            <w:vAlign w:val="center"/>
          </w:tcPr>
          <w:p>
            <w:pPr>
              <w:bidi w:val="0"/>
              <w:rPr>
                <w:rFonts w:hint="eastAsia" w:ascii="宋体" w:hAnsi="宋体" w:eastAsia="宋体" w:cs="宋体"/>
                <w:sz w:val="28"/>
                <w:szCs w:val="28"/>
              </w:rPr>
            </w:pPr>
            <w:bookmarkStart w:id="147" w:name="_Toc20571"/>
            <w:bookmarkStart w:id="148" w:name="_Toc1298"/>
            <w:r>
              <w:rPr>
                <w:rFonts w:hint="eastAsia" w:ascii="宋体" w:hAnsi="宋体" w:eastAsia="宋体" w:cs="宋体"/>
                <w:sz w:val="28"/>
                <w:szCs w:val="28"/>
              </w:rPr>
              <w:t>所报告部分融资业务占该类型融资业务的比例</w:t>
            </w:r>
            <w:bookmarkEnd w:id="147"/>
            <w:bookmarkEnd w:id="148"/>
          </w:p>
          <w:p>
            <w:pPr>
              <w:bidi w:val="0"/>
              <w:rPr>
                <w:rFonts w:hint="eastAsia" w:ascii="宋体" w:hAnsi="宋体" w:eastAsia="宋体" w:cs="宋体"/>
                <w:sz w:val="28"/>
                <w:szCs w:val="28"/>
              </w:rPr>
            </w:pPr>
            <w:bookmarkStart w:id="149" w:name="_Toc14703"/>
            <w:bookmarkStart w:id="150" w:name="_Toc5977"/>
            <w:r>
              <w:rPr>
                <w:rFonts w:hint="eastAsia" w:ascii="宋体" w:hAnsi="宋体" w:eastAsia="宋体" w:cs="宋体"/>
                <w:sz w:val="28"/>
                <w:szCs w:val="28"/>
              </w:rPr>
              <w:t>（%）</w:t>
            </w:r>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noWrap w:val="0"/>
            <w:vAlign w:val="center"/>
          </w:tcPr>
          <w:p>
            <w:pPr>
              <w:bidi w:val="0"/>
              <w:rPr>
                <w:rFonts w:hint="eastAsia" w:ascii="宋体" w:hAnsi="宋体" w:eastAsia="宋体" w:cs="宋体"/>
                <w:sz w:val="28"/>
                <w:szCs w:val="28"/>
              </w:rPr>
            </w:pPr>
            <w:bookmarkStart w:id="151" w:name="_Toc1434"/>
            <w:bookmarkStart w:id="152" w:name="_Toc26703"/>
            <w:r>
              <w:rPr>
                <w:rFonts w:hint="eastAsia" w:ascii="宋体" w:hAnsi="宋体" w:eastAsia="宋体" w:cs="宋体"/>
                <w:sz w:val="28"/>
                <w:szCs w:val="28"/>
              </w:rPr>
              <w:t>项目融资业务碳减排量</w:t>
            </w:r>
            <w:bookmarkEnd w:id="151"/>
            <w:bookmarkEnd w:id="152"/>
          </w:p>
        </w:tc>
        <w:tc>
          <w:tcPr>
            <w:tcW w:w="2133" w:type="dxa"/>
            <w:noWrap w:val="0"/>
            <w:vAlign w:val="center"/>
          </w:tcPr>
          <w:p>
            <w:pPr>
              <w:bidi w:val="0"/>
              <w:rPr>
                <w:rFonts w:hint="eastAsia" w:ascii="宋体" w:hAnsi="宋体" w:eastAsia="宋体" w:cs="宋体"/>
                <w:sz w:val="28"/>
                <w:szCs w:val="28"/>
              </w:rPr>
            </w:pPr>
            <w:bookmarkStart w:id="153" w:name="_Toc29511"/>
            <w:bookmarkStart w:id="154" w:name="_Toc29831"/>
            <w:r>
              <w:rPr>
                <w:rFonts w:hint="eastAsia" w:ascii="宋体" w:hAnsi="宋体" w:eastAsia="宋体" w:cs="宋体"/>
                <w:sz w:val="28"/>
                <w:szCs w:val="28"/>
              </w:rPr>
              <w:t>237.79</w:t>
            </w:r>
            <w:bookmarkEnd w:id="153"/>
            <w:bookmarkEnd w:id="154"/>
          </w:p>
        </w:tc>
        <w:tc>
          <w:tcPr>
            <w:tcW w:w="2766" w:type="dxa"/>
            <w:noWrap w:val="0"/>
            <w:vAlign w:val="center"/>
          </w:tcPr>
          <w:p>
            <w:pPr>
              <w:bidi w:val="0"/>
              <w:rPr>
                <w:rFonts w:hint="eastAsia" w:ascii="宋体" w:hAnsi="宋体" w:eastAsia="宋体" w:cs="宋体"/>
                <w:sz w:val="28"/>
                <w:szCs w:val="28"/>
              </w:rPr>
            </w:pPr>
            <w:bookmarkStart w:id="155" w:name="_Toc18882"/>
            <w:bookmarkStart w:id="156" w:name="_Toc16352"/>
            <w:r>
              <w:rPr>
                <w:rFonts w:hint="eastAsia" w:ascii="宋体" w:hAnsi="宋体" w:eastAsia="宋体" w:cs="宋体"/>
                <w:sz w:val="28"/>
                <w:szCs w:val="28"/>
              </w:rPr>
              <w:t>22.22</w:t>
            </w:r>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noWrap w:val="0"/>
            <w:vAlign w:val="center"/>
          </w:tcPr>
          <w:p>
            <w:pPr>
              <w:bidi w:val="0"/>
              <w:rPr>
                <w:rFonts w:hint="eastAsia" w:ascii="宋体" w:hAnsi="宋体" w:eastAsia="宋体" w:cs="宋体"/>
                <w:sz w:val="28"/>
                <w:szCs w:val="28"/>
              </w:rPr>
            </w:pPr>
            <w:bookmarkStart w:id="157" w:name="_Toc26009"/>
            <w:bookmarkStart w:id="158" w:name="_Toc1506"/>
            <w:r>
              <w:rPr>
                <w:rFonts w:hint="eastAsia" w:ascii="宋体" w:hAnsi="宋体" w:eastAsia="宋体" w:cs="宋体"/>
                <w:sz w:val="28"/>
                <w:szCs w:val="28"/>
              </w:rPr>
              <w:t>非项目融资业务碳减排量</w:t>
            </w:r>
            <w:bookmarkEnd w:id="157"/>
            <w:bookmarkEnd w:id="158"/>
          </w:p>
        </w:tc>
        <w:tc>
          <w:tcPr>
            <w:tcW w:w="2133" w:type="dxa"/>
            <w:noWrap w:val="0"/>
            <w:vAlign w:val="center"/>
          </w:tcPr>
          <w:p>
            <w:pPr>
              <w:bidi w:val="0"/>
              <w:rPr>
                <w:rFonts w:hint="eastAsia" w:ascii="宋体" w:hAnsi="宋体" w:eastAsia="宋体" w:cs="宋体"/>
                <w:sz w:val="28"/>
                <w:szCs w:val="28"/>
              </w:rPr>
            </w:pPr>
            <w:bookmarkStart w:id="159" w:name="_Toc10858"/>
            <w:bookmarkStart w:id="160" w:name="_Toc25579"/>
            <w:r>
              <w:rPr>
                <w:rFonts w:hint="eastAsia" w:ascii="宋体" w:hAnsi="宋体" w:eastAsia="宋体" w:cs="宋体"/>
                <w:sz w:val="28"/>
                <w:szCs w:val="28"/>
              </w:rPr>
              <w:t>——</w:t>
            </w:r>
            <w:bookmarkEnd w:id="159"/>
            <w:bookmarkEnd w:id="160"/>
          </w:p>
        </w:tc>
        <w:tc>
          <w:tcPr>
            <w:tcW w:w="2766" w:type="dxa"/>
            <w:noWrap w:val="0"/>
            <w:vAlign w:val="center"/>
          </w:tcPr>
          <w:p>
            <w:pPr>
              <w:bidi w:val="0"/>
              <w:rPr>
                <w:rFonts w:hint="eastAsia" w:ascii="宋体" w:hAnsi="宋体" w:eastAsia="宋体" w:cs="宋体"/>
                <w:sz w:val="28"/>
                <w:szCs w:val="28"/>
              </w:rPr>
            </w:pPr>
            <w:bookmarkStart w:id="161" w:name="_Toc19741"/>
            <w:bookmarkStart w:id="162" w:name="_Toc9311"/>
            <w:r>
              <w:rPr>
                <w:rFonts w:hint="eastAsia" w:ascii="宋体" w:hAnsi="宋体" w:eastAsia="宋体" w:cs="宋体"/>
                <w:sz w:val="28"/>
                <w:szCs w:val="28"/>
              </w:rPr>
              <w:t>——</w:t>
            </w:r>
            <w:bookmarkEnd w:id="161"/>
            <w:bookmarkEnd w:id="162"/>
          </w:p>
        </w:tc>
      </w:tr>
    </w:tbl>
    <w:p>
      <w:pPr>
        <w:bidi w:val="0"/>
        <w:rPr>
          <w:rFonts w:hint="eastAsia"/>
        </w:rPr>
      </w:pPr>
      <w:bookmarkStart w:id="163" w:name="_Toc6226"/>
      <w:bookmarkStart w:id="164" w:name="_Toc24054"/>
      <w:r>
        <w:rPr>
          <w:rFonts w:hint="eastAsia"/>
        </w:rPr>
        <w:t>注：项目/非项目融资业务碳减排核算与碳排放核算对象保持一致。碳减排核算的报告期为2021年，基期为2020年。其中，项目融资业务的分类为符合《绿色债券支持目录》《绿色产业指导目录》等，共9笔，碳减排核算2笔，占比22.22%。非项目融资业务碳减排核算与碳排放核算对象保持一致，因此未纳入碳减排核算边界。</w:t>
      </w:r>
      <w:bookmarkEnd w:id="163"/>
      <w:bookmarkEnd w:id="164"/>
    </w:p>
    <w:p>
      <w:pPr>
        <w:pStyle w:val="6"/>
        <w:bidi w:val="0"/>
        <w:rPr>
          <w:rFonts w:hint="eastAsia" w:ascii="楷体" w:hAnsi="楷体" w:eastAsia="楷体" w:cs="楷体"/>
        </w:rPr>
      </w:pPr>
      <w:bookmarkStart w:id="165" w:name="_Toc16743"/>
      <w:bookmarkStart w:id="166" w:name="_Toc153"/>
      <w:bookmarkStart w:id="167" w:name="_Toc9850"/>
      <w:bookmarkStart w:id="168" w:name="_Toc22792"/>
      <w:r>
        <w:rPr>
          <w:rFonts w:hint="eastAsia" w:ascii="楷体" w:hAnsi="楷体" w:eastAsia="楷体" w:cs="楷体"/>
        </w:rPr>
        <w:t>7.2绿色信贷及其环境影响</w:t>
      </w:r>
      <w:bookmarkEnd w:id="165"/>
      <w:bookmarkEnd w:id="166"/>
      <w:bookmarkEnd w:id="167"/>
      <w:bookmarkEnd w:id="16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Cs w:val="32"/>
        </w:rPr>
      </w:pPr>
      <w:bookmarkStart w:id="169" w:name="_Toc422"/>
      <w:bookmarkStart w:id="170" w:name="_Toc30919"/>
      <w:r>
        <w:rPr>
          <w:rFonts w:hint="eastAsia" w:ascii="仿宋" w:hAnsi="仿宋" w:eastAsia="仿宋" w:cs="仿宋"/>
          <w:sz w:val="32"/>
          <w:szCs w:val="32"/>
        </w:rPr>
        <w:t>截至2021年末，本行绿色贷款余额0.66亿元，主要投向节能环保产业270万元（约占4.09%）、清洁生产产业0万元（约占0%）、清洁能源产业490万元（约占7.42%）及生态环境产业1940.47万元（约占29.39%）。</w:t>
      </w:r>
      <w:bookmarkEnd w:id="169"/>
      <w:bookmarkEnd w:id="170"/>
    </w:p>
    <w:p>
      <w:pPr>
        <w:bidi w:val="0"/>
        <w:jc w:val="center"/>
        <w:rPr>
          <w:rFonts w:hint="eastAsia" w:ascii="仿宋" w:hAnsi="仿宋" w:eastAsia="仿宋" w:cs="仿宋"/>
          <w:sz w:val="32"/>
          <w:szCs w:val="32"/>
        </w:rPr>
      </w:pPr>
      <w:bookmarkStart w:id="171" w:name="_Toc28909"/>
      <w:bookmarkStart w:id="172" w:name="_Toc26692"/>
      <w:r>
        <w:rPr>
          <w:rFonts w:hint="eastAsia" w:ascii="仿宋" w:hAnsi="仿宋" w:eastAsia="仿宋" w:cs="仿宋"/>
          <w:sz w:val="32"/>
          <w:szCs w:val="32"/>
        </w:rPr>
        <w:t>2021年度绿色信贷情况概览</w:t>
      </w:r>
      <w:bookmarkEnd w:id="171"/>
      <w:bookmarkEnd w:id="172"/>
    </w:p>
    <w:tbl>
      <w:tblPr>
        <w:tblStyle w:val="15"/>
        <w:tblW w:w="0" w:type="auto"/>
        <w:tblInd w:w="0" w:type="dxa"/>
        <w:tblLayout w:type="fixed"/>
        <w:tblCellMar>
          <w:top w:w="0" w:type="dxa"/>
          <w:left w:w="108" w:type="dxa"/>
          <w:bottom w:w="0" w:type="dxa"/>
          <w:right w:w="108" w:type="dxa"/>
        </w:tblCellMar>
      </w:tblPr>
      <w:tblGrid>
        <w:gridCol w:w="5316"/>
        <w:gridCol w:w="1980"/>
        <w:gridCol w:w="1223"/>
      </w:tblGrid>
      <w:tr>
        <w:tblPrEx>
          <w:tblCellMar>
            <w:top w:w="0" w:type="dxa"/>
            <w:left w:w="108" w:type="dxa"/>
            <w:bottom w:w="0" w:type="dxa"/>
            <w:right w:w="108" w:type="dxa"/>
          </w:tblCellMar>
        </w:tblPrEx>
        <w:trPr>
          <w:trHeight w:val="280" w:hRule="atLeast"/>
        </w:trPr>
        <w:tc>
          <w:tcPr>
            <w:tcW w:w="5316" w:type="dxa"/>
            <w:tcBorders>
              <w:top w:val="single" w:color="000000" w:sz="4" w:space="0"/>
              <w:left w:val="single" w:color="000000" w:sz="4" w:space="0"/>
              <w:bottom w:val="single" w:color="000000" w:sz="4" w:space="0"/>
              <w:right w:val="single" w:color="000000" w:sz="4" w:space="0"/>
            </w:tcBorders>
            <w:noWrap w:val="0"/>
            <w:vAlign w:val="top"/>
          </w:tcPr>
          <w:p>
            <w:pPr>
              <w:bidi w:val="0"/>
              <w:rPr>
                <w:rFonts w:hint="eastAsia" w:ascii="宋体" w:hAnsi="宋体" w:eastAsia="宋体" w:cs="宋体"/>
                <w:sz w:val="28"/>
                <w:szCs w:val="28"/>
              </w:rPr>
            </w:pPr>
            <w:bookmarkStart w:id="173" w:name="_Toc22001"/>
            <w:bookmarkStart w:id="174" w:name="_Toc11152"/>
            <w:r>
              <w:rPr>
                <w:rFonts w:hint="eastAsia" w:ascii="宋体" w:hAnsi="宋体" w:eastAsia="宋体" w:cs="宋体"/>
                <w:sz w:val="28"/>
                <w:szCs w:val="28"/>
              </w:rPr>
              <w:t>指标</w:t>
            </w:r>
            <w:bookmarkEnd w:id="173"/>
            <w:bookmarkEnd w:id="174"/>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175" w:name="_Toc9386"/>
            <w:bookmarkStart w:id="176" w:name="_Toc2226"/>
            <w:r>
              <w:rPr>
                <w:rFonts w:hint="eastAsia" w:ascii="宋体" w:hAnsi="宋体" w:eastAsia="宋体" w:cs="宋体"/>
                <w:sz w:val="28"/>
                <w:szCs w:val="28"/>
              </w:rPr>
              <w:t>数额</w:t>
            </w:r>
            <w:bookmarkEnd w:id="175"/>
            <w:bookmarkEnd w:id="176"/>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177" w:name="_Toc19633"/>
            <w:bookmarkStart w:id="178" w:name="_Toc5849"/>
            <w:r>
              <w:rPr>
                <w:rFonts w:hint="eastAsia" w:ascii="宋体" w:hAnsi="宋体" w:eastAsia="宋体" w:cs="宋体"/>
                <w:sz w:val="28"/>
                <w:szCs w:val="28"/>
              </w:rPr>
              <w:t>单位</w:t>
            </w:r>
            <w:bookmarkEnd w:id="177"/>
            <w:bookmarkEnd w:id="178"/>
          </w:p>
        </w:tc>
      </w:tr>
      <w:tr>
        <w:tblPrEx>
          <w:tblCellMar>
            <w:top w:w="0" w:type="dxa"/>
            <w:left w:w="108" w:type="dxa"/>
            <w:bottom w:w="0" w:type="dxa"/>
            <w:right w:w="108" w:type="dxa"/>
          </w:tblCellMar>
        </w:tblPrEx>
        <w:trPr>
          <w:trHeight w:val="280" w:hRule="atLeast"/>
        </w:trPr>
        <w:tc>
          <w:tcPr>
            <w:tcW w:w="5316" w:type="dxa"/>
            <w:tcBorders>
              <w:top w:val="single" w:color="000000" w:sz="4" w:space="0"/>
              <w:left w:val="single" w:color="000000" w:sz="4" w:space="0"/>
              <w:bottom w:val="single" w:color="000000" w:sz="4" w:space="0"/>
              <w:right w:val="single" w:color="000000" w:sz="4" w:space="0"/>
            </w:tcBorders>
            <w:noWrap w:val="0"/>
            <w:vAlign w:val="top"/>
          </w:tcPr>
          <w:p>
            <w:pPr>
              <w:bidi w:val="0"/>
              <w:rPr>
                <w:rFonts w:hint="eastAsia" w:ascii="宋体" w:hAnsi="宋体" w:eastAsia="宋体" w:cs="宋体"/>
                <w:sz w:val="28"/>
                <w:szCs w:val="28"/>
              </w:rPr>
            </w:pPr>
            <w:bookmarkStart w:id="179" w:name="_Toc21931"/>
            <w:bookmarkStart w:id="180" w:name="_Toc17852"/>
            <w:r>
              <w:rPr>
                <w:rFonts w:hint="eastAsia" w:ascii="宋体" w:hAnsi="宋体" w:eastAsia="宋体" w:cs="宋体"/>
                <w:sz w:val="28"/>
                <w:szCs w:val="28"/>
              </w:rPr>
              <w:t>信贷余额</w:t>
            </w:r>
            <w:bookmarkEnd w:id="179"/>
            <w:bookmarkEnd w:id="180"/>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181" w:name="_Toc15913"/>
            <w:bookmarkStart w:id="182" w:name="_Toc3986"/>
            <w:r>
              <w:rPr>
                <w:rFonts w:hint="eastAsia" w:ascii="宋体" w:hAnsi="宋体" w:eastAsia="宋体" w:cs="宋体"/>
                <w:sz w:val="28"/>
                <w:szCs w:val="28"/>
              </w:rPr>
              <w:t>52.15</w:t>
            </w:r>
            <w:bookmarkEnd w:id="181"/>
            <w:bookmarkEnd w:id="182"/>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183" w:name="_Toc17769"/>
            <w:bookmarkStart w:id="184" w:name="_Toc10296"/>
            <w:r>
              <w:rPr>
                <w:rFonts w:hint="eastAsia" w:ascii="宋体" w:hAnsi="宋体" w:eastAsia="宋体" w:cs="宋体"/>
                <w:sz w:val="28"/>
                <w:szCs w:val="28"/>
              </w:rPr>
              <w:t>亿元</w:t>
            </w:r>
            <w:bookmarkEnd w:id="183"/>
            <w:bookmarkEnd w:id="184"/>
          </w:p>
        </w:tc>
      </w:tr>
      <w:tr>
        <w:tblPrEx>
          <w:tblCellMar>
            <w:top w:w="0" w:type="dxa"/>
            <w:left w:w="108" w:type="dxa"/>
            <w:bottom w:w="0" w:type="dxa"/>
            <w:right w:w="108" w:type="dxa"/>
          </w:tblCellMar>
        </w:tblPrEx>
        <w:trPr>
          <w:trHeight w:val="280" w:hRule="atLeast"/>
        </w:trPr>
        <w:tc>
          <w:tcPr>
            <w:tcW w:w="5316" w:type="dxa"/>
            <w:tcBorders>
              <w:top w:val="single" w:color="000000" w:sz="4" w:space="0"/>
              <w:left w:val="single" w:color="000000" w:sz="4" w:space="0"/>
              <w:bottom w:val="single" w:color="000000" w:sz="4" w:space="0"/>
              <w:right w:val="single" w:color="000000" w:sz="4" w:space="0"/>
            </w:tcBorders>
            <w:noWrap w:val="0"/>
            <w:vAlign w:val="top"/>
          </w:tcPr>
          <w:p>
            <w:pPr>
              <w:bidi w:val="0"/>
              <w:rPr>
                <w:rFonts w:hint="eastAsia" w:ascii="宋体" w:hAnsi="宋体" w:eastAsia="宋体" w:cs="宋体"/>
                <w:sz w:val="28"/>
                <w:szCs w:val="28"/>
              </w:rPr>
            </w:pPr>
            <w:bookmarkStart w:id="185" w:name="_Toc19581"/>
            <w:bookmarkStart w:id="186" w:name="_Toc20191"/>
            <w:r>
              <w:rPr>
                <w:rFonts w:hint="eastAsia" w:ascii="宋体" w:hAnsi="宋体" w:eastAsia="宋体" w:cs="宋体"/>
                <w:sz w:val="28"/>
                <w:szCs w:val="28"/>
              </w:rPr>
              <w:t>绿色信贷余额</w:t>
            </w:r>
            <w:bookmarkEnd w:id="185"/>
            <w:bookmarkEnd w:id="186"/>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187" w:name="_Toc32274"/>
            <w:bookmarkStart w:id="188" w:name="_Toc21873"/>
            <w:r>
              <w:rPr>
                <w:rFonts w:hint="eastAsia" w:ascii="宋体" w:hAnsi="宋体" w:eastAsia="宋体" w:cs="宋体"/>
                <w:sz w:val="28"/>
                <w:szCs w:val="28"/>
              </w:rPr>
              <w:t>0.66</w:t>
            </w:r>
            <w:bookmarkEnd w:id="187"/>
            <w:bookmarkEnd w:id="188"/>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189" w:name="_Toc16886"/>
            <w:bookmarkStart w:id="190" w:name="_Toc26678"/>
            <w:r>
              <w:rPr>
                <w:rFonts w:hint="eastAsia" w:ascii="宋体" w:hAnsi="宋体" w:eastAsia="宋体" w:cs="宋体"/>
                <w:sz w:val="28"/>
                <w:szCs w:val="28"/>
              </w:rPr>
              <w:t>亿元</w:t>
            </w:r>
            <w:bookmarkEnd w:id="189"/>
            <w:bookmarkEnd w:id="190"/>
          </w:p>
        </w:tc>
      </w:tr>
      <w:tr>
        <w:tblPrEx>
          <w:tblCellMar>
            <w:top w:w="0" w:type="dxa"/>
            <w:left w:w="108" w:type="dxa"/>
            <w:bottom w:w="0" w:type="dxa"/>
            <w:right w:w="108" w:type="dxa"/>
          </w:tblCellMar>
        </w:tblPrEx>
        <w:trPr>
          <w:trHeight w:val="280" w:hRule="atLeast"/>
        </w:trPr>
        <w:tc>
          <w:tcPr>
            <w:tcW w:w="5316" w:type="dxa"/>
            <w:tcBorders>
              <w:top w:val="single" w:color="000000" w:sz="4" w:space="0"/>
              <w:left w:val="single" w:color="000000" w:sz="4" w:space="0"/>
              <w:bottom w:val="single" w:color="000000" w:sz="4" w:space="0"/>
              <w:right w:val="single" w:color="000000" w:sz="4" w:space="0"/>
            </w:tcBorders>
            <w:noWrap w:val="0"/>
            <w:vAlign w:val="top"/>
          </w:tcPr>
          <w:p>
            <w:pPr>
              <w:bidi w:val="0"/>
              <w:rPr>
                <w:rFonts w:hint="eastAsia" w:ascii="宋体" w:hAnsi="宋体" w:eastAsia="宋体" w:cs="宋体"/>
                <w:sz w:val="28"/>
                <w:szCs w:val="28"/>
              </w:rPr>
            </w:pPr>
            <w:r>
              <w:rPr>
                <w:rFonts w:hint="eastAsia" w:ascii="宋体" w:hAnsi="宋体" w:eastAsia="宋体" w:cs="宋体"/>
                <w:sz w:val="28"/>
                <w:szCs w:val="28"/>
              </w:rPr>
              <w:t xml:space="preserve">  </w:t>
            </w:r>
            <w:bookmarkStart w:id="191" w:name="_Toc117"/>
            <w:bookmarkStart w:id="192" w:name="_Toc24324"/>
            <w:r>
              <w:rPr>
                <w:rFonts w:hint="eastAsia" w:ascii="宋体" w:hAnsi="宋体" w:eastAsia="宋体" w:cs="宋体"/>
                <w:sz w:val="28"/>
                <w:szCs w:val="28"/>
              </w:rPr>
              <w:t>其中：绿色信贷余额占比</w:t>
            </w:r>
            <w:bookmarkEnd w:id="191"/>
            <w:bookmarkEnd w:id="192"/>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193" w:name="_Toc10817"/>
            <w:bookmarkStart w:id="194" w:name="_Toc17818"/>
            <w:r>
              <w:rPr>
                <w:rFonts w:hint="eastAsia" w:ascii="宋体" w:hAnsi="宋体" w:eastAsia="宋体" w:cs="宋体"/>
                <w:sz w:val="28"/>
                <w:szCs w:val="28"/>
              </w:rPr>
              <w:t>1.27</w:t>
            </w:r>
            <w:bookmarkEnd w:id="193"/>
            <w:bookmarkEnd w:id="194"/>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195" w:name="_Toc26808"/>
            <w:bookmarkStart w:id="196" w:name="_Toc12491"/>
            <w:r>
              <w:rPr>
                <w:rFonts w:hint="eastAsia" w:ascii="宋体" w:hAnsi="宋体" w:eastAsia="宋体" w:cs="宋体"/>
                <w:sz w:val="28"/>
                <w:szCs w:val="28"/>
              </w:rPr>
              <w:t>%</w:t>
            </w:r>
            <w:bookmarkEnd w:id="195"/>
            <w:bookmarkEnd w:id="196"/>
          </w:p>
        </w:tc>
      </w:tr>
      <w:tr>
        <w:tblPrEx>
          <w:tblCellMar>
            <w:top w:w="0" w:type="dxa"/>
            <w:left w:w="108" w:type="dxa"/>
            <w:bottom w:w="0" w:type="dxa"/>
            <w:right w:w="108" w:type="dxa"/>
          </w:tblCellMar>
        </w:tblPrEx>
        <w:trPr>
          <w:trHeight w:val="280" w:hRule="atLeast"/>
        </w:trPr>
        <w:tc>
          <w:tcPr>
            <w:tcW w:w="5316" w:type="dxa"/>
            <w:tcBorders>
              <w:top w:val="single" w:color="000000" w:sz="4" w:space="0"/>
              <w:left w:val="single" w:color="000000" w:sz="4" w:space="0"/>
              <w:bottom w:val="single" w:color="000000" w:sz="4" w:space="0"/>
              <w:right w:val="single" w:color="000000" w:sz="4" w:space="0"/>
            </w:tcBorders>
            <w:noWrap w:val="0"/>
            <w:vAlign w:val="top"/>
          </w:tcPr>
          <w:p>
            <w:pPr>
              <w:bidi w:val="0"/>
              <w:rPr>
                <w:rFonts w:hint="eastAsia" w:ascii="宋体" w:hAnsi="宋体" w:eastAsia="宋体" w:cs="宋体"/>
                <w:sz w:val="28"/>
                <w:szCs w:val="28"/>
              </w:rPr>
            </w:pPr>
            <w:bookmarkStart w:id="197" w:name="_Toc30387"/>
            <w:bookmarkStart w:id="198" w:name="_Toc21136"/>
            <w:r>
              <w:rPr>
                <w:rFonts w:hint="eastAsia" w:ascii="宋体" w:hAnsi="宋体" w:eastAsia="宋体" w:cs="宋体"/>
                <w:sz w:val="28"/>
                <w:szCs w:val="28"/>
              </w:rPr>
              <w:t>绿色客户数量</w:t>
            </w:r>
            <w:bookmarkEnd w:id="197"/>
            <w:bookmarkEnd w:id="198"/>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199" w:name="_Toc14798"/>
            <w:bookmarkStart w:id="200" w:name="_Toc17062"/>
            <w:r>
              <w:rPr>
                <w:rFonts w:hint="eastAsia" w:ascii="宋体" w:hAnsi="宋体" w:eastAsia="宋体" w:cs="宋体"/>
                <w:sz w:val="28"/>
                <w:szCs w:val="28"/>
              </w:rPr>
              <w:t>8</w:t>
            </w:r>
            <w:bookmarkEnd w:id="199"/>
            <w:bookmarkEnd w:id="200"/>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201" w:name="_Toc3523"/>
            <w:bookmarkStart w:id="202" w:name="_Toc13286"/>
            <w:r>
              <w:rPr>
                <w:rFonts w:hint="eastAsia" w:ascii="宋体" w:hAnsi="宋体" w:eastAsia="宋体" w:cs="宋体"/>
                <w:sz w:val="28"/>
                <w:szCs w:val="28"/>
              </w:rPr>
              <w:t>户</w:t>
            </w:r>
            <w:bookmarkEnd w:id="201"/>
            <w:bookmarkEnd w:id="202"/>
          </w:p>
        </w:tc>
      </w:tr>
      <w:tr>
        <w:tblPrEx>
          <w:tblCellMar>
            <w:top w:w="0" w:type="dxa"/>
            <w:left w:w="108" w:type="dxa"/>
            <w:bottom w:w="0" w:type="dxa"/>
            <w:right w:w="108" w:type="dxa"/>
          </w:tblCellMar>
        </w:tblPrEx>
        <w:trPr>
          <w:trHeight w:val="280" w:hRule="atLeast"/>
        </w:trPr>
        <w:tc>
          <w:tcPr>
            <w:tcW w:w="5316" w:type="dxa"/>
            <w:tcBorders>
              <w:top w:val="single" w:color="000000" w:sz="4" w:space="0"/>
              <w:left w:val="single" w:color="000000" w:sz="4" w:space="0"/>
              <w:bottom w:val="single" w:color="000000" w:sz="4" w:space="0"/>
              <w:right w:val="single" w:color="000000" w:sz="4" w:space="0"/>
            </w:tcBorders>
            <w:noWrap w:val="0"/>
            <w:vAlign w:val="top"/>
          </w:tcPr>
          <w:p>
            <w:pPr>
              <w:bidi w:val="0"/>
              <w:rPr>
                <w:rFonts w:hint="eastAsia" w:ascii="宋体" w:hAnsi="宋体" w:eastAsia="宋体" w:cs="宋体"/>
                <w:sz w:val="28"/>
                <w:szCs w:val="28"/>
              </w:rPr>
            </w:pPr>
            <w:r>
              <w:rPr>
                <w:rFonts w:hint="eastAsia" w:ascii="宋体" w:hAnsi="宋体" w:eastAsia="宋体" w:cs="宋体"/>
                <w:sz w:val="28"/>
                <w:szCs w:val="28"/>
              </w:rPr>
              <w:t xml:space="preserve"> </w:t>
            </w:r>
            <w:bookmarkStart w:id="203" w:name="_Toc5777"/>
            <w:bookmarkStart w:id="204" w:name="_Toc19655"/>
            <w:r>
              <w:rPr>
                <w:rFonts w:hint="eastAsia" w:ascii="宋体" w:hAnsi="宋体" w:eastAsia="宋体" w:cs="宋体"/>
                <w:sz w:val="28"/>
                <w:szCs w:val="28"/>
              </w:rPr>
              <w:t>对公表内信贷余额</w:t>
            </w:r>
            <w:bookmarkEnd w:id="203"/>
            <w:bookmarkEnd w:id="204"/>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205" w:name="_Toc26375"/>
            <w:bookmarkStart w:id="206" w:name="_Toc6785"/>
            <w:r>
              <w:rPr>
                <w:rFonts w:hint="eastAsia" w:ascii="宋体" w:hAnsi="宋体" w:eastAsia="宋体" w:cs="宋体"/>
                <w:sz w:val="28"/>
                <w:szCs w:val="28"/>
              </w:rPr>
              <w:t>6.59</w:t>
            </w:r>
            <w:bookmarkEnd w:id="205"/>
            <w:bookmarkEnd w:id="206"/>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207" w:name="_Toc14993"/>
            <w:bookmarkStart w:id="208" w:name="_Toc23883"/>
            <w:r>
              <w:rPr>
                <w:rFonts w:hint="eastAsia" w:ascii="宋体" w:hAnsi="宋体" w:eastAsia="宋体" w:cs="宋体"/>
                <w:sz w:val="28"/>
                <w:szCs w:val="28"/>
              </w:rPr>
              <w:t>亿元</w:t>
            </w:r>
            <w:bookmarkEnd w:id="207"/>
            <w:bookmarkEnd w:id="208"/>
          </w:p>
        </w:tc>
      </w:tr>
      <w:tr>
        <w:tblPrEx>
          <w:tblCellMar>
            <w:top w:w="0" w:type="dxa"/>
            <w:left w:w="108" w:type="dxa"/>
            <w:bottom w:w="0" w:type="dxa"/>
            <w:right w:w="108" w:type="dxa"/>
          </w:tblCellMar>
        </w:tblPrEx>
        <w:trPr>
          <w:trHeight w:val="280" w:hRule="atLeast"/>
        </w:trPr>
        <w:tc>
          <w:tcPr>
            <w:tcW w:w="5316" w:type="dxa"/>
            <w:tcBorders>
              <w:top w:val="single" w:color="000000" w:sz="4" w:space="0"/>
              <w:left w:val="single" w:color="000000" w:sz="4" w:space="0"/>
              <w:bottom w:val="single" w:color="000000" w:sz="4" w:space="0"/>
              <w:right w:val="single" w:color="000000" w:sz="4" w:space="0"/>
            </w:tcBorders>
            <w:noWrap w:val="0"/>
            <w:vAlign w:val="top"/>
          </w:tcPr>
          <w:p>
            <w:pPr>
              <w:bidi w:val="0"/>
              <w:rPr>
                <w:rFonts w:hint="eastAsia" w:ascii="宋体" w:hAnsi="宋体" w:eastAsia="宋体" w:cs="宋体"/>
                <w:sz w:val="28"/>
                <w:szCs w:val="28"/>
              </w:rPr>
            </w:pPr>
            <w:bookmarkStart w:id="209" w:name="_Toc29134"/>
            <w:bookmarkStart w:id="210" w:name="_Toc8323"/>
            <w:r>
              <w:rPr>
                <w:rFonts w:hint="eastAsia" w:ascii="宋体" w:hAnsi="宋体" w:eastAsia="宋体" w:cs="宋体"/>
                <w:sz w:val="28"/>
                <w:szCs w:val="28"/>
              </w:rPr>
              <w:t>其中：绿色信贷余额占对公表内信贷余额占比</w:t>
            </w:r>
            <w:bookmarkEnd w:id="209"/>
            <w:bookmarkEnd w:id="210"/>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211" w:name="_Toc915"/>
            <w:bookmarkStart w:id="212" w:name="_Toc14001"/>
            <w:r>
              <w:rPr>
                <w:rFonts w:hint="eastAsia" w:ascii="宋体" w:hAnsi="宋体" w:eastAsia="宋体" w:cs="宋体"/>
                <w:sz w:val="28"/>
                <w:szCs w:val="28"/>
              </w:rPr>
              <w:t>10.02</w:t>
            </w:r>
            <w:bookmarkEnd w:id="211"/>
            <w:bookmarkEnd w:id="212"/>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213" w:name="_Toc7946"/>
            <w:bookmarkStart w:id="214" w:name="_Toc28299"/>
            <w:r>
              <w:rPr>
                <w:rFonts w:hint="eastAsia" w:ascii="宋体" w:hAnsi="宋体" w:eastAsia="宋体" w:cs="宋体"/>
                <w:sz w:val="28"/>
                <w:szCs w:val="28"/>
              </w:rPr>
              <w:t>%</w:t>
            </w:r>
            <w:bookmarkEnd w:id="213"/>
            <w:bookmarkEnd w:id="214"/>
          </w:p>
        </w:tc>
      </w:tr>
      <w:tr>
        <w:tblPrEx>
          <w:tblCellMar>
            <w:top w:w="0" w:type="dxa"/>
            <w:left w:w="108" w:type="dxa"/>
            <w:bottom w:w="0" w:type="dxa"/>
            <w:right w:w="108" w:type="dxa"/>
          </w:tblCellMar>
        </w:tblPrEx>
        <w:trPr>
          <w:trHeight w:val="280" w:hRule="atLeast"/>
        </w:trPr>
        <w:tc>
          <w:tcPr>
            <w:tcW w:w="5316" w:type="dxa"/>
            <w:tcBorders>
              <w:top w:val="single" w:color="000000" w:sz="4" w:space="0"/>
              <w:left w:val="single" w:color="000000" w:sz="4" w:space="0"/>
              <w:bottom w:val="single" w:color="000000" w:sz="4" w:space="0"/>
              <w:right w:val="single" w:color="000000" w:sz="4" w:space="0"/>
            </w:tcBorders>
            <w:noWrap w:val="0"/>
            <w:vAlign w:val="top"/>
          </w:tcPr>
          <w:p>
            <w:pPr>
              <w:bidi w:val="0"/>
              <w:rPr>
                <w:rFonts w:hint="eastAsia" w:ascii="宋体" w:hAnsi="宋体" w:eastAsia="宋体" w:cs="宋体"/>
                <w:sz w:val="28"/>
                <w:szCs w:val="28"/>
              </w:rPr>
            </w:pPr>
            <w:bookmarkStart w:id="215" w:name="_Toc25150"/>
            <w:bookmarkStart w:id="216" w:name="_Toc7299"/>
            <w:r>
              <w:rPr>
                <w:rFonts w:hint="eastAsia" w:ascii="宋体" w:hAnsi="宋体" w:eastAsia="宋体" w:cs="宋体"/>
                <w:sz w:val="28"/>
                <w:szCs w:val="28"/>
              </w:rPr>
              <w:t>对公绿色客户数量</w:t>
            </w:r>
            <w:bookmarkEnd w:id="215"/>
            <w:bookmarkEnd w:id="216"/>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217" w:name="_Toc26880"/>
            <w:bookmarkStart w:id="218" w:name="_Toc6907"/>
            <w:r>
              <w:rPr>
                <w:rFonts w:hint="eastAsia" w:ascii="宋体" w:hAnsi="宋体" w:eastAsia="宋体" w:cs="宋体"/>
                <w:sz w:val="28"/>
                <w:szCs w:val="28"/>
              </w:rPr>
              <w:t>8</w:t>
            </w:r>
            <w:bookmarkEnd w:id="217"/>
            <w:bookmarkEnd w:id="218"/>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219" w:name="_Toc11160"/>
            <w:bookmarkStart w:id="220" w:name="_Toc28697"/>
            <w:r>
              <w:rPr>
                <w:rFonts w:hint="eastAsia" w:ascii="宋体" w:hAnsi="宋体" w:eastAsia="宋体" w:cs="宋体"/>
                <w:sz w:val="28"/>
                <w:szCs w:val="28"/>
              </w:rPr>
              <w:t>户</w:t>
            </w:r>
            <w:bookmarkEnd w:id="219"/>
            <w:bookmarkEnd w:id="220"/>
          </w:p>
        </w:tc>
      </w:tr>
      <w:tr>
        <w:tblPrEx>
          <w:tblCellMar>
            <w:top w:w="0" w:type="dxa"/>
            <w:left w:w="108" w:type="dxa"/>
            <w:bottom w:w="0" w:type="dxa"/>
            <w:right w:w="108" w:type="dxa"/>
          </w:tblCellMar>
        </w:tblPrEx>
        <w:trPr>
          <w:trHeight w:val="280" w:hRule="atLeast"/>
        </w:trPr>
        <w:tc>
          <w:tcPr>
            <w:tcW w:w="5316" w:type="dxa"/>
            <w:tcBorders>
              <w:top w:val="single" w:color="000000" w:sz="4" w:space="0"/>
              <w:left w:val="single" w:color="000000" w:sz="4" w:space="0"/>
              <w:bottom w:val="single" w:color="000000" w:sz="4" w:space="0"/>
              <w:right w:val="single" w:color="000000" w:sz="4" w:space="0"/>
            </w:tcBorders>
            <w:noWrap w:val="0"/>
            <w:vAlign w:val="top"/>
          </w:tcPr>
          <w:p>
            <w:pPr>
              <w:bidi w:val="0"/>
              <w:rPr>
                <w:rFonts w:hint="eastAsia" w:ascii="宋体" w:hAnsi="宋体" w:eastAsia="宋体" w:cs="宋体"/>
                <w:sz w:val="28"/>
                <w:szCs w:val="28"/>
              </w:rPr>
            </w:pPr>
            <w:r>
              <w:rPr>
                <w:rFonts w:hint="eastAsia" w:ascii="宋体" w:hAnsi="宋体" w:eastAsia="宋体" w:cs="宋体"/>
                <w:sz w:val="28"/>
                <w:szCs w:val="28"/>
              </w:rPr>
              <w:t xml:space="preserve"> </w:t>
            </w:r>
            <w:bookmarkStart w:id="221" w:name="_Toc17321"/>
            <w:bookmarkStart w:id="222" w:name="_Toc1507"/>
            <w:r>
              <w:rPr>
                <w:rFonts w:hint="eastAsia" w:ascii="宋体" w:hAnsi="宋体" w:eastAsia="宋体" w:cs="宋体"/>
                <w:sz w:val="28"/>
                <w:szCs w:val="28"/>
              </w:rPr>
              <w:t>零售信贷余额</w:t>
            </w:r>
            <w:bookmarkEnd w:id="221"/>
            <w:bookmarkEnd w:id="222"/>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223" w:name="_Toc5102"/>
            <w:bookmarkStart w:id="224" w:name="_Toc2991"/>
            <w:r>
              <w:rPr>
                <w:rFonts w:hint="eastAsia" w:ascii="宋体" w:hAnsi="宋体" w:eastAsia="宋体" w:cs="宋体"/>
                <w:sz w:val="28"/>
                <w:szCs w:val="28"/>
              </w:rPr>
              <w:t>45.56</w:t>
            </w:r>
            <w:bookmarkEnd w:id="223"/>
            <w:bookmarkEnd w:id="224"/>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sz w:val="28"/>
                <w:szCs w:val="28"/>
              </w:rPr>
            </w:pPr>
            <w:bookmarkStart w:id="225" w:name="_Toc14117"/>
            <w:bookmarkStart w:id="226" w:name="_Toc2942"/>
            <w:r>
              <w:rPr>
                <w:rFonts w:hint="eastAsia" w:ascii="宋体" w:hAnsi="宋体" w:eastAsia="宋体" w:cs="宋体"/>
                <w:sz w:val="28"/>
                <w:szCs w:val="28"/>
              </w:rPr>
              <w:t>亿元</w:t>
            </w:r>
            <w:bookmarkEnd w:id="225"/>
            <w:bookmarkEnd w:id="226"/>
          </w:p>
        </w:tc>
      </w:tr>
    </w:tbl>
    <w:p>
      <w:pPr>
        <w:bidi w:val="0"/>
        <w:ind w:firstLine="640" w:firstLineChars="200"/>
        <w:rPr>
          <w:rFonts w:ascii="宋体" w:hAnsi="宋体" w:cs="仿宋_GB2312"/>
          <w:szCs w:val="28"/>
        </w:rPr>
      </w:pPr>
      <w:bookmarkStart w:id="227" w:name="_Toc14621"/>
      <w:bookmarkStart w:id="228" w:name="_Toc25707"/>
      <w:bookmarkStart w:id="229" w:name="_Toc2598"/>
      <w:bookmarkStart w:id="230" w:name="_Toc14258"/>
      <w:bookmarkStart w:id="231" w:name="_Toc29162"/>
      <w:r>
        <w:rPr>
          <w:rFonts w:hint="eastAsia" w:ascii="仿宋" w:hAnsi="仿宋" w:eastAsia="仿宋" w:cs="仿宋"/>
          <w:sz w:val="32"/>
          <w:szCs w:val="32"/>
        </w:rPr>
        <w:t>我</w:t>
      </w:r>
      <w:r>
        <w:rPr>
          <w:rFonts w:hint="eastAsia" w:ascii="仿宋" w:hAnsi="仿宋" w:eastAsia="仿宋" w:cs="仿宋"/>
          <w:sz w:val="32"/>
          <w:szCs w:val="32"/>
          <w:lang w:val="en-US" w:eastAsia="zh-CN"/>
        </w:rPr>
        <w:t>社</w:t>
      </w:r>
      <w:r>
        <w:rPr>
          <w:rFonts w:hint="eastAsia" w:ascii="仿宋" w:hAnsi="仿宋" w:eastAsia="仿宋" w:cs="仿宋"/>
          <w:sz w:val="32"/>
          <w:szCs w:val="32"/>
        </w:rPr>
        <w:t>依据银保监会《绿色信贷项目节能减排量测算指引》中节能减排量测算要求，对绿色信贷项目贷款所形成的环境效益进行测算。</w:t>
      </w:r>
      <w:bookmarkEnd w:id="227"/>
      <w:bookmarkEnd w:id="228"/>
    </w:p>
    <w:p>
      <w:pPr>
        <w:bidi w:val="0"/>
        <w:jc w:val="center"/>
        <w:rPr>
          <w:rFonts w:hint="eastAsia"/>
          <w:sz w:val="32"/>
          <w:szCs w:val="32"/>
        </w:rPr>
      </w:pPr>
      <w:bookmarkStart w:id="232" w:name="_Toc27848"/>
      <w:bookmarkStart w:id="233" w:name="_Toc14667"/>
      <w:r>
        <w:rPr>
          <w:rFonts w:hint="eastAsia"/>
          <w:sz w:val="32"/>
          <w:szCs w:val="32"/>
        </w:rPr>
        <w:t>2021年绿色信贷环境效益</w:t>
      </w:r>
      <w:bookmarkEnd w:id="232"/>
      <w:bookmarkEnd w:id="233"/>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3"/>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893" w:type="dxa"/>
            <w:noWrap w:val="0"/>
            <w:vAlign w:val="top"/>
          </w:tcPr>
          <w:p>
            <w:pPr>
              <w:bidi w:val="0"/>
              <w:rPr>
                <w:rFonts w:hint="eastAsia" w:ascii="宋体" w:hAnsi="宋体" w:eastAsia="宋体" w:cs="宋体"/>
                <w:sz w:val="28"/>
                <w:szCs w:val="28"/>
              </w:rPr>
            </w:pPr>
            <w:bookmarkStart w:id="234" w:name="_Toc2988"/>
            <w:bookmarkStart w:id="235" w:name="_Toc1460"/>
            <w:r>
              <w:rPr>
                <w:rFonts w:hint="eastAsia" w:ascii="宋体" w:hAnsi="宋体" w:eastAsia="宋体" w:cs="宋体"/>
                <w:sz w:val="28"/>
                <w:szCs w:val="28"/>
              </w:rPr>
              <w:t>环境效益</w:t>
            </w:r>
            <w:bookmarkEnd w:id="234"/>
            <w:bookmarkEnd w:id="235"/>
          </w:p>
        </w:tc>
        <w:tc>
          <w:tcPr>
            <w:tcW w:w="3629" w:type="dxa"/>
            <w:noWrap w:val="0"/>
            <w:vAlign w:val="top"/>
          </w:tcPr>
          <w:p>
            <w:pPr>
              <w:bidi w:val="0"/>
              <w:rPr>
                <w:rFonts w:hint="eastAsia" w:ascii="宋体" w:hAnsi="宋体" w:eastAsia="宋体" w:cs="宋体"/>
                <w:sz w:val="28"/>
                <w:szCs w:val="28"/>
              </w:rPr>
            </w:pPr>
            <w:bookmarkStart w:id="236" w:name="_Toc11326"/>
            <w:bookmarkStart w:id="237" w:name="_Toc8855"/>
            <w:r>
              <w:rPr>
                <w:rFonts w:hint="eastAsia" w:ascii="宋体" w:hAnsi="宋体" w:eastAsia="宋体" w:cs="宋体"/>
                <w:sz w:val="28"/>
                <w:szCs w:val="28"/>
              </w:rPr>
              <w:t>披露数据</w:t>
            </w:r>
            <w:bookmarkEnd w:id="236"/>
            <w:bookmarkEnd w:id="2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93" w:type="dxa"/>
            <w:noWrap w:val="0"/>
            <w:vAlign w:val="center"/>
          </w:tcPr>
          <w:p>
            <w:pPr>
              <w:bidi w:val="0"/>
              <w:rPr>
                <w:rFonts w:hint="eastAsia" w:ascii="宋体" w:hAnsi="宋体" w:eastAsia="宋体" w:cs="宋体"/>
                <w:sz w:val="28"/>
                <w:szCs w:val="28"/>
              </w:rPr>
            </w:pPr>
            <w:bookmarkStart w:id="238" w:name="_Toc23535"/>
            <w:bookmarkStart w:id="239" w:name="_Toc4636"/>
            <w:r>
              <w:rPr>
                <w:rFonts w:hint="eastAsia" w:ascii="宋体" w:hAnsi="宋体" w:eastAsia="宋体" w:cs="宋体"/>
                <w:sz w:val="28"/>
                <w:szCs w:val="28"/>
              </w:rPr>
              <w:t>节约标准煤（吨）</w:t>
            </w:r>
            <w:bookmarkEnd w:id="238"/>
            <w:bookmarkEnd w:id="239"/>
          </w:p>
        </w:tc>
        <w:tc>
          <w:tcPr>
            <w:tcW w:w="3629" w:type="dxa"/>
            <w:noWrap w:val="0"/>
            <w:vAlign w:val="center"/>
          </w:tcPr>
          <w:p>
            <w:pPr>
              <w:bidi w:val="0"/>
              <w:rPr>
                <w:rFonts w:hint="eastAsia" w:ascii="宋体" w:hAnsi="宋体" w:eastAsia="宋体" w:cs="宋体"/>
                <w:sz w:val="28"/>
                <w:szCs w:val="28"/>
              </w:rPr>
            </w:pPr>
            <w:bookmarkStart w:id="240" w:name="_Toc7605"/>
            <w:bookmarkStart w:id="241" w:name="_Toc27412"/>
            <w:r>
              <w:rPr>
                <w:rFonts w:hint="eastAsia" w:ascii="宋体" w:hAnsi="宋体" w:eastAsia="宋体" w:cs="宋体"/>
                <w:sz w:val="28"/>
                <w:szCs w:val="28"/>
              </w:rPr>
              <w:t>68.97</w:t>
            </w:r>
            <w:bookmarkEnd w:id="240"/>
            <w:bookmarkEnd w:id="241"/>
            <w:r>
              <w:rPr>
                <w:rFonts w:hint="eastAsia" w:ascii="宋体" w:hAnsi="宋体" w:eastAsia="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93" w:type="dxa"/>
            <w:noWrap w:val="0"/>
            <w:vAlign w:val="center"/>
          </w:tcPr>
          <w:p>
            <w:pPr>
              <w:bidi w:val="0"/>
              <w:rPr>
                <w:rFonts w:hint="eastAsia" w:ascii="宋体" w:hAnsi="宋体" w:eastAsia="宋体" w:cs="宋体"/>
                <w:sz w:val="28"/>
                <w:szCs w:val="28"/>
              </w:rPr>
            </w:pPr>
            <w:bookmarkStart w:id="242" w:name="_Toc18305"/>
            <w:bookmarkStart w:id="243" w:name="_Toc2701"/>
            <w:r>
              <w:rPr>
                <w:rFonts w:hint="eastAsia" w:ascii="宋体" w:hAnsi="宋体" w:eastAsia="宋体" w:cs="宋体"/>
                <w:sz w:val="28"/>
                <w:szCs w:val="28"/>
              </w:rPr>
              <w:t>二氧化碳减排量（吨）</w:t>
            </w:r>
            <w:bookmarkEnd w:id="242"/>
            <w:bookmarkEnd w:id="243"/>
          </w:p>
        </w:tc>
        <w:tc>
          <w:tcPr>
            <w:tcW w:w="3629" w:type="dxa"/>
            <w:noWrap w:val="0"/>
            <w:vAlign w:val="center"/>
          </w:tcPr>
          <w:p>
            <w:pPr>
              <w:bidi w:val="0"/>
              <w:rPr>
                <w:rFonts w:hint="eastAsia" w:ascii="宋体" w:hAnsi="宋体" w:eastAsia="宋体" w:cs="宋体"/>
                <w:sz w:val="28"/>
                <w:szCs w:val="28"/>
              </w:rPr>
            </w:pPr>
            <w:bookmarkStart w:id="244" w:name="_Toc2582"/>
            <w:bookmarkStart w:id="245" w:name="_Toc6090"/>
            <w:r>
              <w:rPr>
                <w:rFonts w:hint="eastAsia" w:ascii="宋体" w:hAnsi="宋体" w:eastAsia="宋体" w:cs="宋体"/>
                <w:sz w:val="28"/>
                <w:szCs w:val="28"/>
              </w:rPr>
              <w:t>237.79</w:t>
            </w:r>
            <w:bookmarkEnd w:id="244"/>
            <w:bookmarkEnd w:id="245"/>
            <w:r>
              <w:rPr>
                <w:rFonts w:hint="eastAsia" w:ascii="宋体" w:hAnsi="宋体" w:eastAsia="宋体" w:cs="宋体"/>
                <w:sz w:val="28"/>
                <w:szCs w:val="28"/>
              </w:rPr>
              <w:t xml:space="preserve"> </w:t>
            </w:r>
          </w:p>
        </w:tc>
      </w:tr>
    </w:tbl>
    <w:p>
      <w:pPr>
        <w:bidi w:val="0"/>
      </w:pPr>
      <w:bookmarkStart w:id="246" w:name="_Toc25495"/>
      <w:bookmarkStart w:id="247" w:name="_Toc25489"/>
      <w:r>
        <w:rPr>
          <w:rFonts w:hint="eastAsia"/>
        </w:rPr>
        <w:t>注：考虑数据可获取性和可计算性，部分无法量化的环境效益未列入其中。</w:t>
      </w:r>
      <w:bookmarkEnd w:id="246"/>
      <w:bookmarkEnd w:id="247"/>
    </w:p>
    <w:p>
      <w:pPr>
        <w:pStyle w:val="6"/>
        <w:bidi w:val="0"/>
      </w:pPr>
      <w:bookmarkStart w:id="248" w:name="_Toc32355"/>
      <w:r>
        <w:rPr>
          <w:rFonts w:hint="eastAsia"/>
        </w:rPr>
        <w:t>7.3 环境风险对投融资影响的测算与表达</w:t>
      </w:r>
      <w:bookmarkEnd w:id="229"/>
      <w:bookmarkEnd w:id="230"/>
      <w:bookmarkEnd w:id="231"/>
      <w:bookmarkEnd w:id="24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249" w:name="_Toc6442"/>
      <w:bookmarkStart w:id="250" w:name="_Toc5164"/>
      <w:r>
        <w:rPr>
          <w:rFonts w:hint="eastAsia" w:ascii="仿宋" w:hAnsi="仿宋" w:eastAsia="仿宋" w:cs="仿宋"/>
          <w:sz w:val="32"/>
          <w:szCs w:val="32"/>
        </w:rPr>
        <w:t>我社采用的环境影响测算方法来源于《金融机构碳核算技术指南（试行）》，其中企业碳排放数据基于客户提供的碳排放数据或能耗数据计算得出，对于部分贷款企业/项目数据如客户无法提供，则主要根据企业/项目投入量/产出量等参数与同行业企业/项目类别得到。企业或项目本身的碳排放量是按照GB/T 32150及相关企业温室气体排放核算和报告标准、企业温室气体排放核算方法与报告指南（试行）等的要求，核算其报告期内的排放量。我行支持企业或项目建设运营投放的信贷产生的碳排放量依据其对企业或项目的月均投资额与企业总资产或项目总投资的比例分摊折算得到，具体测算公式如下：</w:t>
      </w:r>
      <w:bookmarkEnd w:id="249"/>
      <w:bookmarkEnd w:id="250"/>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noWrap w:val="0"/>
            <w:vAlign w:val="center"/>
          </w:tcPr>
          <w:p>
            <w:pPr>
              <w:bidi w:val="0"/>
            </w:pPr>
            <w:bookmarkStart w:id="251" w:name="_Toc11193"/>
            <w:bookmarkStart w:id="252" w:name="_Toc174"/>
            <m:oMathPara>
              <m:oMath>
                <m:sSub>
                  <m:sSubPr>
                    <m:ctrlPr>
                      <w:rPr>
                        <w:rFonts w:hint="default" w:ascii="Cambria Math" w:hAnsi="Cambria Math"/>
                      </w:rPr>
                    </m:ctrlPr>
                  </m:sSubPr>
                  <m:e>
                    <m:r>
                      <m:rPr>
                        <m:sty m:val="p"/>
                      </m:rPr>
                      <w:rPr>
                        <w:rFonts w:hint="eastAsia" w:ascii="Cambria Math" w:hAnsi="Cambria Math"/>
                      </w:rPr>
                      <m:t>E</m:t>
                    </m:r>
                    <m:ctrlPr>
                      <w:rPr>
                        <w:rFonts w:hint="default" w:ascii="Cambria Math" w:hAnsi="Cambria Math"/>
                      </w:rPr>
                    </m:ctrlPr>
                  </m:e>
                  <m:sub>
                    <m:r>
                      <m:rPr>
                        <m:sty m:val="p"/>
                      </m:rPr>
                      <w:rPr>
                        <w:rFonts w:hint="eastAsia" w:ascii="Cambria Math" w:hAnsi="Cambria Math"/>
                      </w:rPr>
                      <m:t>项目业务</m:t>
                    </m:r>
                    <m:ctrlPr>
                      <w:rPr>
                        <w:rFonts w:hint="default" w:ascii="Cambria Math" w:hAnsi="Cambria Math"/>
                      </w:rPr>
                    </m:ctrlPr>
                  </m:sub>
                </m:sSub>
                <m:r>
                  <m:rPr>
                    <m:sty m:val="p"/>
                  </m:rPr>
                  <w:rPr>
                    <w:rFonts w:hint="eastAsia" w:ascii="Cambria Math" w:hAnsi="Cambria Math"/>
                  </w:rPr>
                  <m:t>=</m:t>
                </m:r>
                <m:sSub>
                  <m:sSubPr>
                    <m:ctrlPr>
                      <w:rPr>
                        <w:rFonts w:hint="default" w:ascii="Cambria Math" w:hAnsi="Cambria Math"/>
                      </w:rPr>
                    </m:ctrlPr>
                  </m:sSubPr>
                  <m:e>
                    <m:r>
                      <m:rPr>
                        <m:sty m:val="p"/>
                      </m:rPr>
                      <w:rPr>
                        <w:rFonts w:hint="eastAsia" w:ascii="Cambria Math" w:hAnsi="Cambria Math"/>
                      </w:rPr>
                      <m:t>E</m:t>
                    </m:r>
                    <m:ctrlPr>
                      <w:rPr>
                        <w:rFonts w:hint="default" w:ascii="Cambria Math" w:hAnsi="Cambria Math"/>
                      </w:rPr>
                    </m:ctrlPr>
                  </m:e>
                  <m:sub>
                    <m:r>
                      <m:rPr>
                        <m:sty m:val="p"/>
                      </m:rPr>
                      <w:rPr>
                        <w:rFonts w:hint="eastAsia" w:ascii="Cambria Math" w:hAnsi="Cambria Math"/>
                      </w:rPr>
                      <m:t>项目</m:t>
                    </m:r>
                    <m:ctrlPr>
                      <w:rPr>
                        <w:rFonts w:hint="default" w:ascii="Cambria Math" w:hAnsi="Cambria Math"/>
                      </w:rPr>
                    </m:ctrlPr>
                  </m:sub>
                </m:sSub>
                <m:r>
                  <m:rPr>
                    <m:sty m:val="p"/>
                  </m:rPr>
                  <w:rPr>
                    <w:rFonts w:hint="eastAsia" w:ascii="Cambria Math" w:hAnsi="Cambria Math"/>
                  </w:rPr>
                  <m:t>×（</m:t>
                </m:r>
                <m:f>
                  <m:fPr>
                    <m:ctrlPr>
                      <w:rPr>
                        <w:rFonts w:hint="eastAsia" w:ascii="Cambria Math" w:hAnsi="Cambria Math"/>
                      </w:rPr>
                    </m:ctrlPr>
                  </m:fPr>
                  <m:num>
                    <m:sSub>
                      <m:sSubPr>
                        <m:ctrlPr>
                          <w:rPr>
                            <w:rFonts w:hint="default" w:ascii="Cambria Math" w:hAnsi="Cambria Math"/>
                          </w:rPr>
                        </m:ctrlPr>
                      </m:sSubPr>
                      <m:e>
                        <m:r>
                          <m:rPr>
                            <m:sty m:val="p"/>
                          </m:rPr>
                          <w:rPr>
                            <w:rFonts w:hint="eastAsia" w:ascii="Cambria Math" w:hAnsi="Cambria Math"/>
                          </w:rPr>
                          <m:t>V</m:t>
                        </m:r>
                        <m:ctrlPr>
                          <w:rPr>
                            <w:rFonts w:hint="default" w:ascii="Cambria Math" w:hAnsi="Cambria Math"/>
                          </w:rPr>
                        </m:ctrlPr>
                      </m:e>
                      <m:sub>
                        <m:r>
                          <m:rPr>
                            <m:sty m:val="p"/>
                          </m:rPr>
                          <w:rPr>
                            <w:rFonts w:hint="eastAsia" w:ascii="Cambria Math" w:hAnsi="Cambria Math"/>
                          </w:rPr>
                          <m:t>投资</m:t>
                        </m:r>
                        <m:ctrlPr>
                          <w:rPr>
                            <w:rFonts w:hint="default" w:ascii="Cambria Math" w:hAnsi="Cambria Math"/>
                          </w:rPr>
                        </m:ctrlPr>
                      </m:sub>
                    </m:sSub>
                    <m:ctrlPr>
                      <w:rPr>
                        <w:rFonts w:hint="eastAsia" w:ascii="Cambria Math" w:hAnsi="Cambria Math"/>
                      </w:rPr>
                    </m:ctrlPr>
                  </m:num>
                  <m:den>
                    <m:sSub>
                      <m:sSubPr>
                        <m:ctrlPr>
                          <w:rPr>
                            <w:rFonts w:hint="default" w:ascii="Cambria Math" w:hAnsi="Cambria Math"/>
                          </w:rPr>
                        </m:ctrlPr>
                      </m:sSubPr>
                      <m:e>
                        <m:r>
                          <m:rPr>
                            <m:sty m:val="p"/>
                          </m:rPr>
                          <w:rPr>
                            <w:rFonts w:hint="eastAsia" w:ascii="Cambria Math" w:hAnsi="Cambria Math"/>
                          </w:rPr>
                          <m:t>V</m:t>
                        </m:r>
                        <m:ctrlPr>
                          <w:rPr>
                            <w:rFonts w:hint="default" w:ascii="Cambria Math" w:hAnsi="Cambria Math"/>
                          </w:rPr>
                        </m:ctrlPr>
                      </m:e>
                      <m:sub>
                        <m:r>
                          <m:rPr>
                            <m:sty m:val="p"/>
                          </m:rPr>
                          <w:rPr>
                            <w:rFonts w:hint="eastAsia" w:ascii="Cambria Math" w:hAnsi="Cambria Math"/>
                          </w:rPr>
                          <m:t>总投资</m:t>
                        </m:r>
                        <m:ctrlPr>
                          <w:rPr>
                            <w:rFonts w:hint="default" w:ascii="Cambria Math" w:hAnsi="Cambria Math"/>
                          </w:rPr>
                        </m:ctrlPr>
                      </m:sub>
                    </m:sSub>
                    <m:ctrlPr>
                      <w:rPr>
                        <w:rFonts w:hint="eastAsia" w:ascii="Cambria Math" w:hAnsi="Cambria Math"/>
                      </w:rPr>
                    </m:ctrlPr>
                  </m:den>
                </m:f>
                <m:r>
                  <m:rPr>
                    <m:sty m:val="p"/>
                  </m:rPr>
                  <w:rPr>
                    <w:rFonts w:hint="eastAsia" w:ascii="Cambria Math" w:hAnsi="Cambria Math"/>
                  </w:rPr>
                  <m:t>）</m:t>
                </m:r>
              </m:oMath>
            </m:oMathPara>
            <w:bookmarkEnd w:id="251"/>
            <w:bookmarkEnd w:id="2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bidi w:val="0"/>
            </w:pPr>
            <w:bookmarkStart w:id="253" w:name="_Toc30680"/>
            <w:bookmarkStart w:id="254" w:name="_Toc30567"/>
            <w:r>
              <w:rPr>
                <w:rFonts w:hint="eastAsia"/>
              </w:rPr>
              <w:t>此式为项目融资业务的碳排放核算公式，式中：</w:t>
            </w:r>
            <w:bookmarkEnd w:id="253"/>
            <w:bookmarkEnd w:id="254"/>
            <w:r>
              <w:rPr>
                <w:rFonts w:hint="eastAsia"/>
              </w:rPr>
              <w:t xml:space="preserve"> </w:t>
            </w:r>
          </w:p>
          <w:p>
            <w:pPr>
              <w:bidi w:val="0"/>
            </w:pPr>
            <w:bookmarkStart w:id="255" w:name="_Toc30191"/>
            <w:bookmarkStart w:id="256" w:name="_Toc30349"/>
            <w:r>
              <w:rPr>
                <w:rFonts w:hint="eastAsia"/>
              </w:rPr>
              <w:t>E项目业务——报告期内，项目融资业务对应的碳排放量，单位为吨二氧化碳当量（tCO2e）；</w:t>
            </w:r>
            <w:bookmarkEnd w:id="255"/>
            <w:bookmarkEnd w:id="256"/>
            <w:r>
              <w:rPr>
                <w:rFonts w:hint="eastAsia"/>
              </w:rPr>
              <w:t xml:space="preserve"> </w:t>
            </w:r>
          </w:p>
          <w:p>
            <w:pPr>
              <w:bidi w:val="0"/>
            </w:pPr>
            <w:bookmarkStart w:id="257" w:name="_Toc18165"/>
            <w:bookmarkStart w:id="258" w:name="_Toc19159"/>
            <w:r>
              <w:rPr>
                <w:rFonts w:hint="eastAsia"/>
              </w:rPr>
              <w:t>E项目——报告期内，项目的碳排放量，单位为吨二氧化碳当量（tCO2e）；</w:t>
            </w:r>
            <w:bookmarkEnd w:id="257"/>
            <w:bookmarkEnd w:id="258"/>
            <w:r>
              <w:rPr>
                <w:rFonts w:hint="eastAsia"/>
              </w:rPr>
              <w:t xml:space="preserve"> </w:t>
            </w:r>
          </w:p>
          <w:p>
            <w:pPr>
              <w:bidi w:val="0"/>
            </w:pPr>
            <w:bookmarkStart w:id="259" w:name="_Toc20196"/>
            <w:bookmarkStart w:id="260" w:name="_Toc12482"/>
            <w:r>
              <w:rPr>
                <w:rFonts w:hint="eastAsia"/>
              </w:rPr>
              <w:t>V投资——报告期内，金融机构对项目的月均投资额，单位为万元；</w:t>
            </w:r>
            <w:bookmarkEnd w:id="259"/>
            <w:bookmarkEnd w:id="260"/>
            <w:r>
              <w:rPr>
                <w:rFonts w:hint="eastAsia"/>
              </w:rPr>
              <w:t xml:space="preserve"> </w:t>
            </w:r>
          </w:p>
          <w:p>
            <w:pPr>
              <w:bidi w:val="0"/>
            </w:pPr>
            <w:bookmarkStart w:id="261" w:name="_Toc25493"/>
            <w:bookmarkStart w:id="262" w:name="_Toc6791"/>
            <w:r>
              <w:rPr>
                <w:rFonts w:hint="eastAsia"/>
              </w:rPr>
              <w:t>V总投资——报告期内，项目的总投资额，单位为万元。</w:t>
            </w:r>
            <w:bookmarkEnd w:id="261"/>
            <w:bookmarkEnd w:id="262"/>
            <w:r>
              <w:rPr>
                <w:rFonts w:hint="eastAsia"/>
              </w:rPr>
              <w:t xml:space="preserve"> </w:t>
            </w:r>
          </w:p>
          <w:p>
            <w:pPr>
              <w:bidi w:val="0"/>
            </w:pPr>
            <w:bookmarkStart w:id="263" w:name="_Toc28250"/>
            <w:bookmarkStart w:id="264" w:name="_Toc6193"/>
            <w:r>
              <w:rPr>
                <w:rFonts w:hint="eastAsia"/>
              </w:rPr>
              <w:t>当V投资&gt; V总投资时，</w:t>
            </w:r>
            <m:oMath>
              <m:r>
                <m:rPr>
                  <m:sty m:val="p"/>
                </m:rPr>
                <w:rPr>
                  <w:rFonts w:hint="eastAsia" w:ascii="Cambria Math" w:hAnsi="Cambria Math"/>
                </w:rPr>
                <m:t>（</m:t>
              </m:r>
              <m:f>
                <m:fPr>
                  <m:ctrlPr>
                    <w:rPr>
                      <w:rFonts w:hint="eastAsia" w:ascii="Cambria Math" w:hAnsi="Cambria Math"/>
                    </w:rPr>
                  </m:ctrlPr>
                </m:fPr>
                <m:num>
                  <m:sSub>
                    <m:sSubPr>
                      <m:ctrlPr>
                        <w:rPr>
                          <w:rFonts w:hint="default" w:ascii="Cambria Math" w:hAnsi="Cambria Math"/>
                        </w:rPr>
                      </m:ctrlPr>
                    </m:sSubPr>
                    <m:e>
                      <m:r>
                        <m:rPr>
                          <m:sty m:val="p"/>
                        </m:rPr>
                        <w:rPr>
                          <w:rFonts w:hint="eastAsia" w:ascii="Cambria Math" w:hAnsi="Cambria Math"/>
                        </w:rPr>
                        <m:t>V</m:t>
                      </m:r>
                      <m:ctrlPr>
                        <w:rPr>
                          <w:rFonts w:hint="default" w:ascii="Cambria Math" w:hAnsi="Cambria Math"/>
                        </w:rPr>
                      </m:ctrlPr>
                    </m:e>
                    <m:sub>
                      <m:r>
                        <m:rPr>
                          <m:sty m:val="p"/>
                        </m:rPr>
                        <w:rPr>
                          <w:rFonts w:hint="eastAsia" w:ascii="Cambria Math" w:hAnsi="Cambria Math"/>
                        </w:rPr>
                        <m:t>投资</m:t>
                      </m:r>
                      <m:ctrlPr>
                        <w:rPr>
                          <w:rFonts w:hint="default" w:ascii="Cambria Math" w:hAnsi="Cambria Math"/>
                        </w:rPr>
                      </m:ctrlPr>
                    </m:sub>
                  </m:sSub>
                  <m:ctrlPr>
                    <w:rPr>
                      <w:rFonts w:hint="eastAsia" w:ascii="Cambria Math" w:hAnsi="Cambria Math"/>
                    </w:rPr>
                  </m:ctrlPr>
                </m:num>
                <m:den>
                  <m:sSub>
                    <m:sSubPr>
                      <m:ctrlPr>
                        <w:rPr>
                          <w:rFonts w:hint="default" w:ascii="Cambria Math" w:hAnsi="Cambria Math"/>
                        </w:rPr>
                      </m:ctrlPr>
                    </m:sSubPr>
                    <m:e>
                      <m:r>
                        <m:rPr>
                          <m:sty m:val="p"/>
                        </m:rPr>
                        <w:rPr>
                          <w:rFonts w:hint="eastAsia" w:ascii="Cambria Math" w:hAnsi="Cambria Math"/>
                        </w:rPr>
                        <m:t>V</m:t>
                      </m:r>
                      <m:ctrlPr>
                        <w:rPr>
                          <w:rFonts w:hint="default" w:ascii="Cambria Math" w:hAnsi="Cambria Math"/>
                        </w:rPr>
                      </m:ctrlPr>
                    </m:e>
                    <m:sub>
                      <m:r>
                        <m:rPr>
                          <m:sty m:val="p"/>
                        </m:rPr>
                        <w:rPr>
                          <w:rFonts w:hint="eastAsia" w:ascii="Cambria Math" w:hAnsi="Cambria Math"/>
                        </w:rPr>
                        <m:t>总投资</m:t>
                      </m:r>
                      <m:ctrlPr>
                        <w:rPr>
                          <w:rFonts w:hint="default" w:ascii="Cambria Math" w:hAnsi="Cambria Math"/>
                        </w:rPr>
                      </m:ctrlPr>
                    </m:sub>
                  </m:sSub>
                  <m:ctrlPr>
                    <w:rPr>
                      <w:rFonts w:hint="eastAsia" w:ascii="Cambria Math" w:hAnsi="Cambria Math"/>
                    </w:rPr>
                  </m:ctrlPr>
                </m:den>
              </m:f>
              <m:r>
                <m:rPr>
                  <m:sty m:val="p"/>
                </m:rPr>
                <w:rPr>
                  <w:rFonts w:hint="eastAsia" w:ascii="Cambria Math" w:hAnsi="Cambria Math"/>
                </w:rPr>
                <m:t>）</m:t>
              </m:r>
            </m:oMath>
            <w:r>
              <w:rPr>
                <w:rFonts w:hint="eastAsia"/>
              </w:rPr>
              <w:t>= 1</w:t>
            </w:r>
            <w:bookmarkEnd w:id="263"/>
            <w:bookmarkEnd w:id="2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296" w:type="dxa"/>
            <w:noWrap w:val="0"/>
            <w:vAlign w:val="center"/>
          </w:tcPr>
          <w:p>
            <w:pPr>
              <w:bidi w:val="0"/>
            </w:pPr>
            <w:bookmarkStart w:id="265" w:name="_Toc31170"/>
            <w:bookmarkStart w:id="266" w:name="_Toc21615"/>
            <m:oMathPara>
              <m:oMath>
                <m:sSub>
                  <m:sSubPr>
                    <m:ctrlPr>
                      <w:rPr>
                        <w:rFonts w:hint="default" w:ascii="Cambria Math" w:hAnsi="Cambria Math"/>
                      </w:rPr>
                    </m:ctrlPr>
                  </m:sSubPr>
                  <m:e>
                    <m:r>
                      <m:rPr>
                        <m:sty m:val="p"/>
                      </m:rPr>
                      <w:rPr>
                        <w:rFonts w:hint="eastAsia" w:ascii="Cambria Math" w:hAnsi="Cambria Math"/>
                      </w:rPr>
                      <m:t>E</m:t>
                    </m:r>
                    <m:ctrlPr>
                      <w:rPr>
                        <w:rFonts w:hint="default" w:ascii="Cambria Math" w:hAnsi="Cambria Math"/>
                      </w:rPr>
                    </m:ctrlPr>
                  </m:e>
                  <m:sub>
                    <m:r>
                      <m:rPr>
                        <m:sty m:val="p"/>
                      </m:rPr>
                      <w:rPr>
                        <w:rFonts w:hint="eastAsia" w:ascii="Cambria Math" w:hAnsi="Cambria Math"/>
                      </w:rPr>
                      <m:t>非项目业务</m:t>
                    </m:r>
                    <m:ctrlPr>
                      <w:rPr>
                        <w:rFonts w:hint="default" w:ascii="Cambria Math" w:hAnsi="Cambria Math"/>
                      </w:rPr>
                    </m:ctrlPr>
                  </m:sub>
                </m:sSub>
                <m:r>
                  <m:rPr>
                    <m:sty m:val="p"/>
                  </m:rPr>
                  <w:rPr>
                    <w:rFonts w:hint="eastAsia" w:ascii="Cambria Math" w:hAnsi="Cambria Math"/>
                  </w:rPr>
                  <m:t>=</m:t>
                </m:r>
                <m:sSub>
                  <m:sSubPr>
                    <m:ctrlPr>
                      <w:rPr>
                        <w:rFonts w:hint="default" w:ascii="Cambria Math" w:hAnsi="Cambria Math"/>
                      </w:rPr>
                    </m:ctrlPr>
                  </m:sSubPr>
                  <m:e>
                    <m:r>
                      <m:rPr>
                        <m:sty m:val="p"/>
                      </m:rPr>
                      <w:rPr>
                        <w:rFonts w:hint="eastAsia" w:ascii="Cambria Math" w:hAnsi="Cambria Math"/>
                      </w:rPr>
                      <m:t>E</m:t>
                    </m:r>
                    <m:ctrlPr>
                      <w:rPr>
                        <w:rFonts w:hint="default" w:ascii="Cambria Math" w:hAnsi="Cambria Math"/>
                      </w:rPr>
                    </m:ctrlPr>
                  </m:e>
                  <m:sub>
                    <m:r>
                      <m:rPr>
                        <m:sty m:val="p"/>
                      </m:rPr>
                      <w:rPr>
                        <w:rFonts w:hint="eastAsia" w:ascii="Cambria Math" w:hAnsi="Cambria Math"/>
                      </w:rPr>
                      <m:t>主体</m:t>
                    </m:r>
                    <m:ctrlPr>
                      <w:rPr>
                        <w:rFonts w:hint="default" w:ascii="Cambria Math" w:hAnsi="Cambria Math"/>
                      </w:rPr>
                    </m:ctrlPr>
                  </m:sub>
                </m:sSub>
                <m:r>
                  <m:rPr>
                    <m:sty m:val="p"/>
                  </m:rPr>
                  <w:rPr>
                    <w:rFonts w:hint="eastAsia" w:ascii="Cambria Math" w:hAnsi="Cambria Math"/>
                  </w:rPr>
                  <m:t>×（</m:t>
                </m:r>
                <m:f>
                  <m:fPr>
                    <m:ctrlPr>
                      <w:rPr>
                        <w:rFonts w:hint="eastAsia" w:ascii="Cambria Math" w:hAnsi="Cambria Math"/>
                      </w:rPr>
                    </m:ctrlPr>
                  </m:fPr>
                  <m:num>
                    <m:sSub>
                      <m:sSubPr>
                        <m:ctrlPr>
                          <w:rPr>
                            <w:rFonts w:hint="default" w:ascii="Cambria Math" w:hAnsi="Cambria Math"/>
                          </w:rPr>
                        </m:ctrlPr>
                      </m:sSubPr>
                      <m:e>
                        <m:r>
                          <m:rPr>
                            <m:sty m:val="p"/>
                          </m:rPr>
                          <w:rPr>
                            <w:rFonts w:hint="eastAsia" w:ascii="Cambria Math" w:hAnsi="Cambria Math"/>
                          </w:rPr>
                          <m:t>V</m:t>
                        </m:r>
                        <m:ctrlPr>
                          <w:rPr>
                            <w:rFonts w:hint="default" w:ascii="Cambria Math" w:hAnsi="Cambria Math"/>
                          </w:rPr>
                        </m:ctrlPr>
                      </m:e>
                      <m:sub>
                        <m:r>
                          <m:rPr>
                            <m:sty m:val="p"/>
                          </m:rPr>
                          <w:rPr>
                            <w:rFonts w:hint="eastAsia" w:ascii="Cambria Math" w:hAnsi="Cambria Math"/>
                          </w:rPr>
                          <m:t>融资</m:t>
                        </m:r>
                        <m:ctrlPr>
                          <w:rPr>
                            <w:rFonts w:hint="default" w:ascii="Cambria Math" w:hAnsi="Cambria Math"/>
                          </w:rPr>
                        </m:ctrlPr>
                      </m:sub>
                    </m:sSub>
                    <m:ctrlPr>
                      <w:rPr>
                        <w:rFonts w:hint="eastAsia" w:ascii="Cambria Math" w:hAnsi="Cambria Math"/>
                      </w:rPr>
                    </m:ctrlPr>
                  </m:num>
                  <m:den>
                    <m:sSub>
                      <m:sSubPr>
                        <m:ctrlPr>
                          <w:rPr>
                            <w:rFonts w:hint="default" w:ascii="Cambria Math" w:hAnsi="Cambria Math"/>
                          </w:rPr>
                        </m:ctrlPr>
                      </m:sSubPr>
                      <m:e>
                        <m:r>
                          <m:rPr>
                            <m:sty m:val="p"/>
                          </m:rPr>
                          <w:rPr>
                            <w:rFonts w:hint="eastAsia" w:ascii="Cambria Math" w:hAnsi="Cambria Math"/>
                          </w:rPr>
                          <m:t>V</m:t>
                        </m:r>
                        <m:ctrlPr>
                          <w:rPr>
                            <w:rFonts w:hint="default" w:ascii="Cambria Math" w:hAnsi="Cambria Math"/>
                          </w:rPr>
                        </m:ctrlPr>
                      </m:e>
                      <m:sub>
                        <m:r>
                          <m:rPr>
                            <m:sty m:val="p"/>
                          </m:rPr>
                          <w:rPr>
                            <w:rFonts w:hint="eastAsia" w:ascii="Cambria Math" w:hAnsi="Cambria Math"/>
                          </w:rPr>
                          <m:t>收入</m:t>
                        </m:r>
                        <m:ctrlPr>
                          <w:rPr>
                            <w:rFonts w:hint="default" w:ascii="Cambria Math" w:hAnsi="Cambria Math"/>
                          </w:rPr>
                        </m:ctrlPr>
                      </m:sub>
                    </m:sSub>
                    <m:ctrlPr>
                      <w:rPr>
                        <w:rFonts w:hint="eastAsia" w:ascii="Cambria Math" w:hAnsi="Cambria Math"/>
                      </w:rPr>
                    </m:ctrlPr>
                  </m:den>
                </m:f>
                <m:r>
                  <m:rPr>
                    <m:sty m:val="p"/>
                  </m:rPr>
                  <w:rPr>
                    <w:rFonts w:hint="eastAsia" w:ascii="Cambria Math" w:hAnsi="Cambria Math"/>
                  </w:rPr>
                  <m:t>）</m:t>
                </m:r>
                <w:bookmarkEnd w:id="265"/>
                <w:bookmarkEnd w:id="266"/>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296" w:type="dxa"/>
            <w:noWrap w:val="0"/>
            <w:vAlign w:val="top"/>
          </w:tcPr>
          <w:p>
            <w:pPr>
              <w:bidi w:val="0"/>
            </w:pPr>
            <w:bookmarkStart w:id="267" w:name="_Toc32436"/>
            <w:bookmarkStart w:id="268" w:name="_Toc4247"/>
            <w:r>
              <w:rPr>
                <w:rFonts w:hint="eastAsia"/>
              </w:rPr>
              <w:t>此式为非项目融资业务的碳排放核算公式，式中：</w:t>
            </w:r>
            <w:bookmarkEnd w:id="267"/>
            <w:bookmarkEnd w:id="268"/>
            <w:r>
              <w:rPr>
                <w:rFonts w:hint="eastAsia"/>
              </w:rPr>
              <w:t xml:space="preserve"> </w:t>
            </w:r>
          </w:p>
          <w:p>
            <w:pPr>
              <w:bidi w:val="0"/>
            </w:pPr>
            <w:bookmarkStart w:id="269" w:name="_Toc9929"/>
            <w:bookmarkStart w:id="270" w:name="_Toc11375"/>
            <w:r>
              <w:rPr>
                <w:rFonts w:hint="eastAsia"/>
              </w:rPr>
              <w:t>E非项目业务——报告期内，非项目融资业务对应的碳排放量，单位为吨二氧化碳当量（tCO2e）；</w:t>
            </w:r>
            <w:bookmarkEnd w:id="269"/>
            <w:bookmarkEnd w:id="270"/>
            <w:r>
              <w:rPr>
                <w:rFonts w:hint="eastAsia"/>
              </w:rPr>
              <w:t xml:space="preserve"> </w:t>
            </w:r>
          </w:p>
          <w:p>
            <w:pPr>
              <w:bidi w:val="0"/>
            </w:pPr>
            <w:bookmarkStart w:id="271" w:name="_Toc16142"/>
            <w:bookmarkStart w:id="272" w:name="_Toc17553"/>
            <w:r>
              <w:rPr>
                <w:rFonts w:hint="eastAsia"/>
              </w:rPr>
              <w:t>E主体——报告期内，非项目融资业务相关融资主体的碳排放量，单位为吨二氧化碳当量（tCO2e）；</w:t>
            </w:r>
            <w:bookmarkEnd w:id="271"/>
            <w:bookmarkEnd w:id="272"/>
            <w:r>
              <w:rPr>
                <w:rFonts w:hint="eastAsia"/>
              </w:rPr>
              <w:t xml:space="preserve"> </w:t>
            </w:r>
          </w:p>
          <w:p>
            <w:pPr>
              <w:bidi w:val="0"/>
            </w:pPr>
            <w:bookmarkStart w:id="273" w:name="_Toc32554"/>
            <w:bookmarkStart w:id="274" w:name="_Toc18707"/>
            <w:r>
              <w:rPr>
                <w:rFonts w:hint="eastAsia"/>
              </w:rPr>
              <w:t>V融资——报告期内，金融机构对融资主体的月均非项目融资额，单位为万元；</w:t>
            </w:r>
            <w:bookmarkEnd w:id="273"/>
            <w:bookmarkEnd w:id="274"/>
            <w:r>
              <w:rPr>
                <w:rFonts w:hint="eastAsia"/>
              </w:rPr>
              <w:t xml:space="preserve"> </w:t>
            </w:r>
          </w:p>
          <w:p>
            <w:pPr>
              <w:bidi w:val="0"/>
            </w:pPr>
            <w:bookmarkStart w:id="275" w:name="_Toc559"/>
            <w:bookmarkStart w:id="276" w:name="_Toc6046"/>
            <w:r>
              <w:rPr>
                <w:rFonts w:hint="eastAsia"/>
              </w:rPr>
              <w:t>V收入——报告期内，融资主体的主营业务收入，单位为万元。</w:t>
            </w:r>
            <w:bookmarkEnd w:id="275"/>
            <w:bookmarkEnd w:id="276"/>
            <w:r>
              <w:rPr>
                <w:rFonts w:hint="eastAsia"/>
              </w:rPr>
              <w:t xml:space="preserve"> </w:t>
            </w:r>
          </w:p>
          <w:p>
            <w:pPr>
              <w:bidi w:val="0"/>
            </w:pPr>
            <w:bookmarkStart w:id="277" w:name="_Toc16862"/>
            <w:bookmarkStart w:id="278" w:name="_Toc8807"/>
            <w:r>
              <w:rPr>
                <w:rFonts w:hint="eastAsia"/>
              </w:rPr>
              <w:t>当V融资&gt; V收入时，</w:t>
            </w:r>
            <m:oMath>
              <m:r>
                <m:rPr>
                  <m:sty m:val="p"/>
                </m:rPr>
                <w:rPr>
                  <w:rFonts w:hint="eastAsia" w:ascii="Cambria Math" w:hAnsi="Cambria Math"/>
                </w:rPr>
                <m:t>（</m:t>
              </m:r>
              <m:f>
                <m:fPr>
                  <m:ctrlPr>
                    <w:rPr>
                      <w:rFonts w:hint="eastAsia" w:ascii="Cambria Math" w:hAnsi="Cambria Math"/>
                    </w:rPr>
                  </m:ctrlPr>
                </m:fPr>
                <m:num>
                  <m:sSub>
                    <m:sSubPr>
                      <m:ctrlPr>
                        <w:rPr>
                          <w:rFonts w:hint="default" w:ascii="Cambria Math" w:hAnsi="Cambria Math"/>
                        </w:rPr>
                      </m:ctrlPr>
                    </m:sSubPr>
                    <m:e>
                      <m:r>
                        <m:rPr>
                          <m:sty m:val="p"/>
                        </m:rPr>
                        <w:rPr>
                          <w:rFonts w:hint="eastAsia" w:ascii="Cambria Math" w:hAnsi="Cambria Math"/>
                        </w:rPr>
                        <m:t>V</m:t>
                      </m:r>
                      <m:ctrlPr>
                        <w:rPr>
                          <w:rFonts w:hint="default" w:ascii="Cambria Math" w:hAnsi="Cambria Math"/>
                        </w:rPr>
                      </m:ctrlPr>
                    </m:e>
                    <m:sub>
                      <m:r>
                        <m:rPr>
                          <m:sty m:val="p"/>
                        </m:rPr>
                        <w:rPr>
                          <w:rFonts w:hint="eastAsia" w:ascii="Cambria Math" w:hAnsi="Cambria Math"/>
                        </w:rPr>
                        <m:t>融资</m:t>
                      </m:r>
                      <m:ctrlPr>
                        <w:rPr>
                          <w:rFonts w:hint="default" w:ascii="Cambria Math" w:hAnsi="Cambria Math"/>
                        </w:rPr>
                      </m:ctrlPr>
                    </m:sub>
                  </m:sSub>
                  <m:ctrlPr>
                    <w:rPr>
                      <w:rFonts w:hint="eastAsia" w:ascii="Cambria Math" w:hAnsi="Cambria Math"/>
                    </w:rPr>
                  </m:ctrlPr>
                </m:num>
                <m:den>
                  <m:sSub>
                    <m:sSubPr>
                      <m:ctrlPr>
                        <w:rPr>
                          <w:rFonts w:hint="default" w:ascii="Cambria Math" w:hAnsi="Cambria Math"/>
                        </w:rPr>
                      </m:ctrlPr>
                    </m:sSubPr>
                    <m:e>
                      <m:r>
                        <m:rPr>
                          <m:sty m:val="p"/>
                        </m:rPr>
                        <w:rPr>
                          <w:rFonts w:hint="eastAsia" w:ascii="Cambria Math" w:hAnsi="Cambria Math"/>
                        </w:rPr>
                        <m:t>V</m:t>
                      </m:r>
                      <m:ctrlPr>
                        <w:rPr>
                          <w:rFonts w:hint="default" w:ascii="Cambria Math" w:hAnsi="Cambria Math"/>
                        </w:rPr>
                      </m:ctrlPr>
                    </m:e>
                    <m:sub>
                      <m:r>
                        <m:rPr>
                          <m:sty m:val="p"/>
                        </m:rPr>
                        <w:rPr>
                          <w:rFonts w:hint="eastAsia" w:ascii="Cambria Math" w:hAnsi="Cambria Math"/>
                        </w:rPr>
                        <m:t>收入</m:t>
                      </m:r>
                      <m:ctrlPr>
                        <w:rPr>
                          <w:rFonts w:hint="default" w:ascii="Cambria Math" w:hAnsi="Cambria Math"/>
                        </w:rPr>
                      </m:ctrlPr>
                    </m:sub>
                  </m:sSub>
                  <m:ctrlPr>
                    <w:rPr>
                      <w:rFonts w:hint="eastAsia" w:ascii="Cambria Math" w:hAnsi="Cambria Math"/>
                    </w:rPr>
                  </m:ctrlPr>
                </m:den>
              </m:f>
              <m:r>
                <m:rPr>
                  <m:sty m:val="p"/>
                </m:rPr>
                <w:rPr>
                  <w:rFonts w:hint="eastAsia" w:ascii="Cambria Math" w:hAnsi="Cambria Math"/>
                </w:rPr>
                <m:t>）</m:t>
              </m:r>
            </m:oMath>
            <w:r>
              <w:rPr>
                <w:rFonts w:hint="eastAsia"/>
              </w:rPr>
              <w:t>= 1</w:t>
            </w:r>
            <w:bookmarkEnd w:id="277"/>
            <w:bookmarkEnd w:id="2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96" w:type="dxa"/>
            <w:noWrap w:val="0"/>
            <w:vAlign w:val="center"/>
          </w:tcPr>
          <w:p>
            <w:pPr>
              <w:bidi w:val="0"/>
            </w:pPr>
            <m:oMathPara>
              <m:oMath>
                <m:sSub>
                  <w:bookmarkStart w:id="279" w:name="_Toc16585"/>
                  <w:bookmarkStart w:id="280" w:name="_Toc11897"/>
                  <m:sSubPr>
                    <m:ctrlPr>
                      <w:rPr>
                        <w:rFonts w:hint="default" w:ascii="Cambria Math" w:hAnsi="Cambria Math"/>
                      </w:rPr>
                    </m:ctrlPr>
                  </m:sSubPr>
                  <m:e>
                    <m:r>
                      <m:rPr>
                        <m:sty m:val="p"/>
                      </m:rPr>
                      <w:rPr>
                        <w:rFonts w:hint="eastAsia" w:ascii="Cambria Math" w:hAnsi="Cambria Math"/>
                      </w:rPr>
                      <m:t>R</m:t>
                    </m:r>
                    <m:ctrlPr>
                      <w:rPr>
                        <w:rFonts w:hint="default" w:ascii="Cambria Math" w:hAnsi="Cambria Math"/>
                      </w:rPr>
                    </m:ctrlPr>
                  </m:e>
                  <m:sub>
                    <m:r>
                      <m:rPr>
                        <m:sty m:val="p"/>
                      </m:rPr>
                      <w:rPr>
                        <w:rFonts w:hint="eastAsia" w:ascii="Cambria Math" w:hAnsi="Cambria Math"/>
                      </w:rPr>
                      <m:t>碳排放</m:t>
                    </m:r>
                    <m:ctrlPr>
                      <w:rPr>
                        <w:rFonts w:hint="default" w:ascii="Cambria Math" w:hAnsi="Cambria Math"/>
                      </w:rPr>
                    </m:ctrlPr>
                  </m:sub>
                </m:sSub>
                <m:r>
                  <m:rPr>
                    <m:sty m:val="p"/>
                  </m:rPr>
                  <w:rPr>
                    <w:rFonts w:hint="eastAsia" w:ascii="Cambria Math" w:hAnsi="Cambria Math"/>
                  </w:rPr>
                  <m:t>=</m:t>
                </m:r>
                <m:f>
                  <m:fPr>
                    <m:ctrlPr>
                      <w:rPr>
                        <w:rFonts w:hint="eastAsia" w:ascii="Cambria Math" w:hAnsi="Cambria Math"/>
                      </w:rPr>
                    </m:ctrlPr>
                  </m:fPr>
                  <m:num>
                    <m:sSub>
                      <m:sSubPr>
                        <m:ctrlPr>
                          <w:rPr>
                            <w:rFonts w:hint="default" w:ascii="Cambria Math" w:hAnsi="Cambria Math"/>
                          </w:rPr>
                        </m:ctrlPr>
                      </m:sSubPr>
                      <m:e>
                        <m:r>
                          <m:rPr>
                            <m:sty m:val="p"/>
                          </m:rPr>
                          <w:rPr>
                            <w:rFonts w:hint="eastAsia" w:ascii="Cambria Math" w:hAnsi="Cambria Math"/>
                          </w:rPr>
                          <m:t>n</m:t>
                        </m:r>
                        <m:ctrlPr>
                          <w:rPr>
                            <w:rFonts w:hint="default" w:ascii="Cambria Math" w:hAnsi="Cambria Math"/>
                          </w:rPr>
                        </m:ctrlPr>
                      </m:e>
                      <m:sub>
                        <m:r>
                          <m:rPr>
                            <m:sty m:val="p"/>
                          </m:rPr>
                          <w:rPr>
                            <w:rFonts w:hint="eastAsia" w:ascii="Cambria Math" w:hAnsi="Cambria Math"/>
                          </w:rPr>
                          <m:t>碳排放</m:t>
                        </m:r>
                        <m:ctrlPr>
                          <w:rPr>
                            <w:rFonts w:hint="default" w:ascii="Cambria Math" w:hAnsi="Cambria Math"/>
                          </w:rPr>
                        </m:ctrlPr>
                      </m:sub>
                    </m:sSub>
                    <m:ctrlPr>
                      <w:rPr>
                        <w:rFonts w:hint="eastAsia" w:ascii="Cambria Math" w:hAnsi="Cambria Math"/>
                      </w:rPr>
                    </m:ctrlPr>
                  </m:num>
                  <m:den>
                    <m:sSub>
                      <m:sSubPr>
                        <m:ctrlPr>
                          <w:rPr>
                            <w:rFonts w:hint="default" w:ascii="Cambria Math" w:hAnsi="Cambria Math"/>
                          </w:rPr>
                        </m:ctrlPr>
                      </m:sSubPr>
                      <m:e>
                        <m:r>
                          <m:rPr>
                            <m:sty m:val="p"/>
                          </m:rPr>
                          <w:rPr>
                            <w:rFonts w:hint="eastAsia" w:ascii="Cambria Math" w:hAnsi="Cambria Math"/>
                          </w:rPr>
                          <m:t>N</m:t>
                        </m:r>
                        <m:ctrlPr>
                          <w:rPr>
                            <w:rFonts w:hint="default" w:ascii="Cambria Math" w:hAnsi="Cambria Math"/>
                          </w:rPr>
                        </m:ctrlPr>
                      </m:e>
                      <m:sub>
                        <m:r>
                          <m:rPr>
                            <m:sty m:val="p"/>
                          </m:rPr>
                          <w:rPr>
                            <w:rFonts w:hint="eastAsia" w:ascii="Cambria Math" w:hAnsi="Cambria Math"/>
                          </w:rPr>
                          <m:t>总</m:t>
                        </m:r>
                        <m:ctrlPr>
                          <w:rPr>
                            <w:rFonts w:hint="default" w:ascii="Cambria Math" w:hAnsi="Cambria Math"/>
                          </w:rPr>
                        </m:ctrlPr>
                      </m:sub>
                    </m:sSub>
                    <m:ctrlPr>
                      <w:rPr>
                        <w:rFonts w:hint="eastAsia" w:ascii="Cambria Math" w:hAnsi="Cambria Math"/>
                      </w:rPr>
                    </m:ctrlPr>
                  </m:den>
                </m:f>
              </m:oMath>
            </m:oMathPara>
            <w:bookmarkEnd w:id="279"/>
            <w:bookmarkEnd w:id="2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bidi w:val="0"/>
            </w:pPr>
            <w:bookmarkStart w:id="281" w:name="_Toc884"/>
            <w:bookmarkStart w:id="282" w:name="_Toc5123"/>
            <w:r>
              <w:t>此式为融资业务</w:t>
            </w:r>
            <w:r>
              <w:rPr>
                <w:rFonts w:hint="eastAsia"/>
              </w:rPr>
              <w:t>占该类型融资业务比例</w:t>
            </w:r>
            <w:r>
              <w:t>的公式，式中：</w:t>
            </w:r>
            <w:bookmarkEnd w:id="281"/>
            <w:bookmarkEnd w:id="282"/>
            <w:r>
              <w:t xml:space="preserve"> </w:t>
            </w:r>
          </w:p>
          <w:p>
            <w:pPr>
              <w:bidi w:val="0"/>
            </w:pPr>
            <w:bookmarkStart w:id="283" w:name="_Toc20781"/>
            <w:bookmarkStart w:id="284" w:name="_Toc22791"/>
            <w:r>
              <w:t>𝑅</w:t>
            </w:r>
            <w:r>
              <w:rPr>
                <w:rFonts w:hint="eastAsia"/>
              </w:rPr>
              <w:t>碳排放——报告期内，纳入碳排放量核算的融资业务占金融机构该类型融资业务的比例，按项目融资业务和非项目融资业务两种类型分别计算；</w:t>
            </w:r>
            <w:bookmarkEnd w:id="283"/>
            <w:bookmarkEnd w:id="284"/>
            <w:r>
              <w:rPr>
                <w:rFonts w:hint="eastAsia"/>
              </w:rPr>
              <w:t xml:space="preserve"> </w:t>
            </w:r>
          </w:p>
          <w:p>
            <w:pPr>
              <w:bidi w:val="0"/>
            </w:pPr>
            <w:bookmarkStart w:id="285" w:name="_Toc6469"/>
            <w:bookmarkStart w:id="286" w:name="_Toc517"/>
            <w:r>
              <w:t>𝑛</w:t>
            </w:r>
            <w:r>
              <w:rPr>
                <w:rFonts w:hint="eastAsia"/>
              </w:rPr>
              <w:t>碳排放——报告期内，纳入碳排放量核算的融资业务的笔数，按项目融资业务和非项目融资业务两种类型分别统计；</w:t>
            </w:r>
            <w:bookmarkEnd w:id="285"/>
            <w:bookmarkEnd w:id="286"/>
            <w:r>
              <w:rPr>
                <w:rFonts w:hint="eastAsia"/>
              </w:rPr>
              <w:t xml:space="preserve"> </w:t>
            </w:r>
          </w:p>
          <w:p>
            <w:pPr>
              <w:bidi w:val="0"/>
            </w:pPr>
            <w:bookmarkStart w:id="287" w:name="_Toc5605"/>
            <w:bookmarkStart w:id="288" w:name="_Toc21529"/>
            <w:r>
              <w:t>𝑁</w:t>
            </w:r>
            <w:r>
              <w:rPr>
                <w:rFonts w:hint="eastAsia"/>
              </w:rPr>
              <w:t>总——报告期内，不同类型融资业务的总笔数，按项目融资业务和非项目融资业务两种类型分别统计。</w:t>
            </w:r>
            <w:bookmarkEnd w:id="287"/>
            <w:bookmarkEnd w:id="288"/>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宋体" w:hAnsi="宋体" w:cs="仿宋_GB2312"/>
          <w:szCs w:val="28"/>
        </w:rPr>
      </w:pPr>
      <w:bookmarkStart w:id="289" w:name="_Toc10043"/>
      <w:bookmarkStart w:id="290" w:name="_Toc5925"/>
      <w:r>
        <w:rPr>
          <w:rFonts w:hint="eastAsia" w:ascii="仿宋" w:hAnsi="仿宋" w:eastAsia="仿宋" w:cs="仿宋"/>
          <w:sz w:val="32"/>
          <w:szCs w:val="32"/>
        </w:rPr>
        <w:t>企业或项目本身的碳减排量参照GB/T 28750、GB/T 32045、GB/T 33760、GB/T 13234的要求，选择适用的评估方法，核算其报告期内的碳减排量。我</w:t>
      </w:r>
      <w:r>
        <w:rPr>
          <w:rFonts w:hint="eastAsia" w:ascii="仿宋" w:hAnsi="仿宋" w:eastAsia="仿宋" w:cs="仿宋"/>
          <w:sz w:val="32"/>
          <w:szCs w:val="32"/>
          <w:lang w:val="en-US" w:eastAsia="zh-CN"/>
        </w:rPr>
        <w:t>社</w:t>
      </w:r>
      <w:r>
        <w:rPr>
          <w:rFonts w:hint="eastAsia" w:ascii="仿宋" w:hAnsi="仿宋" w:eastAsia="仿宋" w:cs="仿宋"/>
          <w:sz w:val="32"/>
          <w:szCs w:val="32"/>
        </w:rPr>
        <w:t>支持企业或项目建设运营投放的信贷产生的碳减排量依据其对企业或项目的月均投资额与企业总资产或项目总投资的比例分摊折算得到，具体测算公式如下：</w:t>
      </w:r>
      <w:bookmarkEnd w:id="289"/>
      <w:bookmarkEnd w:id="290"/>
    </w:p>
    <w:tbl>
      <w:tblPr>
        <w:tblStyle w:val="15"/>
        <w:tblpPr w:leftFromText="180" w:rightFromText="180" w:vertAnchor="text" w:horzAnchor="page" w:tblpX="1846" w:tblpY="5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296" w:type="dxa"/>
            <w:noWrap w:val="0"/>
            <w:vAlign w:val="center"/>
          </w:tcPr>
          <w:p>
            <w:pPr>
              <w:bidi w:val="0"/>
            </w:pPr>
            <m:oMathPara>
              <m:oMath>
                <m:sSub>
                  <w:bookmarkStart w:id="291" w:name="_Toc3015"/>
                  <w:bookmarkStart w:id="292" w:name="_Toc217"/>
                  <m:sSubPr>
                    <m:ctrlPr>
                      <w:rPr>
                        <w:rFonts w:hint="default" w:ascii="Cambria Math" w:hAnsi="Cambria Math"/>
                      </w:rPr>
                    </m:ctrlPr>
                  </m:sSubPr>
                  <m:e>
                    <m:r>
                      <m:rPr>
                        <m:sty m:val="p"/>
                      </m:rPr>
                      <w:rPr>
                        <w:rFonts w:hint="default" w:ascii="Cambria Math" w:hAnsi="Cambria Math"/>
                      </w:rPr>
                      <m:t>ER</m:t>
                    </m:r>
                    <m:ctrlPr>
                      <w:rPr>
                        <w:rFonts w:hint="default" w:ascii="Cambria Math" w:hAnsi="Cambria Math"/>
                      </w:rPr>
                    </m:ctrlPr>
                  </m:e>
                  <m:sub>
                    <m:r>
                      <m:rPr>
                        <m:sty m:val="p"/>
                      </m:rPr>
                      <w:rPr>
                        <w:rFonts w:hint="default" w:ascii="Cambria Math" w:hAnsi="Cambria Math"/>
                      </w:rPr>
                      <m:t>项目业务</m:t>
                    </m:r>
                    <m:ctrlPr>
                      <w:rPr>
                        <w:rFonts w:hint="default" w:ascii="Cambria Math" w:hAnsi="Cambria Math"/>
                      </w:rPr>
                    </m:ctrlPr>
                  </m:sub>
                </m:sSub>
                <m:r>
                  <m:rPr>
                    <m:sty m:val="p"/>
                  </m:rPr>
                  <w:rPr>
                    <w:rFonts w:hint="default" w:ascii="Cambria Math" w:hAnsi="Cambria Math"/>
                  </w:rPr>
                  <m:t>=</m:t>
                </m:r>
                <m:sSub>
                  <m:sSubPr>
                    <m:ctrlPr>
                      <w:rPr>
                        <w:rFonts w:hint="default" w:ascii="Cambria Math" w:hAnsi="Cambria Math"/>
                      </w:rPr>
                    </m:ctrlPr>
                  </m:sSubPr>
                  <m:e>
                    <m:r>
                      <m:rPr>
                        <m:sty m:val="p"/>
                      </m:rPr>
                      <w:rPr>
                        <w:rFonts w:hint="default" w:ascii="Cambria Math" w:hAnsi="Cambria Math"/>
                      </w:rPr>
                      <m:t>ER</m:t>
                    </m:r>
                    <m:ctrlPr>
                      <w:rPr>
                        <w:rFonts w:hint="default" w:ascii="Cambria Math" w:hAnsi="Cambria Math"/>
                      </w:rPr>
                    </m:ctrlPr>
                  </m:e>
                  <m:sub>
                    <m:r>
                      <m:rPr>
                        <m:sty m:val="p"/>
                      </m:rPr>
                      <w:rPr>
                        <w:rFonts w:hint="default" w:ascii="Cambria Math" w:hAnsi="Cambria Math"/>
                      </w:rPr>
                      <m:t>项目</m:t>
                    </m:r>
                    <m:ctrlPr>
                      <w:rPr>
                        <w:rFonts w:hint="default" w:ascii="Cambria Math" w:hAnsi="Cambria Math"/>
                      </w:rPr>
                    </m:ctrlPr>
                  </m:sub>
                </m:sSub>
                <m:r>
                  <m:rPr>
                    <m:sty m:val="p"/>
                  </m:rPr>
                  <w:rPr>
                    <w:rFonts w:hint="default" w:ascii="Cambria Math" w:hAnsi="Cambria Math"/>
                  </w:rPr>
                  <m:t>×（</m:t>
                </m:r>
                <m:f>
                  <m:fPr>
                    <m:ctrlPr>
                      <w:rPr>
                        <w:rFonts w:hint="default" w:ascii="Cambria Math" w:hAnsi="Cambria Math"/>
                      </w:rPr>
                    </m:ctrlPr>
                  </m:fPr>
                  <m:num>
                    <m:sSub>
                      <m:sSubPr>
                        <m:ctrlPr>
                          <w:rPr>
                            <w:rFonts w:hint="default" w:ascii="Cambria Math" w:hAnsi="Cambria Math"/>
                          </w:rPr>
                        </m:ctrlPr>
                      </m:sSubPr>
                      <m:e>
                        <m:r>
                          <m:rPr>
                            <m:sty m:val="p"/>
                          </m:rPr>
                          <w:rPr>
                            <w:rFonts w:hint="default" w:ascii="Cambria Math" w:hAnsi="Cambria Math"/>
                          </w:rPr>
                          <m:t>V</m:t>
                        </m:r>
                        <m:ctrlPr>
                          <w:rPr>
                            <w:rFonts w:hint="default" w:ascii="Cambria Math" w:hAnsi="Cambria Math"/>
                          </w:rPr>
                        </m:ctrlPr>
                      </m:e>
                      <m:sub>
                        <m:r>
                          <m:rPr>
                            <m:sty m:val="p"/>
                          </m:rPr>
                          <w:rPr>
                            <w:rFonts w:hint="default" w:ascii="Cambria Math" w:hAnsi="Cambria Math"/>
                          </w:rPr>
                          <m:t>投资</m:t>
                        </m:r>
                        <m:ctrlPr>
                          <w:rPr>
                            <w:rFonts w:hint="default" w:ascii="Cambria Math" w:hAnsi="Cambria Math"/>
                          </w:rPr>
                        </m:ctrlPr>
                      </m:sub>
                    </m:sSub>
                    <m:ctrlPr>
                      <w:rPr>
                        <w:rFonts w:hint="default" w:ascii="Cambria Math" w:hAnsi="Cambria Math"/>
                      </w:rPr>
                    </m:ctrlPr>
                  </m:num>
                  <m:den>
                    <m:sSub>
                      <m:sSubPr>
                        <m:ctrlPr>
                          <w:rPr>
                            <w:rFonts w:hint="default" w:ascii="Cambria Math" w:hAnsi="Cambria Math"/>
                          </w:rPr>
                        </m:ctrlPr>
                      </m:sSubPr>
                      <m:e>
                        <m:r>
                          <m:rPr>
                            <m:sty m:val="p"/>
                          </m:rPr>
                          <w:rPr>
                            <w:rFonts w:hint="default" w:ascii="Cambria Math" w:hAnsi="Cambria Math"/>
                          </w:rPr>
                          <m:t>V</m:t>
                        </m:r>
                        <m:ctrlPr>
                          <w:rPr>
                            <w:rFonts w:hint="default" w:ascii="Cambria Math" w:hAnsi="Cambria Math"/>
                          </w:rPr>
                        </m:ctrlPr>
                      </m:e>
                      <m:sub>
                        <m:r>
                          <m:rPr>
                            <m:sty m:val="p"/>
                          </m:rPr>
                          <w:rPr>
                            <w:rFonts w:hint="default" w:ascii="Cambria Math" w:hAnsi="Cambria Math"/>
                          </w:rPr>
                          <m:t>总投资</m:t>
                        </m:r>
                        <m:ctrlPr>
                          <w:rPr>
                            <w:rFonts w:hint="default" w:ascii="Cambria Math" w:hAnsi="Cambria Math"/>
                          </w:rPr>
                        </m:ctrlPr>
                      </m:sub>
                    </m:sSub>
                    <m:ctrlPr>
                      <w:rPr>
                        <w:rFonts w:hint="default" w:ascii="Cambria Math" w:hAnsi="Cambria Math"/>
                      </w:rPr>
                    </m:ctrlPr>
                  </m:den>
                </m:f>
                <m:r>
                  <m:rPr>
                    <m:sty m:val="p"/>
                  </m:rPr>
                  <w:rPr>
                    <w:rFonts w:hint="default" w:ascii="Cambria Math" w:hAnsi="Cambria Math"/>
                  </w:rPr>
                  <m:t>）</m:t>
                </m:r>
              </m:oMath>
            </m:oMathPara>
            <w:bookmarkEnd w:id="291"/>
            <w:bookmarkEnd w:id="2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bidi w:val="0"/>
            </w:pPr>
            <w:bookmarkStart w:id="293" w:name="_Toc18920"/>
            <w:bookmarkStart w:id="294" w:name="_Toc20260"/>
            <w:r>
              <w:t>此式为项目融资业务的碳减排核算公式，式中：</w:t>
            </w:r>
            <w:bookmarkEnd w:id="293"/>
            <w:bookmarkEnd w:id="294"/>
            <w:r>
              <w:t xml:space="preserve"> </w:t>
            </w:r>
          </w:p>
          <w:p>
            <w:pPr>
              <w:bidi w:val="0"/>
            </w:pPr>
            <w:bookmarkStart w:id="295" w:name="_Toc27626"/>
            <w:bookmarkStart w:id="296" w:name="_Toc5694"/>
            <w:r>
              <w:t>ER项目业务——报告期内，项目融资业务对应的碳减排量，单位为吨二氧化碳当量（tCO2e）；</w:t>
            </w:r>
            <w:bookmarkEnd w:id="295"/>
            <w:bookmarkEnd w:id="296"/>
            <w:r>
              <w:t xml:space="preserve"> </w:t>
            </w:r>
          </w:p>
          <w:p>
            <w:pPr>
              <w:bidi w:val="0"/>
            </w:pPr>
            <w:bookmarkStart w:id="297" w:name="_Toc28273"/>
            <w:bookmarkStart w:id="298" w:name="_Toc20905"/>
            <w:r>
              <w:t>ER项目——报告期内，项目的碳减排量，单位为吨二氧化碳当量（tCO2e）；</w:t>
            </w:r>
            <w:bookmarkEnd w:id="297"/>
            <w:bookmarkEnd w:id="298"/>
            <w:r>
              <w:t xml:space="preserve"> </w:t>
            </w:r>
          </w:p>
          <w:p>
            <w:pPr>
              <w:bidi w:val="0"/>
            </w:pPr>
            <w:bookmarkStart w:id="299" w:name="_Toc23115"/>
            <w:bookmarkStart w:id="300" w:name="_Toc21251"/>
            <w:r>
              <w:t>V投资——报告期内，金融机构对项目的月均投资额，单位为万元；</w:t>
            </w:r>
            <w:bookmarkEnd w:id="299"/>
            <w:bookmarkEnd w:id="300"/>
            <w:r>
              <w:t xml:space="preserve"> </w:t>
            </w:r>
          </w:p>
          <w:p>
            <w:pPr>
              <w:bidi w:val="0"/>
            </w:pPr>
            <w:bookmarkStart w:id="301" w:name="_Toc31541"/>
            <w:bookmarkStart w:id="302" w:name="_Toc15548"/>
            <w:r>
              <w:t>V总投资——报告期内，项目的总投资额，单位为万元。</w:t>
            </w:r>
            <w:bookmarkEnd w:id="301"/>
            <w:bookmarkEnd w:id="302"/>
            <w:r>
              <w:t xml:space="preserve"> </w:t>
            </w:r>
          </w:p>
          <w:p>
            <w:pPr>
              <w:bidi w:val="0"/>
            </w:pPr>
            <w:bookmarkStart w:id="303" w:name="_Toc28339"/>
            <w:bookmarkStart w:id="304" w:name="_Toc23668"/>
            <w:r>
              <w:t>当</w:t>
            </w:r>
            <m:oMath>
              <m:sSub>
                <m:sSubPr>
                  <m:ctrlPr>
                    <w:rPr>
                      <w:rFonts w:hint="default" w:ascii="Cambria Math" w:hAnsi="Cambria Math"/>
                    </w:rPr>
                  </m:ctrlPr>
                </m:sSubPr>
                <m:e>
                  <m:r>
                    <m:rPr>
                      <m:sty m:val="p"/>
                    </m:rPr>
                    <w:rPr>
                      <w:rFonts w:hint="default" w:ascii="Cambria Math" w:hAnsi="Cambria Math"/>
                    </w:rPr>
                    <m:t>V</m:t>
                  </m:r>
                  <m:ctrlPr>
                    <w:rPr>
                      <w:rFonts w:hint="default" w:ascii="Cambria Math" w:hAnsi="Cambria Math"/>
                    </w:rPr>
                  </m:ctrlPr>
                </m:e>
                <m:sub>
                  <m:r>
                    <m:rPr>
                      <m:sty m:val="p"/>
                    </m:rPr>
                    <w:rPr>
                      <w:rFonts w:hint="default" w:ascii="Cambria Math" w:hAnsi="Cambria Math"/>
                    </w:rPr>
                    <m:t>投资</m:t>
                  </m:r>
                  <m:ctrlPr>
                    <w:rPr>
                      <w:rFonts w:hint="default" w:ascii="Cambria Math" w:hAnsi="Cambria Math"/>
                    </w:rPr>
                  </m:ctrlPr>
                </m:sub>
              </m:sSub>
            </m:oMath>
            <w:r>
              <w:t xml:space="preserve"> &gt;</w:t>
            </w:r>
            <m:oMath>
              <m:sSub>
                <m:sSubPr>
                  <m:ctrlPr>
                    <w:rPr>
                      <w:rFonts w:hint="default" w:ascii="Cambria Math" w:hAnsi="Cambria Math"/>
                    </w:rPr>
                  </m:ctrlPr>
                </m:sSubPr>
                <m:e>
                  <m:r>
                    <m:rPr>
                      <m:sty m:val="p"/>
                    </m:rPr>
                    <w:rPr>
                      <w:rFonts w:hint="default" w:ascii="Cambria Math" w:hAnsi="Cambria Math"/>
                    </w:rPr>
                    <m:t>V</m:t>
                  </m:r>
                  <m:ctrlPr>
                    <w:rPr>
                      <w:rFonts w:hint="default" w:ascii="Cambria Math" w:hAnsi="Cambria Math"/>
                    </w:rPr>
                  </m:ctrlPr>
                </m:e>
                <m:sub>
                  <m:r>
                    <m:rPr>
                      <m:sty m:val="p"/>
                    </m:rPr>
                    <w:rPr>
                      <w:rFonts w:hint="default" w:ascii="Cambria Math" w:hAnsi="Cambria Math"/>
                    </w:rPr>
                    <m:t>总投资</m:t>
                  </m:r>
                  <m:ctrlPr>
                    <w:rPr>
                      <w:rFonts w:hint="default" w:ascii="Cambria Math" w:hAnsi="Cambria Math"/>
                    </w:rPr>
                  </m:ctrlPr>
                </m:sub>
              </m:sSub>
            </m:oMath>
            <w:r>
              <w:t>时，</w:t>
            </w:r>
            <m:oMath>
              <m:r>
                <m:rPr>
                  <m:sty m:val="p"/>
                </m:rPr>
                <w:rPr>
                  <w:rFonts w:hint="default" w:ascii="Cambria Math" w:hAnsi="Cambria Math"/>
                </w:rPr>
                <m:t>（</m:t>
              </m:r>
              <m:f>
                <m:fPr>
                  <m:ctrlPr>
                    <w:rPr>
                      <w:rFonts w:hint="default" w:ascii="Cambria Math" w:hAnsi="Cambria Math"/>
                    </w:rPr>
                  </m:ctrlPr>
                </m:fPr>
                <m:num>
                  <m:sSub>
                    <m:sSubPr>
                      <m:ctrlPr>
                        <w:rPr>
                          <w:rFonts w:hint="default" w:ascii="Cambria Math" w:hAnsi="Cambria Math"/>
                        </w:rPr>
                      </m:ctrlPr>
                    </m:sSubPr>
                    <m:e>
                      <m:r>
                        <m:rPr>
                          <m:sty m:val="p"/>
                        </m:rPr>
                        <w:rPr>
                          <w:rFonts w:hint="default" w:ascii="Cambria Math" w:hAnsi="Cambria Math"/>
                        </w:rPr>
                        <m:t>V</m:t>
                      </m:r>
                      <m:ctrlPr>
                        <w:rPr>
                          <w:rFonts w:hint="default" w:ascii="Cambria Math" w:hAnsi="Cambria Math"/>
                        </w:rPr>
                      </m:ctrlPr>
                    </m:e>
                    <m:sub>
                      <m:r>
                        <m:rPr>
                          <m:sty m:val="p"/>
                        </m:rPr>
                        <w:rPr>
                          <w:rFonts w:hint="default" w:ascii="Cambria Math" w:hAnsi="Cambria Math"/>
                        </w:rPr>
                        <m:t>投资</m:t>
                      </m:r>
                      <m:ctrlPr>
                        <w:rPr>
                          <w:rFonts w:hint="default" w:ascii="Cambria Math" w:hAnsi="Cambria Math"/>
                        </w:rPr>
                      </m:ctrlPr>
                    </m:sub>
                  </m:sSub>
                  <m:ctrlPr>
                    <w:rPr>
                      <w:rFonts w:hint="default" w:ascii="Cambria Math" w:hAnsi="Cambria Math"/>
                    </w:rPr>
                  </m:ctrlPr>
                </m:num>
                <m:den>
                  <m:sSub>
                    <m:sSubPr>
                      <m:ctrlPr>
                        <w:rPr>
                          <w:rFonts w:hint="default" w:ascii="Cambria Math" w:hAnsi="Cambria Math"/>
                        </w:rPr>
                      </m:ctrlPr>
                    </m:sSubPr>
                    <m:e>
                      <m:r>
                        <m:rPr>
                          <m:sty m:val="p"/>
                        </m:rPr>
                        <w:rPr>
                          <w:rFonts w:hint="default" w:ascii="Cambria Math" w:hAnsi="Cambria Math"/>
                        </w:rPr>
                        <m:t>V</m:t>
                      </m:r>
                      <m:ctrlPr>
                        <w:rPr>
                          <w:rFonts w:hint="default" w:ascii="Cambria Math" w:hAnsi="Cambria Math"/>
                        </w:rPr>
                      </m:ctrlPr>
                    </m:e>
                    <m:sub>
                      <m:r>
                        <m:rPr>
                          <m:sty m:val="p"/>
                        </m:rPr>
                        <w:rPr>
                          <w:rFonts w:hint="default" w:ascii="Cambria Math" w:hAnsi="Cambria Math"/>
                        </w:rPr>
                        <m:t>总投资</m:t>
                      </m:r>
                      <m:ctrlPr>
                        <w:rPr>
                          <w:rFonts w:hint="default" w:ascii="Cambria Math" w:hAnsi="Cambria Math"/>
                        </w:rPr>
                      </m:ctrlPr>
                    </m:sub>
                  </m:sSub>
                  <m:ctrlPr>
                    <w:rPr>
                      <w:rFonts w:hint="default" w:ascii="Cambria Math" w:hAnsi="Cambria Math"/>
                    </w:rPr>
                  </m:ctrlPr>
                </m:den>
              </m:f>
              <m:r>
                <m:rPr>
                  <m:sty m:val="p"/>
                </m:rPr>
                <w:rPr>
                  <w:rFonts w:hint="default" w:ascii="Cambria Math" w:hAnsi="Cambria Math"/>
                </w:rPr>
                <m:t>）</m:t>
              </m:r>
            </m:oMath>
            <w:r>
              <w:t>= 1</w:t>
            </w:r>
            <w:bookmarkEnd w:id="303"/>
            <w:bookmarkEnd w:id="3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96" w:type="dxa"/>
            <w:noWrap w:val="0"/>
            <w:vAlign w:val="center"/>
          </w:tcPr>
          <w:p>
            <w:pPr>
              <w:bidi w:val="0"/>
            </w:pPr>
            <m:oMathPara>
              <m:oMath>
                <m:sSub>
                  <w:bookmarkStart w:id="305" w:name="_Toc15738"/>
                  <w:bookmarkStart w:id="306" w:name="_Toc15634"/>
                  <m:sSubPr>
                    <m:ctrlPr>
                      <w:rPr>
                        <w:rFonts w:hint="default" w:ascii="Cambria Math" w:hAnsi="Cambria Math"/>
                      </w:rPr>
                    </m:ctrlPr>
                  </m:sSubPr>
                  <m:e>
                    <m:r>
                      <m:rPr>
                        <m:sty m:val="p"/>
                      </m:rPr>
                      <w:rPr>
                        <w:rFonts w:hint="default" w:ascii="Cambria Math" w:hAnsi="Cambria Math"/>
                      </w:rPr>
                      <m:t>ER</m:t>
                    </m:r>
                    <m:ctrlPr>
                      <w:rPr>
                        <w:rFonts w:hint="default" w:ascii="Cambria Math" w:hAnsi="Cambria Math"/>
                      </w:rPr>
                    </m:ctrlPr>
                  </m:e>
                  <m:sub>
                    <m:r>
                      <m:rPr>
                        <m:sty m:val="p"/>
                      </m:rPr>
                      <w:rPr>
                        <w:rFonts w:hint="default" w:ascii="Cambria Math" w:hAnsi="Cambria Math"/>
                      </w:rPr>
                      <m:t>非项目业务</m:t>
                    </m:r>
                    <m:ctrlPr>
                      <w:rPr>
                        <w:rFonts w:hint="default" w:ascii="Cambria Math" w:hAnsi="Cambria Math"/>
                      </w:rPr>
                    </m:ctrlPr>
                  </m:sub>
                </m:sSub>
                <m:r>
                  <m:rPr>
                    <m:sty m:val="p"/>
                  </m:rPr>
                  <w:rPr>
                    <w:rFonts w:hint="default" w:ascii="Cambria Math" w:hAnsi="Cambria Math"/>
                  </w:rPr>
                  <m:t>=</m:t>
                </m:r>
                <m:sSub>
                  <m:sSubPr>
                    <m:ctrlPr>
                      <w:rPr>
                        <w:rFonts w:hint="default" w:ascii="Cambria Math" w:hAnsi="Cambria Math"/>
                      </w:rPr>
                    </m:ctrlPr>
                  </m:sSubPr>
                  <m:e>
                    <m:r>
                      <m:rPr>
                        <m:sty m:val="p"/>
                      </m:rPr>
                      <w:rPr>
                        <w:rFonts w:hint="default" w:ascii="Cambria Math" w:hAnsi="Cambria Math"/>
                      </w:rPr>
                      <m:t>ER</m:t>
                    </m:r>
                    <m:ctrlPr>
                      <w:rPr>
                        <w:rFonts w:hint="default" w:ascii="Cambria Math" w:hAnsi="Cambria Math"/>
                      </w:rPr>
                    </m:ctrlPr>
                  </m:e>
                  <m:sub>
                    <m:r>
                      <m:rPr>
                        <m:sty m:val="p"/>
                      </m:rPr>
                      <w:rPr>
                        <w:rFonts w:hint="default" w:ascii="Cambria Math" w:hAnsi="Cambria Math"/>
                      </w:rPr>
                      <m:t>主体</m:t>
                    </m:r>
                    <m:ctrlPr>
                      <w:rPr>
                        <w:rFonts w:hint="default" w:ascii="Cambria Math" w:hAnsi="Cambria Math"/>
                      </w:rPr>
                    </m:ctrlPr>
                  </m:sub>
                </m:sSub>
                <m:r>
                  <m:rPr>
                    <m:sty m:val="p"/>
                  </m:rPr>
                  <w:rPr>
                    <w:rFonts w:hint="default" w:ascii="Cambria Math" w:hAnsi="Cambria Math"/>
                  </w:rPr>
                  <m:t>×（</m:t>
                </m:r>
                <m:f>
                  <m:fPr>
                    <m:ctrlPr>
                      <w:rPr>
                        <w:rFonts w:hint="default" w:ascii="Cambria Math" w:hAnsi="Cambria Math"/>
                      </w:rPr>
                    </m:ctrlPr>
                  </m:fPr>
                  <m:num>
                    <m:sSub>
                      <m:sSubPr>
                        <m:ctrlPr>
                          <w:rPr>
                            <w:rFonts w:hint="default" w:ascii="Cambria Math" w:hAnsi="Cambria Math"/>
                          </w:rPr>
                        </m:ctrlPr>
                      </m:sSubPr>
                      <m:e>
                        <m:r>
                          <m:rPr>
                            <m:sty m:val="p"/>
                          </m:rPr>
                          <w:rPr>
                            <w:rFonts w:hint="default" w:ascii="Cambria Math" w:hAnsi="Cambria Math"/>
                          </w:rPr>
                          <m:t>V</m:t>
                        </m:r>
                        <m:ctrlPr>
                          <w:rPr>
                            <w:rFonts w:hint="default" w:ascii="Cambria Math" w:hAnsi="Cambria Math"/>
                          </w:rPr>
                        </m:ctrlPr>
                      </m:e>
                      <m:sub>
                        <m:r>
                          <m:rPr>
                            <m:sty m:val="p"/>
                          </m:rPr>
                          <w:rPr>
                            <w:rFonts w:hint="default" w:ascii="Cambria Math" w:hAnsi="Cambria Math"/>
                          </w:rPr>
                          <m:t>融资</m:t>
                        </m:r>
                        <m:ctrlPr>
                          <w:rPr>
                            <w:rFonts w:hint="default" w:ascii="Cambria Math" w:hAnsi="Cambria Math"/>
                          </w:rPr>
                        </m:ctrlPr>
                      </m:sub>
                    </m:sSub>
                    <m:ctrlPr>
                      <w:rPr>
                        <w:rFonts w:hint="default" w:ascii="Cambria Math" w:hAnsi="Cambria Math"/>
                      </w:rPr>
                    </m:ctrlPr>
                  </m:num>
                  <m:den>
                    <m:sSub>
                      <m:sSubPr>
                        <m:ctrlPr>
                          <w:rPr>
                            <w:rFonts w:hint="default" w:ascii="Cambria Math" w:hAnsi="Cambria Math"/>
                          </w:rPr>
                        </m:ctrlPr>
                      </m:sSubPr>
                      <m:e>
                        <m:r>
                          <m:rPr>
                            <m:sty m:val="p"/>
                          </m:rPr>
                          <w:rPr>
                            <w:rFonts w:hint="default" w:ascii="Cambria Math" w:hAnsi="Cambria Math"/>
                          </w:rPr>
                          <m:t>V</m:t>
                        </m:r>
                        <m:ctrlPr>
                          <w:rPr>
                            <w:rFonts w:hint="default" w:ascii="Cambria Math" w:hAnsi="Cambria Math"/>
                          </w:rPr>
                        </m:ctrlPr>
                      </m:e>
                      <m:sub>
                        <m:r>
                          <m:rPr>
                            <m:sty m:val="p"/>
                          </m:rPr>
                          <w:rPr>
                            <w:rFonts w:hint="default" w:ascii="Cambria Math" w:hAnsi="Cambria Math"/>
                          </w:rPr>
                          <m:t>收入</m:t>
                        </m:r>
                        <m:ctrlPr>
                          <w:rPr>
                            <w:rFonts w:hint="default" w:ascii="Cambria Math" w:hAnsi="Cambria Math"/>
                          </w:rPr>
                        </m:ctrlPr>
                      </m:sub>
                    </m:sSub>
                    <m:ctrlPr>
                      <w:rPr>
                        <w:rFonts w:hint="default" w:ascii="Cambria Math" w:hAnsi="Cambria Math"/>
                      </w:rPr>
                    </m:ctrlPr>
                  </m:den>
                </m:f>
                <m:r>
                  <m:rPr>
                    <m:sty m:val="p"/>
                  </m:rPr>
                  <w:rPr>
                    <w:rFonts w:hint="default" w:ascii="Cambria Math" w:hAnsi="Cambria Math"/>
                  </w:rPr>
                  <m:t>）</m:t>
                </m:r>
                <w:bookmarkEnd w:id="305"/>
                <w:bookmarkEnd w:id="306"/>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bidi w:val="0"/>
            </w:pPr>
            <w:bookmarkStart w:id="307" w:name="_Toc4496"/>
            <w:bookmarkStart w:id="308" w:name="_Toc6291"/>
            <w:r>
              <w:t>此式为非项目融资业务的碳减排核算公式，式中：</w:t>
            </w:r>
            <w:bookmarkEnd w:id="307"/>
            <w:bookmarkEnd w:id="308"/>
            <w:r>
              <w:t xml:space="preserve"> </w:t>
            </w:r>
          </w:p>
          <w:p>
            <w:pPr>
              <w:bidi w:val="0"/>
            </w:pPr>
            <w:bookmarkStart w:id="309" w:name="_Toc24443"/>
            <w:bookmarkStart w:id="310" w:name="_Toc6132"/>
            <w:r>
              <w:t>ER非项目业务——报告期内，非项目融资业务对应的碳减排量，单位为吨二氧化碳当量（tCO2e）；</w:t>
            </w:r>
            <w:bookmarkEnd w:id="309"/>
            <w:bookmarkEnd w:id="310"/>
            <w:r>
              <w:t xml:space="preserve"> </w:t>
            </w:r>
          </w:p>
          <w:p>
            <w:pPr>
              <w:bidi w:val="0"/>
            </w:pPr>
            <w:bookmarkStart w:id="311" w:name="_Toc1625"/>
            <w:bookmarkStart w:id="312" w:name="_Toc13542"/>
            <w:r>
              <w:t>ER主体——报告期内，非项目融资业务相关融资主体的碳减排量，单位为吨二氧化碳当量（tCO2e）；</w:t>
            </w:r>
            <w:bookmarkEnd w:id="311"/>
            <w:bookmarkEnd w:id="312"/>
            <w:r>
              <w:t xml:space="preserve"> </w:t>
            </w:r>
          </w:p>
          <w:p>
            <w:pPr>
              <w:bidi w:val="0"/>
            </w:pPr>
            <w:bookmarkStart w:id="313" w:name="_Toc20227"/>
            <w:bookmarkStart w:id="314" w:name="_Toc24080"/>
            <w:r>
              <w:t>V融资——报告期内，金融机构对融资主体的月均非项目融资额，单位为万元；</w:t>
            </w:r>
            <w:bookmarkEnd w:id="313"/>
            <w:bookmarkEnd w:id="314"/>
            <w:r>
              <w:t xml:space="preserve"> </w:t>
            </w:r>
          </w:p>
          <w:p>
            <w:pPr>
              <w:bidi w:val="0"/>
            </w:pPr>
            <w:bookmarkStart w:id="315" w:name="_Toc29062"/>
            <w:bookmarkStart w:id="316" w:name="_Toc27944"/>
            <w:r>
              <w:t>V收入——报告期内，融资主体的主营业务收入，单位为万元。</w:t>
            </w:r>
            <w:bookmarkEnd w:id="315"/>
            <w:bookmarkEnd w:id="316"/>
            <w:r>
              <w:t xml:space="preserve"> </w:t>
            </w:r>
          </w:p>
          <w:p>
            <w:pPr>
              <w:bidi w:val="0"/>
            </w:pPr>
            <w:bookmarkStart w:id="317" w:name="_Toc20283"/>
            <w:bookmarkStart w:id="318" w:name="_Toc10420"/>
            <w:r>
              <w:t>当</w:t>
            </w:r>
            <m:oMath>
              <m:sSub>
                <m:sSubPr>
                  <m:ctrlPr>
                    <w:rPr>
                      <w:rFonts w:hint="default" w:ascii="Cambria Math" w:hAnsi="Cambria Math"/>
                    </w:rPr>
                  </m:ctrlPr>
                </m:sSubPr>
                <m:e>
                  <m:r>
                    <m:rPr>
                      <m:sty m:val="p"/>
                    </m:rPr>
                    <w:rPr>
                      <w:rFonts w:hint="default" w:ascii="Cambria Math" w:hAnsi="Cambria Math"/>
                    </w:rPr>
                    <m:t>V</m:t>
                  </m:r>
                  <m:ctrlPr>
                    <w:rPr>
                      <w:rFonts w:hint="default" w:ascii="Cambria Math" w:hAnsi="Cambria Math"/>
                    </w:rPr>
                  </m:ctrlPr>
                </m:e>
                <m:sub>
                  <m:r>
                    <m:rPr>
                      <m:sty m:val="p"/>
                    </m:rPr>
                    <w:rPr>
                      <w:rFonts w:hint="default" w:ascii="Cambria Math" w:hAnsi="Cambria Math"/>
                    </w:rPr>
                    <m:t>融资</m:t>
                  </m:r>
                  <m:ctrlPr>
                    <w:rPr>
                      <w:rFonts w:hint="default" w:ascii="Cambria Math" w:hAnsi="Cambria Math"/>
                    </w:rPr>
                  </m:ctrlPr>
                </m:sub>
              </m:sSub>
            </m:oMath>
            <w:r>
              <w:t>&gt;</w:t>
            </w:r>
            <m:oMath>
              <m:sSub>
                <m:sSubPr>
                  <m:ctrlPr>
                    <w:rPr>
                      <w:rFonts w:hint="default" w:ascii="Cambria Math" w:hAnsi="Cambria Math"/>
                    </w:rPr>
                  </m:ctrlPr>
                </m:sSubPr>
                <m:e>
                  <m:r>
                    <m:rPr>
                      <m:sty m:val="p"/>
                    </m:rPr>
                    <w:rPr>
                      <w:rFonts w:hint="default" w:ascii="Cambria Math" w:hAnsi="Cambria Math"/>
                    </w:rPr>
                    <m:t>V</m:t>
                  </m:r>
                  <m:ctrlPr>
                    <w:rPr>
                      <w:rFonts w:hint="default" w:ascii="Cambria Math" w:hAnsi="Cambria Math"/>
                    </w:rPr>
                  </m:ctrlPr>
                </m:e>
                <m:sub>
                  <m:r>
                    <m:rPr>
                      <m:sty m:val="p"/>
                    </m:rPr>
                    <w:rPr>
                      <w:rFonts w:hint="default" w:ascii="Cambria Math" w:hAnsi="Cambria Math"/>
                    </w:rPr>
                    <m:t>收入</m:t>
                  </m:r>
                  <m:ctrlPr>
                    <w:rPr>
                      <w:rFonts w:hint="default" w:ascii="Cambria Math" w:hAnsi="Cambria Math"/>
                    </w:rPr>
                  </m:ctrlPr>
                </m:sub>
              </m:sSub>
            </m:oMath>
            <w:r>
              <w:t>时，</w:t>
            </w:r>
            <m:oMath>
              <m:r>
                <m:rPr>
                  <m:sty m:val="p"/>
                </m:rPr>
                <w:rPr>
                  <w:rFonts w:hint="default" w:ascii="Cambria Math" w:hAnsi="Cambria Math"/>
                </w:rPr>
                <m:t>（</m:t>
              </m:r>
              <m:f>
                <m:fPr>
                  <m:ctrlPr>
                    <w:rPr>
                      <w:rFonts w:hint="default" w:ascii="Cambria Math" w:hAnsi="Cambria Math"/>
                    </w:rPr>
                  </m:ctrlPr>
                </m:fPr>
                <m:num>
                  <m:sSub>
                    <m:sSubPr>
                      <m:ctrlPr>
                        <w:rPr>
                          <w:rFonts w:hint="default" w:ascii="Cambria Math" w:hAnsi="Cambria Math"/>
                        </w:rPr>
                      </m:ctrlPr>
                    </m:sSubPr>
                    <m:e>
                      <m:r>
                        <m:rPr>
                          <m:sty m:val="p"/>
                        </m:rPr>
                        <w:rPr>
                          <w:rFonts w:hint="default" w:ascii="Cambria Math" w:hAnsi="Cambria Math"/>
                        </w:rPr>
                        <m:t>V</m:t>
                      </m:r>
                      <m:ctrlPr>
                        <w:rPr>
                          <w:rFonts w:hint="default" w:ascii="Cambria Math" w:hAnsi="Cambria Math"/>
                        </w:rPr>
                      </m:ctrlPr>
                    </m:e>
                    <m:sub>
                      <m:r>
                        <m:rPr>
                          <m:sty m:val="p"/>
                        </m:rPr>
                        <w:rPr>
                          <w:rFonts w:hint="default" w:ascii="Cambria Math" w:hAnsi="Cambria Math"/>
                        </w:rPr>
                        <m:t>融资</m:t>
                      </m:r>
                      <m:ctrlPr>
                        <w:rPr>
                          <w:rFonts w:hint="default" w:ascii="Cambria Math" w:hAnsi="Cambria Math"/>
                        </w:rPr>
                      </m:ctrlPr>
                    </m:sub>
                  </m:sSub>
                  <m:ctrlPr>
                    <w:rPr>
                      <w:rFonts w:hint="default" w:ascii="Cambria Math" w:hAnsi="Cambria Math"/>
                    </w:rPr>
                  </m:ctrlPr>
                </m:num>
                <m:den>
                  <m:sSub>
                    <m:sSubPr>
                      <m:ctrlPr>
                        <w:rPr>
                          <w:rFonts w:hint="default" w:ascii="Cambria Math" w:hAnsi="Cambria Math"/>
                        </w:rPr>
                      </m:ctrlPr>
                    </m:sSubPr>
                    <m:e>
                      <m:r>
                        <m:rPr>
                          <m:sty m:val="p"/>
                        </m:rPr>
                        <w:rPr>
                          <w:rFonts w:hint="default" w:ascii="Cambria Math" w:hAnsi="Cambria Math"/>
                        </w:rPr>
                        <m:t>V</m:t>
                      </m:r>
                      <m:ctrlPr>
                        <w:rPr>
                          <w:rFonts w:hint="default" w:ascii="Cambria Math" w:hAnsi="Cambria Math"/>
                        </w:rPr>
                      </m:ctrlPr>
                    </m:e>
                    <m:sub>
                      <m:r>
                        <m:rPr>
                          <m:sty m:val="p"/>
                        </m:rPr>
                        <w:rPr>
                          <w:rFonts w:hint="default" w:ascii="Cambria Math" w:hAnsi="Cambria Math"/>
                        </w:rPr>
                        <m:t>收入</m:t>
                      </m:r>
                      <m:ctrlPr>
                        <w:rPr>
                          <w:rFonts w:hint="default" w:ascii="Cambria Math" w:hAnsi="Cambria Math"/>
                        </w:rPr>
                      </m:ctrlPr>
                    </m:sub>
                  </m:sSub>
                  <m:ctrlPr>
                    <w:rPr>
                      <w:rFonts w:hint="default" w:ascii="Cambria Math" w:hAnsi="Cambria Math"/>
                    </w:rPr>
                  </m:ctrlPr>
                </m:den>
              </m:f>
              <m:r>
                <m:rPr>
                  <m:sty m:val="p"/>
                </m:rPr>
                <w:rPr>
                  <w:rFonts w:hint="default" w:ascii="Cambria Math" w:hAnsi="Cambria Math"/>
                </w:rPr>
                <m:t>）</m:t>
              </m:r>
            </m:oMath>
            <w:r>
              <w:t>= 1</w:t>
            </w:r>
            <w:bookmarkEnd w:id="317"/>
            <w:bookmarkEnd w:id="3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96" w:type="dxa"/>
            <w:noWrap w:val="0"/>
            <w:vAlign w:val="center"/>
          </w:tcPr>
          <w:p>
            <w:pPr>
              <w:bidi w:val="0"/>
            </w:pPr>
            <m:oMathPara>
              <m:oMath>
                <m:sSub>
                  <w:bookmarkStart w:id="319" w:name="_Toc17579"/>
                  <w:bookmarkStart w:id="320" w:name="_Toc4902"/>
                  <m:sSubPr>
                    <m:ctrlPr>
                      <w:rPr>
                        <w:rFonts w:hint="default" w:ascii="Cambria Math" w:hAnsi="Cambria Math"/>
                      </w:rPr>
                    </m:ctrlPr>
                  </m:sSubPr>
                  <m:e>
                    <m:r>
                      <m:rPr>
                        <m:sty m:val="p"/>
                      </m:rPr>
                      <w:rPr>
                        <w:rFonts w:hint="default" w:ascii="Cambria Math" w:hAnsi="Cambria Math"/>
                      </w:rPr>
                      <m:t>R</m:t>
                    </m:r>
                    <m:ctrlPr>
                      <w:rPr>
                        <w:rFonts w:hint="default" w:ascii="Cambria Math" w:hAnsi="Cambria Math"/>
                      </w:rPr>
                    </m:ctrlPr>
                  </m:e>
                  <m:sub>
                    <m:r>
                      <m:rPr>
                        <m:sty m:val="p"/>
                      </m:rPr>
                      <w:rPr>
                        <w:rFonts w:hint="default" w:ascii="Cambria Math" w:hAnsi="Cambria Math"/>
                      </w:rPr>
                      <m:t>碳减排</m:t>
                    </m:r>
                    <m:ctrlPr>
                      <w:rPr>
                        <w:rFonts w:hint="default" w:ascii="Cambria Math" w:hAnsi="Cambria Math"/>
                      </w:rPr>
                    </m:ctrlPr>
                  </m:sub>
                </m:sSub>
                <m:r>
                  <m:rPr>
                    <m:sty m:val="p"/>
                  </m:rPr>
                  <w:rPr>
                    <w:rFonts w:hint="default" w:ascii="Cambria Math" w:hAnsi="Cambria Math"/>
                  </w:rPr>
                  <m:t>=</m:t>
                </m:r>
                <m:f>
                  <m:fPr>
                    <m:ctrlPr>
                      <w:rPr>
                        <w:rFonts w:hint="default" w:ascii="Cambria Math" w:hAnsi="Cambria Math"/>
                      </w:rPr>
                    </m:ctrlPr>
                  </m:fPr>
                  <m:num>
                    <m:sSub>
                      <m:sSubPr>
                        <m:ctrlPr>
                          <w:rPr>
                            <w:rFonts w:hint="default" w:ascii="Cambria Math" w:hAnsi="Cambria Math"/>
                          </w:rPr>
                        </m:ctrlPr>
                      </m:sSubPr>
                      <m:e>
                        <m:r>
                          <m:rPr>
                            <m:sty m:val="p"/>
                          </m:rPr>
                          <w:rPr>
                            <w:rFonts w:hint="default" w:ascii="Cambria Math" w:hAnsi="Cambria Math"/>
                          </w:rPr>
                          <m:t>n</m:t>
                        </m:r>
                        <m:ctrlPr>
                          <w:rPr>
                            <w:rFonts w:hint="default" w:ascii="Cambria Math" w:hAnsi="Cambria Math"/>
                          </w:rPr>
                        </m:ctrlPr>
                      </m:e>
                      <m:sub>
                        <m:r>
                          <m:rPr>
                            <m:sty m:val="p"/>
                          </m:rPr>
                          <w:rPr>
                            <w:rFonts w:hint="default" w:ascii="Cambria Math" w:hAnsi="Cambria Math"/>
                          </w:rPr>
                          <m:t>碳减排</m:t>
                        </m:r>
                        <m:ctrlPr>
                          <w:rPr>
                            <w:rFonts w:hint="default" w:ascii="Cambria Math" w:hAnsi="Cambria Math"/>
                          </w:rPr>
                        </m:ctrlPr>
                      </m:sub>
                    </m:sSub>
                    <m:ctrlPr>
                      <w:rPr>
                        <w:rFonts w:hint="default" w:ascii="Cambria Math" w:hAnsi="Cambria Math"/>
                      </w:rPr>
                    </m:ctrlPr>
                  </m:num>
                  <m:den>
                    <m:sSub>
                      <m:sSubPr>
                        <m:ctrlPr>
                          <w:rPr>
                            <w:rFonts w:hint="default" w:ascii="Cambria Math" w:hAnsi="Cambria Math"/>
                          </w:rPr>
                        </m:ctrlPr>
                      </m:sSubPr>
                      <m:e>
                        <m:r>
                          <m:rPr>
                            <m:sty m:val="p"/>
                          </m:rPr>
                          <w:rPr>
                            <w:rFonts w:hint="default" w:ascii="Cambria Math" w:hAnsi="Cambria Math"/>
                          </w:rPr>
                          <m:t>N</m:t>
                        </m:r>
                        <m:ctrlPr>
                          <w:rPr>
                            <w:rFonts w:hint="default" w:ascii="Cambria Math" w:hAnsi="Cambria Math"/>
                          </w:rPr>
                        </m:ctrlPr>
                      </m:e>
                      <m:sub>
                        <m:r>
                          <m:rPr>
                            <m:sty m:val="p"/>
                          </m:rPr>
                          <w:rPr>
                            <w:rFonts w:hint="default" w:ascii="Cambria Math" w:hAnsi="Cambria Math"/>
                          </w:rPr>
                          <m:t>总</m:t>
                        </m:r>
                        <m:ctrlPr>
                          <w:rPr>
                            <w:rFonts w:hint="default" w:ascii="Cambria Math" w:hAnsi="Cambria Math"/>
                          </w:rPr>
                        </m:ctrlPr>
                        <w:bookmarkEnd w:id="319"/>
                        <w:bookmarkEnd w:id="320"/>
                      </m:sub>
                    </m:sSub>
                    <m:ctrlPr>
                      <w:rPr>
                        <w:rFonts w:hint="default" w:ascii="Cambria Math" w:hAnsi="Cambria Math"/>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bidi w:val="0"/>
            </w:pPr>
            <w:bookmarkStart w:id="321" w:name="_Toc13773"/>
            <w:bookmarkStart w:id="322" w:name="_Toc24017"/>
            <w:r>
              <w:t>此式为融资业务</w:t>
            </w:r>
            <w:r>
              <w:rPr>
                <w:rFonts w:hint="eastAsia"/>
              </w:rPr>
              <w:t>占该类型融资业务比例</w:t>
            </w:r>
            <w:r>
              <w:t>的公式，式中：</w:t>
            </w:r>
            <w:bookmarkEnd w:id="321"/>
            <w:bookmarkEnd w:id="322"/>
            <w:r>
              <w:t xml:space="preserve"> </w:t>
            </w:r>
          </w:p>
          <w:p>
            <w:pPr>
              <w:bidi w:val="0"/>
            </w:pPr>
            <w:bookmarkStart w:id="323" w:name="_Toc170"/>
            <w:bookmarkStart w:id="324" w:name="_Toc12817"/>
            <w:r>
              <w:t>𝑅碳减排——报告期内，纳入碳减排量核算的融资业务占金融机构该类型融资业务的比例，按项目融资业务和非项目融资业务两种类型分别计算；</w:t>
            </w:r>
            <w:bookmarkEnd w:id="323"/>
            <w:bookmarkEnd w:id="324"/>
            <w:r>
              <w:t xml:space="preserve"> </w:t>
            </w:r>
          </w:p>
          <w:p>
            <w:pPr>
              <w:bidi w:val="0"/>
            </w:pPr>
            <w:bookmarkStart w:id="325" w:name="_Toc12808"/>
            <w:bookmarkStart w:id="326" w:name="_Toc32047"/>
            <w:r>
              <w:t>𝑛碳减排——报告期内，纳入碳减排量核算的融资业务的笔数，按项目融资业务和非项目融资业务两种类型分别统计；</w:t>
            </w:r>
            <w:bookmarkEnd w:id="325"/>
            <w:bookmarkEnd w:id="326"/>
            <w:r>
              <w:t xml:space="preserve"> </w:t>
            </w:r>
          </w:p>
          <w:p>
            <w:pPr>
              <w:bidi w:val="0"/>
            </w:pPr>
            <w:bookmarkStart w:id="327" w:name="_Toc12170"/>
            <w:bookmarkStart w:id="328" w:name="_Toc2213"/>
            <w:r>
              <w:t>𝑁总——报告期内，不同类型融资业务的总笔数，按项目融资业务和非项目融资业务两种类型分别统计。</w:t>
            </w:r>
            <w:bookmarkEnd w:id="327"/>
            <w:bookmarkEnd w:id="328"/>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329" w:name="_Toc4771"/>
      <w:bookmarkStart w:id="330" w:name="_Toc27585"/>
      <w:r>
        <w:rPr>
          <w:rFonts w:hint="eastAsia" w:ascii="仿宋" w:hAnsi="仿宋" w:eastAsia="仿宋" w:cs="仿宋"/>
          <w:sz w:val="32"/>
          <w:szCs w:val="32"/>
        </w:rPr>
        <w:t>本社绿色信贷环境效益测算标准依据中国银保监会发布的《关于绿色融资统计制度有关工作的通知》（银保监办便函〔2020〕739号）的附件：《绿色信贷项目节能减排量测算指引》，计算所需关键数据来源于项目可研报告和项目实际投产运营参数等，计算所需相关系数或缺省值由该指引提供。</w:t>
      </w:r>
      <w:bookmarkEnd w:id="329"/>
      <w:bookmarkEnd w:id="33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331" w:name="_Toc21016"/>
      <w:bookmarkStart w:id="332" w:name="_Toc6845"/>
      <w:r>
        <w:rPr>
          <w:rFonts w:hint="eastAsia" w:ascii="仿宋" w:hAnsi="仿宋" w:eastAsia="仿宋" w:cs="仿宋"/>
          <w:sz w:val="32"/>
          <w:szCs w:val="32"/>
        </w:rPr>
        <w:t>本行可量化环境效益的项目类型主要为城乡公交项目，项目环境效益涉及指标如下：</w:t>
      </w:r>
      <w:bookmarkEnd w:id="331"/>
      <w:bookmarkEnd w:id="332"/>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noWrap w:val="0"/>
            <w:vAlign w:val="top"/>
          </w:tcPr>
          <w:p>
            <w:pPr>
              <w:numPr>
                <w:ilvl w:val="0"/>
                <w:numId w:val="1"/>
              </w:numPr>
              <w:bidi w:val="0"/>
              <w:rPr>
                <w:rFonts w:hint="eastAsia" w:ascii="宋体" w:hAnsi="宋体" w:eastAsia="宋体" w:cs="宋体"/>
                <w:sz w:val="21"/>
                <w:szCs w:val="21"/>
              </w:rPr>
            </w:pPr>
            <w:bookmarkStart w:id="333" w:name="_Toc25235"/>
            <w:bookmarkStart w:id="334" w:name="_Toc32140"/>
            <w:r>
              <w:rPr>
                <w:rFonts w:hint="eastAsia" w:ascii="宋体" w:hAnsi="宋体" w:eastAsia="宋体" w:cs="宋体"/>
                <w:sz w:val="21"/>
                <w:szCs w:val="21"/>
              </w:rPr>
              <w:t>标准煤节约量  E=（ωc-ωh）×ρ×β×N×K×10-1</w:t>
            </w:r>
            <w:bookmarkEnd w:id="333"/>
            <w:bookmarkEnd w:id="3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numPr>
                <w:ilvl w:val="0"/>
                <w:numId w:val="1"/>
              </w:numPr>
              <w:bidi w:val="0"/>
              <w:rPr>
                <w:rFonts w:hint="eastAsia" w:ascii="宋体" w:hAnsi="宋体" w:eastAsia="宋体" w:cs="宋体"/>
                <w:sz w:val="21"/>
                <w:szCs w:val="21"/>
              </w:rPr>
            </w:pPr>
            <w:bookmarkStart w:id="335" w:name="_Toc26999"/>
            <w:bookmarkStart w:id="336" w:name="_Toc26958"/>
            <w:r>
              <w:rPr>
                <w:rFonts w:hint="eastAsia" w:ascii="宋体" w:hAnsi="宋体" w:eastAsia="宋体" w:cs="宋体"/>
                <w:sz w:val="21"/>
                <w:szCs w:val="21"/>
              </w:rPr>
              <w:t>E：年标准煤节约能力，单位为：吨标准煤；</w:t>
            </w:r>
            <w:bookmarkEnd w:id="335"/>
            <w:bookmarkEnd w:id="336"/>
            <w:r>
              <w:rPr>
                <w:rFonts w:hint="eastAsia" w:ascii="宋体" w:hAnsi="宋体" w:eastAsia="宋体" w:cs="宋体"/>
                <w:sz w:val="21"/>
                <w:szCs w:val="21"/>
              </w:rPr>
              <w:tab/>
            </w:r>
          </w:p>
          <w:p>
            <w:pPr>
              <w:numPr>
                <w:ilvl w:val="0"/>
                <w:numId w:val="1"/>
              </w:numPr>
              <w:bidi w:val="0"/>
              <w:rPr>
                <w:rFonts w:hint="eastAsia" w:ascii="宋体" w:hAnsi="宋体" w:eastAsia="宋体" w:cs="宋体"/>
                <w:sz w:val="21"/>
                <w:szCs w:val="21"/>
              </w:rPr>
            </w:pPr>
            <w:bookmarkStart w:id="337" w:name="_Toc8546"/>
            <w:bookmarkStart w:id="338" w:name="_Toc25733"/>
            <w:r>
              <w:rPr>
                <w:rFonts w:hint="eastAsia" w:ascii="宋体" w:hAnsi="宋体" w:eastAsia="宋体" w:cs="宋体"/>
                <w:sz w:val="21"/>
                <w:szCs w:val="21"/>
              </w:rPr>
              <w:t>ωc：车辆更新项目实施前，老旧车辆的设计油耗，单位：升/百公里；</w:t>
            </w:r>
            <w:bookmarkEnd w:id="337"/>
            <w:bookmarkEnd w:id="338"/>
          </w:p>
          <w:p>
            <w:pPr>
              <w:numPr>
                <w:ilvl w:val="0"/>
                <w:numId w:val="1"/>
              </w:numPr>
              <w:bidi w:val="0"/>
              <w:rPr>
                <w:rFonts w:hint="eastAsia" w:ascii="宋体" w:hAnsi="宋体" w:eastAsia="宋体" w:cs="宋体"/>
                <w:sz w:val="21"/>
                <w:szCs w:val="21"/>
              </w:rPr>
            </w:pPr>
            <w:bookmarkStart w:id="339" w:name="_Toc7306"/>
            <w:bookmarkStart w:id="340" w:name="_Toc23769"/>
            <w:r>
              <w:rPr>
                <w:rFonts w:hint="eastAsia" w:ascii="宋体" w:hAnsi="宋体" w:eastAsia="宋体" w:cs="宋体"/>
                <w:sz w:val="21"/>
                <w:szCs w:val="21"/>
              </w:rPr>
              <w:t>ωh：车辆更新项目实施后，更新购置车辆的设计油耗，单位：升/百公里；</w:t>
            </w:r>
            <w:bookmarkEnd w:id="339"/>
            <w:bookmarkEnd w:id="340"/>
          </w:p>
          <w:p>
            <w:pPr>
              <w:numPr>
                <w:ilvl w:val="0"/>
                <w:numId w:val="1"/>
              </w:numPr>
              <w:bidi w:val="0"/>
              <w:rPr>
                <w:rFonts w:hint="eastAsia" w:ascii="宋体" w:hAnsi="宋体" w:eastAsia="宋体" w:cs="宋体"/>
                <w:sz w:val="21"/>
                <w:szCs w:val="21"/>
              </w:rPr>
            </w:pPr>
            <w:bookmarkStart w:id="341" w:name="_Toc16517"/>
            <w:bookmarkStart w:id="342" w:name="_Toc11624"/>
            <w:r>
              <w:rPr>
                <w:rFonts w:hint="eastAsia" w:ascii="宋体" w:hAnsi="宋体" w:eastAsia="宋体" w:cs="宋体"/>
                <w:sz w:val="21"/>
                <w:szCs w:val="21"/>
              </w:rPr>
              <w:t>ρ： 油品的体积质量转化系数，即油品的密度，单位：千克/升；</w:t>
            </w:r>
            <w:bookmarkEnd w:id="341"/>
            <w:bookmarkEnd w:id="342"/>
          </w:p>
          <w:p>
            <w:pPr>
              <w:numPr>
                <w:ilvl w:val="0"/>
                <w:numId w:val="1"/>
              </w:numPr>
              <w:bidi w:val="0"/>
              <w:rPr>
                <w:rFonts w:hint="eastAsia" w:ascii="宋体" w:hAnsi="宋体" w:eastAsia="宋体" w:cs="宋体"/>
                <w:sz w:val="21"/>
                <w:szCs w:val="21"/>
              </w:rPr>
            </w:pPr>
            <w:bookmarkStart w:id="343" w:name="_Toc26825"/>
            <w:bookmarkStart w:id="344" w:name="_Toc22958"/>
            <w:r>
              <w:rPr>
                <w:rFonts w:hint="eastAsia" w:ascii="宋体" w:hAnsi="宋体" w:eastAsia="宋体" w:cs="宋体"/>
                <w:sz w:val="21"/>
                <w:szCs w:val="21"/>
              </w:rPr>
              <w:t>β： 车辆燃油折标系数，单位：千克标准煤/千克；</w:t>
            </w:r>
            <w:bookmarkEnd w:id="343"/>
            <w:bookmarkEnd w:id="344"/>
          </w:p>
          <w:p>
            <w:pPr>
              <w:numPr>
                <w:ilvl w:val="0"/>
                <w:numId w:val="1"/>
              </w:numPr>
              <w:bidi w:val="0"/>
              <w:rPr>
                <w:rFonts w:hint="eastAsia" w:ascii="宋体" w:hAnsi="宋体" w:eastAsia="宋体" w:cs="宋体"/>
                <w:sz w:val="21"/>
                <w:szCs w:val="21"/>
              </w:rPr>
            </w:pPr>
            <w:bookmarkStart w:id="345" w:name="_Toc25190"/>
            <w:bookmarkStart w:id="346" w:name="_Toc28313"/>
            <w:r>
              <w:rPr>
                <w:rFonts w:hint="eastAsia" w:ascii="宋体" w:hAnsi="宋体" w:eastAsia="宋体" w:cs="宋体"/>
                <w:sz w:val="21"/>
                <w:szCs w:val="21"/>
              </w:rPr>
              <w:t>N： 更新车辆的数量，单位：辆；</w:t>
            </w:r>
            <w:bookmarkEnd w:id="345"/>
            <w:bookmarkEnd w:id="346"/>
          </w:p>
          <w:p>
            <w:pPr>
              <w:numPr>
                <w:ilvl w:val="0"/>
                <w:numId w:val="1"/>
              </w:numPr>
              <w:bidi w:val="0"/>
              <w:rPr>
                <w:rFonts w:hint="eastAsia" w:ascii="宋体" w:hAnsi="宋体" w:eastAsia="宋体" w:cs="宋体"/>
                <w:sz w:val="21"/>
                <w:szCs w:val="21"/>
              </w:rPr>
            </w:pPr>
            <w:bookmarkStart w:id="347" w:name="_Toc32658"/>
            <w:bookmarkStart w:id="348" w:name="_Toc6527"/>
            <w:r>
              <w:rPr>
                <w:rFonts w:hint="eastAsia" w:ascii="宋体" w:hAnsi="宋体" w:eastAsia="宋体" w:cs="宋体"/>
                <w:sz w:val="21"/>
                <w:szCs w:val="21"/>
              </w:rPr>
              <w:t>K： 购置车辆预计年运输工作量，单位：万公里。</w:t>
            </w:r>
            <w:bookmarkEnd w:id="347"/>
            <w:bookmarkEnd w:id="3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pPr>
              <w:numPr>
                <w:ilvl w:val="0"/>
                <w:numId w:val="1"/>
              </w:numPr>
              <w:bidi w:val="0"/>
              <w:rPr>
                <w:rFonts w:hint="eastAsia" w:ascii="宋体" w:hAnsi="宋体" w:eastAsia="宋体" w:cs="宋体"/>
                <w:sz w:val="21"/>
                <w:szCs w:val="21"/>
              </w:rPr>
            </w:pPr>
            <w:bookmarkStart w:id="349" w:name="_Toc21206"/>
            <w:bookmarkStart w:id="350" w:name="_Toc19113"/>
            <w:r>
              <w:rPr>
                <w:rFonts w:hint="eastAsia" w:ascii="宋体" w:hAnsi="宋体" w:eastAsia="宋体" w:cs="宋体"/>
                <w:sz w:val="21"/>
                <w:szCs w:val="21"/>
              </w:rPr>
              <w:t>（2）二氧化碳减排量  CO2=（ωc×ρ×αoil-ωh×αelectricity）×N×K×10-1</w:t>
            </w:r>
            <w:bookmarkEnd w:id="349"/>
            <w:bookmarkEnd w:id="3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numPr>
                <w:ilvl w:val="0"/>
                <w:numId w:val="1"/>
              </w:numPr>
              <w:bidi w:val="0"/>
              <w:rPr>
                <w:rFonts w:hint="eastAsia" w:ascii="宋体" w:hAnsi="宋体" w:eastAsia="宋体" w:cs="宋体"/>
                <w:sz w:val="21"/>
                <w:szCs w:val="21"/>
              </w:rPr>
            </w:pPr>
            <w:bookmarkStart w:id="351" w:name="_Toc27551"/>
            <w:bookmarkStart w:id="352" w:name="_Toc26571"/>
            <w:r>
              <w:rPr>
                <w:rFonts w:hint="eastAsia" w:ascii="宋体" w:hAnsi="宋体" w:eastAsia="宋体" w:cs="宋体"/>
                <w:sz w:val="21"/>
                <w:szCs w:val="21"/>
              </w:rPr>
              <w:t>CO2：项目二氧化碳当量减排量，单位：吨二氧化碳/年；</w:t>
            </w:r>
            <w:bookmarkEnd w:id="351"/>
            <w:bookmarkEnd w:id="352"/>
          </w:p>
          <w:p>
            <w:pPr>
              <w:numPr>
                <w:ilvl w:val="0"/>
                <w:numId w:val="1"/>
              </w:numPr>
              <w:bidi w:val="0"/>
              <w:rPr>
                <w:rFonts w:hint="eastAsia" w:ascii="宋体" w:hAnsi="宋体" w:eastAsia="宋体" w:cs="宋体"/>
                <w:sz w:val="21"/>
                <w:szCs w:val="21"/>
              </w:rPr>
            </w:pPr>
            <w:bookmarkStart w:id="353" w:name="_Toc27619"/>
            <w:bookmarkStart w:id="354" w:name="_Toc28870"/>
            <w:r>
              <w:rPr>
                <w:rFonts w:hint="eastAsia" w:ascii="宋体" w:hAnsi="宋体" w:eastAsia="宋体" w:cs="宋体"/>
                <w:sz w:val="21"/>
                <w:szCs w:val="21"/>
              </w:rPr>
              <w:t>ωc：车辆更新项目实施前，老旧车辆的设计油耗，单位：升/百公里；</w:t>
            </w:r>
            <w:bookmarkEnd w:id="353"/>
            <w:bookmarkEnd w:id="354"/>
          </w:p>
          <w:p>
            <w:pPr>
              <w:numPr>
                <w:ilvl w:val="0"/>
                <w:numId w:val="1"/>
              </w:numPr>
              <w:bidi w:val="0"/>
              <w:rPr>
                <w:rFonts w:hint="eastAsia" w:ascii="宋体" w:hAnsi="宋体" w:eastAsia="宋体" w:cs="宋体"/>
                <w:sz w:val="21"/>
                <w:szCs w:val="21"/>
              </w:rPr>
            </w:pPr>
            <w:bookmarkStart w:id="355" w:name="_Toc22774"/>
            <w:bookmarkStart w:id="356" w:name="_Toc2320"/>
            <w:r>
              <w:rPr>
                <w:rFonts w:hint="eastAsia" w:ascii="宋体" w:hAnsi="宋体" w:eastAsia="宋体" w:cs="宋体"/>
                <w:sz w:val="21"/>
                <w:szCs w:val="21"/>
              </w:rPr>
              <w:t>ωh：车辆更新项目实施后，更新购置车辆的设计电耗，单位：千瓦时/百公里；</w:t>
            </w:r>
            <w:bookmarkEnd w:id="355"/>
            <w:bookmarkEnd w:id="356"/>
          </w:p>
          <w:p>
            <w:pPr>
              <w:numPr>
                <w:ilvl w:val="0"/>
                <w:numId w:val="1"/>
              </w:numPr>
              <w:bidi w:val="0"/>
              <w:rPr>
                <w:rFonts w:hint="eastAsia" w:ascii="宋体" w:hAnsi="宋体" w:eastAsia="宋体" w:cs="宋体"/>
                <w:sz w:val="21"/>
                <w:szCs w:val="21"/>
              </w:rPr>
            </w:pPr>
            <w:bookmarkStart w:id="357" w:name="_Toc16731"/>
            <w:bookmarkStart w:id="358" w:name="_Toc18154"/>
            <w:r>
              <w:rPr>
                <w:rFonts w:hint="eastAsia" w:ascii="宋体" w:hAnsi="宋体" w:eastAsia="宋体" w:cs="宋体"/>
                <w:sz w:val="21"/>
                <w:szCs w:val="21"/>
              </w:rPr>
              <w:t>ρ： 油品的体积质量转化系数，即油品的密度，单位：千克/升；</w:t>
            </w:r>
            <w:bookmarkEnd w:id="357"/>
            <w:bookmarkEnd w:id="358"/>
          </w:p>
          <w:p>
            <w:pPr>
              <w:numPr>
                <w:ilvl w:val="0"/>
                <w:numId w:val="1"/>
              </w:numPr>
              <w:bidi w:val="0"/>
              <w:rPr>
                <w:rFonts w:hint="eastAsia" w:ascii="宋体" w:hAnsi="宋体" w:eastAsia="宋体" w:cs="宋体"/>
                <w:sz w:val="21"/>
                <w:szCs w:val="21"/>
              </w:rPr>
            </w:pPr>
            <w:bookmarkStart w:id="359" w:name="_Toc8504"/>
            <w:bookmarkStart w:id="360" w:name="_Toc1144"/>
            <w:r>
              <w:rPr>
                <w:rFonts w:hint="eastAsia" w:ascii="宋体" w:hAnsi="宋体" w:eastAsia="宋体" w:cs="宋体"/>
                <w:sz w:val="21"/>
                <w:szCs w:val="21"/>
              </w:rPr>
              <w:t>αoil：动力燃油的温室气体排放系数，单位：吨二氧化碳/吨燃油；</w:t>
            </w:r>
            <w:bookmarkEnd w:id="359"/>
            <w:bookmarkEnd w:id="360"/>
          </w:p>
          <w:p>
            <w:pPr>
              <w:numPr>
                <w:ilvl w:val="0"/>
                <w:numId w:val="1"/>
              </w:numPr>
              <w:bidi w:val="0"/>
              <w:rPr>
                <w:rFonts w:hint="eastAsia" w:ascii="宋体" w:hAnsi="宋体" w:eastAsia="宋体" w:cs="宋体"/>
                <w:sz w:val="21"/>
                <w:szCs w:val="21"/>
              </w:rPr>
            </w:pPr>
            <w:bookmarkStart w:id="361" w:name="_Toc7872"/>
            <w:bookmarkStart w:id="362" w:name="_Toc25812"/>
            <w:r>
              <w:rPr>
                <w:rFonts w:hint="eastAsia" w:ascii="宋体" w:hAnsi="宋体" w:eastAsia="宋体" w:cs="宋体"/>
                <w:sz w:val="21"/>
                <w:szCs w:val="21"/>
              </w:rPr>
              <w:t>αelectricity：电力的温室气体排放系数，单位公斤二氧化碳/千瓦时；</w:t>
            </w:r>
            <w:bookmarkEnd w:id="361"/>
            <w:bookmarkEnd w:id="362"/>
          </w:p>
          <w:p>
            <w:pPr>
              <w:numPr>
                <w:ilvl w:val="0"/>
                <w:numId w:val="1"/>
              </w:numPr>
              <w:bidi w:val="0"/>
              <w:rPr>
                <w:rFonts w:hint="eastAsia" w:ascii="宋体" w:hAnsi="宋体" w:eastAsia="宋体" w:cs="宋体"/>
                <w:sz w:val="21"/>
                <w:szCs w:val="21"/>
              </w:rPr>
            </w:pPr>
            <w:bookmarkStart w:id="363" w:name="_Toc22014"/>
            <w:bookmarkStart w:id="364" w:name="_Toc15773"/>
            <w:r>
              <w:rPr>
                <w:rFonts w:hint="eastAsia" w:ascii="宋体" w:hAnsi="宋体" w:eastAsia="宋体" w:cs="宋体"/>
                <w:sz w:val="21"/>
                <w:szCs w:val="21"/>
              </w:rPr>
              <w:t>N： 更新车辆的数量，单位：辆；</w:t>
            </w:r>
            <w:bookmarkEnd w:id="363"/>
            <w:bookmarkEnd w:id="364"/>
          </w:p>
          <w:p>
            <w:pPr>
              <w:numPr>
                <w:ilvl w:val="0"/>
                <w:numId w:val="1"/>
              </w:numPr>
              <w:bidi w:val="0"/>
              <w:rPr>
                <w:rFonts w:hint="eastAsia" w:ascii="宋体" w:hAnsi="宋体" w:eastAsia="宋体" w:cs="宋体"/>
                <w:sz w:val="21"/>
                <w:szCs w:val="21"/>
              </w:rPr>
            </w:pPr>
            <w:bookmarkStart w:id="365" w:name="_Toc8409"/>
            <w:bookmarkStart w:id="366" w:name="_Toc24884"/>
            <w:r>
              <w:rPr>
                <w:rFonts w:hint="eastAsia" w:ascii="宋体" w:hAnsi="宋体" w:eastAsia="宋体" w:cs="宋体"/>
                <w:sz w:val="21"/>
                <w:szCs w:val="21"/>
              </w:rPr>
              <w:t>K： 购置车辆预计年运输工作量，单位：万公里。</w:t>
            </w:r>
            <w:bookmarkEnd w:id="365"/>
            <w:bookmarkEnd w:id="366"/>
          </w:p>
        </w:tc>
      </w:tr>
    </w:tbl>
    <w:p>
      <w:pPr>
        <w:pStyle w:val="7"/>
        <w:bidi w:val="0"/>
        <w:rPr>
          <w:rFonts w:hint="eastAsia" w:ascii="楷体" w:hAnsi="楷体" w:eastAsia="楷体" w:cs="楷体"/>
          <w:lang w:val="en-US" w:eastAsia="zh-CN"/>
        </w:rPr>
      </w:pPr>
      <w:bookmarkStart w:id="367" w:name="_Toc19772"/>
      <w:r>
        <w:rPr>
          <w:rFonts w:hint="eastAsia" w:ascii="楷体" w:hAnsi="楷体" w:eastAsia="楷体" w:cs="楷体"/>
          <w:lang w:val="en-US" w:eastAsia="zh-CN"/>
        </w:rPr>
        <w:t>7.3.1绿色信贷典型案例</w:t>
      </w:r>
      <w:bookmarkEnd w:id="36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支持六枝特区公共汽车运输公司实例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该公司为全民所有制公司，由六枝特区经信局出资72万元于1985年成立的，由六枝特区经信局代表国家履行出资人的职责，决定公司的经营方针和投资计划。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司经过36年的发展，现在拥有固定资产3000万元，拥有各类型新能源公交车90辆和新能源充电桩三座，以及占地14000余平方米的城东综合停产场，在六枝特区那平路街心花园（老公汽公司大院内）拥有占地4200平方米建筑面积约5000平方米的商城，现有职(员工)140余人,营运公交线路9条,年公交客运量2550万人次,营运收入1450万元,承担六枝城区常住人口及周边乡镇近30万人口的出行需求运送任务。2015年开始公司全面落实了60周岁以上老年人、失独家庭、优抚对象的免费乘车，同时也是全省首家全部使用新能源汽车营运的公交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枝联社通过支持六枝特区公共汽车运输公司450万元，用于该公司支付新能源车款，助力该公司实现拥有新能源汽车90辆，且所有公交车已全部更新为新能源公交车，为六枝城区及附近部分村镇30余万人口提供出行客运服务，基本满足了各条线路上居民出行的需求，弥补了近几年城市快速发展带来的交通需求缺口，改善了过去因使用燃油公共汽车带来的环境污染，为六枝特区城市交通领域发展作出了重要贡献。</w:t>
      </w:r>
    </w:p>
    <w:p>
      <w:pPr>
        <w:pStyle w:val="5"/>
        <w:bidi w:val="0"/>
        <w:rPr>
          <w:rFonts w:hint="eastAsia" w:ascii="黑体" w:hAnsi="黑体" w:eastAsia="黑体" w:cs="黑体"/>
          <w:sz w:val="32"/>
          <w:szCs w:val="32"/>
        </w:rPr>
      </w:pPr>
      <w:bookmarkStart w:id="368" w:name="_Toc11121"/>
      <w:bookmarkStart w:id="369" w:name="_Toc14056"/>
      <w:r>
        <w:rPr>
          <w:rFonts w:hint="eastAsia" w:ascii="黑体" w:hAnsi="黑体" w:eastAsia="黑体" w:cs="黑体"/>
          <w:sz w:val="32"/>
          <w:szCs w:val="32"/>
        </w:rPr>
        <w:t>8</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经营活动的环境影响</w:t>
      </w:r>
      <w:bookmarkEnd w:id="368"/>
      <w:bookmarkEnd w:id="369"/>
    </w:p>
    <w:p>
      <w:pPr>
        <w:pStyle w:val="6"/>
        <w:bidi w:val="0"/>
        <w:rPr>
          <w:rFonts w:hint="eastAsia" w:ascii="楷体" w:hAnsi="楷体" w:eastAsia="楷体" w:cs="楷体"/>
        </w:rPr>
      </w:pPr>
      <w:bookmarkStart w:id="370" w:name="_Toc32363"/>
      <w:r>
        <w:rPr>
          <w:rFonts w:hint="eastAsia" w:ascii="楷体" w:hAnsi="楷体" w:eastAsia="楷体" w:cs="楷体"/>
        </w:rPr>
        <w:t>8.1经营活动产生的自然资源消耗和温室气体排放</w:t>
      </w:r>
      <w:bookmarkEnd w:id="370"/>
    </w:p>
    <w:p>
      <w:pPr>
        <w:widowControl/>
        <w:jc w:val="center"/>
        <w:outlineLvl w:val="2"/>
        <w:rPr>
          <w:rFonts w:ascii="宋体" w:hAnsi="宋体" w:cs="宋体"/>
          <w:color w:val="000000"/>
          <w:kern w:val="0"/>
          <w:sz w:val="28"/>
          <w:szCs w:val="28"/>
        </w:rPr>
      </w:pPr>
      <w:bookmarkStart w:id="371" w:name="_Toc29970"/>
      <w:bookmarkStart w:id="372" w:name="_Toc17595"/>
      <w:r>
        <w:rPr>
          <w:rFonts w:hint="eastAsia" w:ascii="宋体" w:hAnsi="宋体" w:cs="宋体"/>
          <w:color w:val="000000"/>
          <w:kern w:val="0"/>
          <w:sz w:val="28"/>
          <w:szCs w:val="28"/>
        </w:rPr>
        <w:t>2021年度经营活动产生的自然资源消耗</w:t>
      </w:r>
      <w:bookmarkEnd w:id="371"/>
      <w:bookmarkEnd w:id="37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260"/>
        <w:gridCol w:w="1592"/>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166" w:type="dxa"/>
            <w:gridSpan w:val="2"/>
            <w:noWrap w:val="0"/>
            <w:vAlign w:val="center"/>
          </w:tcPr>
          <w:p>
            <w:pPr>
              <w:widowControl/>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环境指标</w:t>
            </w:r>
          </w:p>
        </w:tc>
        <w:tc>
          <w:tcPr>
            <w:tcW w:w="1592" w:type="dxa"/>
            <w:noWrap w:val="0"/>
            <w:vAlign w:val="center"/>
          </w:tcPr>
          <w:p>
            <w:pPr>
              <w:widowControl/>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指标单位</w:t>
            </w:r>
          </w:p>
        </w:tc>
        <w:tc>
          <w:tcPr>
            <w:tcW w:w="1764" w:type="dxa"/>
            <w:noWrap w:val="0"/>
            <w:vAlign w:val="center"/>
          </w:tcPr>
          <w:p>
            <w:pPr>
              <w:widowControl/>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6" w:type="dxa"/>
            <w:vMerge w:val="restart"/>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经营活动产生的直接自然资源消耗</w:t>
            </w:r>
          </w:p>
        </w:tc>
        <w:tc>
          <w:tcPr>
            <w:tcW w:w="2260"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液化石油气</w:t>
            </w:r>
          </w:p>
        </w:tc>
        <w:tc>
          <w:tcPr>
            <w:tcW w:w="1592"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千克</w:t>
            </w:r>
          </w:p>
        </w:tc>
        <w:tc>
          <w:tcPr>
            <w:tcW w:w="1764"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3012.50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6" w:type="dxa"/>
            <w:vMerge w:val="continue"/>
            <w:noWrap w:val="0"/>
            <w:vAlign w:val="center"/>
          </w:tcPr>
          <w:p>
            <w:pPr>
              <w:widowControl/>
              <w:snapToGrid w:val="0"/>
              <w:jc w:val="center"/>
              <w:rPr>
                <w:rFonts w:hint="eastAsia" w:ascii="仿宋" w:hAnsi="仿宋" w:eastAsia="仿宋" w:cs="仿宋"/>
                <w:color w:val="000000"/>
                <w:kern w:val="0"/>
                <w:sz w:val="28"/>
                <w:szCs w:val="28"/>
              </w:rPr>
            </w:pPr>
          </w:p>
        </w:tc>
        <w:tc>
          <w:tcPr>
            <w:tcW w:w="2260"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煤炭</w:t>
            </w:r>
          </w:p>
        </w:tc>
        <w:tc>
          <w:tcPr>
            <w:tcW w:w="1592"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吨</w:t>
            </w:r>
          </w:p>
        </w:tc>
        <w:tc>
          <w:tcPr>
            <w:tcW w:w="1764"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6" w:type="dxa"/>
            <w:vMerge w:val="continue"/>
            <w:noWrap w:val="0"/>
            <w:vAlign w:val="center"/>
          </w:tcPr>
          <w:p>
            <w:pPr>
              <w:widowControl/>
              <w:snapToGrid w:val="0"/>
              <w:jc w:val="center"/>
              <w:rPr>
                <w:rFonts w:hint="eastAsia" w:ascii="仿宋" w:hAnsi="仿宋" w:eastAsia="仿宋" w:cs="仿宋"/>
                <w:color w:val="000000"/>
                <w:kern w:val="0"/>
                <w:sz w:val="28"/>
                <w:szCs w:val="28"/>
              </w:rPr>
            </w:pPr>
          </w:p>
        </w:tc>
        <w:tc>
          <w:tcPr>
            <w:tcW w:w="2260"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公车用汽油</w:t>
            </w:r>
          </w:p>
        </w:tc>
        <w:tc>
          <w:tcPr>
            <w:tcW w:w="1592"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升</w:t>
            </w:r>
          </w:p>
        </w:tc>
        <w:tc>
          <w:tcPr>
            <w:tcW w:w="1764"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13045.00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6" w:type="dxa"/>
            <w:vMerge w:val="continue"/>
            <w:noWrap w:val="0"/>
            <w:vAlign w:val="center"/>
          </w:tcPr>
          <w:p>
            <w:pPr>
              <w:widowControl/>
              <w:snapToGrid w:val="0"/>
              <w:jc w:val="center"/>
              <w:rPr>
                <w:rFonts w:hint="eastAsia" w:ascii="仿宋" w:hAnsi="仿宋" w:eastAsia="仿宋" w:cs="仿宋"/>
                <w:color w:val="000000"/>
                <w:kern w:val="0"/>
                <w:sz w:val="28"/>
                <w:szCs w:val="28"/>
              </w:rPr>
            </w:pPr>
          </w:p>
        </w:tc>
        <w:tc>
          <w:tcPr>
            <w:tcW w:w="2260"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公车用柴油</w:t>
            </w:r>
          </w:p>
        </w:tc>
        <w:tc>
          <w:tcPr>
            <w:tcW w:w="1592"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升</w:t>
            </w:r>
          </w:p>
        </w:tc>
        <w:tc>
          <w:tcPr>
            <w:tcW w:w="1764"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6" w:type="dxa"/>
            <w:vMerge w:val="restart"/>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经营活动产生的间接自然资源消耗</w:t>
            </w:r>
          </w:p>
        </w:tc>
        <w:tc>
          <w:tcPr>
            <w:tcW w:w="2260"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外购电力</w:t>
            </w:r>
          </w:p>
        </w:tc>
        <w:tc>
          <w:tcPr>
            <w:tcW w:w="1592"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千瓦时</w:t>
            </w:r>
          </w:p>
        </w:tc>
        <w:tc>
          <w:tcPr>
            <w:tcW w:w="1764"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6" w:type="dxa"/>
            <w:vMerge w:val="continue"/>
            <w:noWrap w:val="0"/>
            <w:vAlign w:val="center"/>
          </w:tcPr>
          <w:p>
            <w:pPr>
              <w:widowControl/>
              <w:snapToGrid w:val="0"/>
              <w:jc w:val="center"/>
              <w:rPr>
                <w:rFonts w:hint="eastAsia" w:ascii="仿宋" w:hAnsi="仿宋" w:eastAsia="仿宋" w:cs="仿宋"/>
                <w:color w:val="000000"/>
                <w:kern w:val="0"/>
                <w:sz w:val="28"/>
                <w:szCs w:val="28"/>
              </w:rPr>
            </w:pPr>
          </w:p>
        </w:tc>
        <w:tc>
          <w:tcPr>
            <w:tcW w:w="2260"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办公用水消耗</w:t>
            </w:r>
          </w:p>
        </w:tc>
        <w:tc>
          <w:tcPr>
            <w:tcW w:w="1592"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吨</w:t>
            </w:r>
          </w:p>
        </w:tc>
        <w:tc>
          <w:tcPr>
            <w:tcW w:w="1764"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14425.00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6" w:type="dxa"/>
            <w:vMerge w:val="continue"/>
            <w:noWrap w:val="0"/>
            <w:vAlign w:val="center"/>
          </w:tcPr>
          <w:p>
            <w:pPr>
              <w:widowControl/>
              <w:snapToGrid w:val="0"/>
              <w:jc w:val="center"/>
              <w:rPr>
                <w:rFonts w:hint="eastAsia" w:ascii="仿宋" w:hAnsi="仿宋" w:eastAsia="仿宋" w:cs="仿宋"/>
                <w:color w:val="000000"/>
                <w:kern w:val="0"/>
                <w:sz w:val="28"/>
                <w:szCs w:val="28"/>
              </w:rPr>
            </w:pPr>
          </w:p>
        </w:tc>
        <w:tc>
          <w:tcPr>
            <w:tcW w:w="2260"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办公用纸消耗量</w:t>
            </w:r>
          </w:p>
        </w:tc>
        <w:tc>
          <w:tcPr>
            <w:tcW w:w="1592" w:type="dxa"/>
            <w:noWrap w:val="0"/>
            <w:vAlign w:val="center"/>
          </w:tcPr>
          <w:p>
            <w:pPr>
              <w:widowControl/>
              <w:snapToGri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张</w:t>
            </w:r>
          </w:p>
        </w:tc>
        <w:tc>
          <w:tcPr>
            <w:tcW w:w="1764"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1697400</w:t>
            </w:r>
          </w:p>
        </w:tc>
      </w:tr>
    </w:tbl>
    <w:p>
      <w:pPr>
        <w:snapToGrid w:val="0"/>
        <w:rPr>
          <w:sz w:val="28"/>
          <w:szCs w:val="28"/>
        </w:rPr>
      </w:pPr>
    </w:p>
    <w:p>
      <w:pPr>
        <w:widowControl/>
        <w:jc w:val="center"/>
        <w:outlineLvl w:val="2"/>
        <w:rPr>
          <w:rFonts w:ascii="宋体" w:hAnsi="宋体" w:cs="宋体"/>
          <w:color w:val="000000"/>
          <w:kern w:val="0"/>
          <w:sz w:val="28"/>
          <w:szCs w:val="28"/>
        </w:rPr>
      </w:pPr>
      <w:bookmarkStart w:id="373" w:name="_Toc32709"/>
      <w:bookmarkStart w:id="374" w:name="_Toc23537"/>
      <w:r>
        <w:rPr>
          <w:rFonts w:ascii="宋体" w:hAnsi="宋体" w:cs="宋体"/>
          <w:color w:val="000000"/>
          <w:kern w:val="0"/>
          <w:sz w:val="28"/>
          <w:szCs w:val="28"/>
        </w:rPr>
        <w:t>2021年度经营活动产生的温室气体排放</w:t>
      </w:r>
      <w:bookmarkEnd w:id="373"/>
      <w:bookmarkEnd w:id="374"/>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2"/>
        <w:gridCol w:w="2911"/>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3782" w:type="dxa"/>
            <w:noWrap w:val="0"/>
            <w:vAlign w:val="center"/>
          </w:tcPr>
          <w:p>
            <w:pPr>
              <w:widowControl/>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温室气体排放范围</w:t>
            </w:r>
          </w:p>
        </w:tc>
        <w:tc>
          <w:tcPr>
            <w:tcW w:w="2911" w:type="dxa"/>
            <w:noWrap w:val="0"/>
            <w:vAlign w:val="center"/>
          </w:tcPr>
          <w:p>
            <w:pPr>
              <w:widowControl/>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温室气体排放量</w:t>
            </w:r>
          </w:p>
          <w:p>
            <w:pPr>
              <w:widowControl/>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（吨二氧化碳当量）</w:t>
            </w:r>
          </w:p>
        </w:tc>
        <w:tc>
          <w:tcPr>
            <w:tcW w:w="1829" w:type="dxa"/>
            <w:noWrap w:val="0"/>
            <w:vAlign w:val="center"/>
          </w:tcPr>
          <w:p>
            <w:pPr>
              <w:widowControl/>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人均排放量</w:t>
            </w:r>
          </w:p>
          <w:p>
            <w:pPr>
              <w:widowControl/>
              <w:snapToGrid w:val="0"/>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（吨二氧化碳当量/人）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2" w:type="dxa"/>
            <w:shd w:val="clear" w:color="auto" w:fill="auto"/>
            <w:noWrap w:val="0"/>
            <w:vAlign w:val="center"/>
          </w:tcPr>
          <w:p>
            <w:pPr>
              <w:widowControl/>
              <w:snapToGrid w:val="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范围1：直接温室气体排放量</w:t>
            </w:r>
          </w:p>
        </w:tc>
        <w:tc>
          <w:tcPr>
            <w:tcW w:w="2911" w:type="dxa"/>
            <w:shd w:val="clear" w:color="auto" w:fill="auto"/>
            <w:noWrap w:val="0"/>
            <w:vAlign w:val="center"/>
          </w:tcPr>
          <w:p>
            <w:pPr>
              <w:widowControl/>
              <w:snapToGrid w:val="0"/>
              <w:jc w:val="righ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66.25</w:t>
            </w:r>
          </w:p>
        </w:tc>
        <w:tc>
          <w:tcPr>
            <w:tcW w:w="1829" w:type="dxa"/>
            <w:shd w:val="clear" w:color="auto" w:fill="FFFF00"/>
            <w:noWrap w:val="0"/>
            <w:vAlign w:val="center"/>
          </w:tcPr>
          <w:p>
            <w:pPr>
              <w:widowControl/>
              <w:snapToGrid w:val="0"/>
              <w:jc w:val="righ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2" w:type="dxa"/>
            <w:noWrap w:val="0"/>
            <w:vAlign w:val="center"/>
          </w:tcPr>
          <w:p>
            <w:pPr>
              <w:widowControl/>
              <w:snapToGrid w:val="0"/>
              <w:ind w:firstLine="140" w:firstLineChars="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其中：汽油产生的温室气体排放量</w:t>
            </w:r>
          </w:p>
        </w:tc>
        <w:tc>
          <w:tcPr>
            <w:tcW w:w="2911"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28.38</w:t>
            </w:r>
          </w:p>
        </w:tc>
        <w:tc>
          <w:tcPr>
            <w:tcW w:w="1829"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2" w:type="dxa"/>
            <w:noWrap w:val="0"/>
            <w:vAlign w:val="center"/>
          </w:tcPr>
          <w:p>
            <w:pPr>
              <w:widowControl/>
              <w:snapToGrid w:val="0"/>
              <w:ind w:firstLine="140" w:firstLineChars="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柴油产生的温室气体排放量</w:t>
            </w:r>
          </w:p>
        </w:tc>
        <w:tc>
          <w:tcPr>
            <w:tcW w:w="2911"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1.32</w:t>
            </w:r>
          </w:p>
        </w:tc>
        <w:tc>
          <w:tcPr>
            <w:tcW w:w="1829"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2" w:type="dxa"/>
            <w:noWrap w:val="0"/>
            <w:vAlign w:val="center"/>
          </w:tcPr>
          <w:p>
            <w:pPr>
              <w:widowControl/>
              <w:snapToGrid w:val="0"/>
              <w:ind w:firstLine="140" w:firstLineChars="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煤产生的温室气体排放量</w:t>
            </w:r>
          </w:p>
        </w:tc>
        <w:tc>
          <w:tcPr>
            <w:tcW w:w="2911"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27.67</w:t>
            </w:r>
          </w:p>
        </w:tc>
        <w:tc>
          <w:tcPr>
            <w:tcW w:w="1829"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2" w:type="dxa"/>
            <w:noWrap w:val="0"/>
            <w:vAlign w:val="center"/>
          </w:tcPr>
          <w:p>
            <w:pPr>
              <w:widowControl/>
              <w:snapToGrid w:val="0"/>
              <w:ind w:firstLine="140" w:firstLineChars="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液化石油气产生的温室气体排放量</w:t>
            </w:r>
          </w:p>
        </w:tc>
        <w:tc>
          <w:tcPr>
            <w:tcW w:w="2911"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8.89</w:t>
            </w:r>
          </w:p>
        </w:tc>
        <w:tc>
          <w:tcPr>
            <w:tcW w:w="1829"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2" w:type="dxa"/>
            <w:shd w:val="clear" w:color="auto" w:fill="auto"/>
            <w:noWrap w:val="0"/>
            <w:vAlign w:val="center"/>
          </w:tcPr>
          <w:p>
            <w:pPr>
              <w:widowControl/>
              <w:snapToGrid w:val="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范围2：间接温室气体排放量</w:t>
            </w:r>
          </w:p>
        </w:tc>
        <w:tc>
          <w:tcPr>
            <w:tcW w:w="2911" w:type="dxa"/>
            <w:shd w:val="clear" w:color="auto" w:fill="auto"/>
            <w:noWrap w:val="0"/>
            <w:vAlign w:val="center"/>
          </w:tcPr>
          <w:p>
            <w:pPr>
              <w:widowControl/>
              <w:snapToGrid w:val="0"/>
              <w:jc w:val="righ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871.82</w:t>
            </w:r>
          </w:p>
        </w:tc>
        <w:tc>
          <w:tcPr>
            <w:tcW w:w="1829" w:type="dxa"/>
            <w:shd w:val="clear" w:color="auto" w:fill="FFFF00"/>
            <w:noWrap w:val="0"/>
            <w:vAlign w:val="center"/>
          </w:tcPr>
          <w:p>
            <w:pPr>
              <w:widowControl/>
              <w:snapToGrid w:val="0"/>
              <w:jc w:val="righ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2" w:type="dxa"/>
            <w:noWrap w:val="0"/>
            <w:vAlign w:val="center"/>
          </w:tcPr>
          <w:p>
            <w:pPr>
              <w:widowControl/>
              <w:snapToGrid w:val="0"/>
              <w:ind w:firstLine="140" w:firstLineChars="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其中：电力产生的温室气体排放量</w:t>
            </w:r>
          </w:p>
        </w:tc>
        <w:tc>
          <w:tcPr>
            <w:tcW w:w="2911"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871.82</w:t>
            </w:r>
          </w:p>
        </w:tc>
        <w:tc>
          <w:tcPr>
            <w:tcW w:w="1829"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2" w:type="dxa"/>
            <w:shd w:val="clear" w:color="auto" w:fill="auto"/>
            <w:noWrap w:val="0"/>
            <w:vAlign w:val="center"/>
          </w:tcPr>
          <w:p>
            <w:pPr>
              <w:widowControl/>
              <w:snapToGrid w:val="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温室气体排放总量（范围1+2）</w:t>
            </w:r>
          </w:p>
        </w:tc>
        <w:tc>
          <w:tcPr>
            <w:tcW w:w="2911" w:type="dxa"/>
            <w:shd w:val="clear" w:color="auto" w:fill="auto"/>
            <w:noWrap w:val="0"/>
            <w:vAlign w:val="center"/>
          </w:tcPr>
          <w:p>
            <w:pPr>
              <w:widowControl/>
              <w:snapToGrid w:val="0"/>
              <w:jc w:val="righ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938.07</w:t>
            </w:r>
          </w:p>
        </w:tc>
        <w:tc>
          <w:tcPr>
            <w:tcW w:w="1829" w:type="dxa"/>
            <w:shd w:val="clear" w:color="auto" w:fill="FFFF00"/>
            <w:noWrap w:val="0"/>
            <w:vAlign w:val="center"/>
          </w:tcPr>
          <w:p>
            <w:pPr>
              <w:widowControl/>
              <w:snapToGrid w:val="0"/>
              <w:jc w:val="righ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2" w:type="dxa"/>
            <w:noWrap w:val="0"/>
            <w:vAlign w:val="center"/>
          </w:tcPr>
          <w:p>
            <w:pPr>
              <w:widowControl/>
              <w:snapToGrid w:val="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范围3：其他间接温室气体排放量</w:t>
            </w:r>
          </w:p>
        </w:tc>
        <w:tc>
          <w:tcPr>
            <w:tcW w:w="2911" w:type="dxa"/>
            <w:noWrap w:val="0"/>
            <w:vAlign w:val="center"/>
          </w:tcPr>
          <w:p>
            <w:pPr>
              <w:widowControl/>
              <w:snapToGrid w:val="0"/>
              <w:jc w:val="righ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5462.88</w:t>
            </w:r>
          </w:p>
        </w:tc>
        <w:tc>
          <w:tcPr>
            <w:tcW w:w="1829"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2" w:type="dxa"/>
            <w:noWrap w:val="0"/>
            <w:vAlign w:val="center"/>
          </w:tcPr>
          <w:p>
            <w:pPr>
              <w:widowControl/>
              <w:snapToGrid w:val="0"/>
              <w:ind w:firstLine="140" w:firstLineChars="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其中：贷款产生的温室气体排放量</w:t>
            </w:r>
          </w:p>
        </w:tc>
        <w:tc>
          <w:tcPr>
            <w:tcW w:w="2911"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5462.88</w:t>
            </w:r>
          </w:p>
        </w:tc>
        <w:tc>
          <w:tcPr>
            <w:tcW w:w="1829"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2" w:type="dxa"/>
            <w:noWrap w:val="0"/>
            <w:vAlign w:val="center"/>
          </w:tcPr>
          <w:p>
            <w:pPr>
              <w:widowControl/>
              <w:snapToGrid w:val="0"/>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温室气体排放总量（范围1+2+3）</w:t>
            </w:r>
          </w:p>
        </w:tc>
        <w:tc>
          <w:tcPr>
            <w:tcW w:w="2911" w:type="dxa"/>
            <w:noWrap w:val="0"/>
            <w:vAlign w:val="center"/>
          </w:tcPr>
          <w:p>
            <w:pPr>
              <w:widowControl/>
              <w:snapToGrid w:val="0"/>
              <w:jc w:val="righ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6400.95</w:t>
            </w:r>
          </w:p>
        </w:tc>
        <w:tc>
          <w:tcPr>
            <w:tcW w:w="1829" w:type="dxa"/>
            <w:noWrap w:val="0"/>
            <w:vAlign w:val="center"/>
          </w:tcPr>
          <w:p>
            <w:pPr>
              <w:widowControl/>
              <w:snapToGrid w:val="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w:t>
            </w:r>
          </w:p>
        </w:tc>
      </w:tr>
    </w:tbl>
    <w:p>
      <w:pPr>
        <w:spacing w:before="156" w:beforeLines="50" w:line="360" w:lineRule="auto"/>
        <w:rPr>
          <w:rFonts w:ascii="宋体" w:hAnsi="宋体"/>
          <w:szCs w:val="21"/>
        </w:rPr>
      </w:pPr>
      <w:r>
        <w:rPr>
          <w:rFonts w:hint="eastAsia" w:ascii="宋体" w:hAnsi="宋体"/>
          <w:szCs w:val="21"/>
        </w:rPr>
        <w:t>注：</w:t>
      </w:r>
    </w:p>
    <w:p>
      <w:pPr>
        <w:numPr>
          <w:ilvl w:val="0"/>
          <w:numId w:val="2"/>
        </w:numPr>
        <w:snapToGrid w:val="0"/>
        <w:spacing w:line="360" w:lineRule="auto"/>
        <w:rPr>
          <w:rFonts w:ascii="宋体" w:hAnsi="宋体"/>
          <w:szCs w:val="21"/>
        </w:rPr>
      </w:pPr>
      <w:r>
        <w:rPr>
          <w:rFonts w:ascii="宋体" w:hAnsi="宋体"/>
          <w:szCs w:val="21"/>
        </w:rPr>
        <w:t>2021年度经营活动产生的温室气体排放包括直接温室气体排放量（范围一）、间接温室气体排放量（范围二）和其他间接温室气体排放量（范围三），统计对象为六枝联社；</w:t>
      </w:r>
    </w:p>
    <w:p>
      <w:pPr>
        <w:numPr>
          <w:ilvl w:val="0"/>
          <w:numId w:val="2"/>
        </w:numPr>
        <w:snapToGrid w:val="0"/>
        <w:spacing w:line="360" w:lineRule="auto"/>
        <w:rPr>
          <w:rFonts w:ascii="宋体" w:hAnsi="宋体"/>
          <w:szCs w:val="21"/>
        </w:rPr>
      </w:pPr>
      <w:r>
        <w:rPr>
          <w:rFonts w:ascii="宋体" w:hAnsi="宋体"/>
          <w:szCs w:val="21"/>
        </w:rPr>
        <w:t>人均排放量测算以六枝联社正式编制员工为基准；</w:t>
      </w:r>
    </w:p>
    <w:p>
      <w:pPr>
        <w:numPr>
          <w:ilvl w:val="0"/>
          <w:numId w:val="2"/>
        </w:numPr>
        <w:snapToGrid w:val="0"/>
        <w:spacing w:line="360" w:lineRule="auto"/>
        <w:rPr>
          <w:rFonts w:ascii="宋体" w:hAnsi="宋体"/>
          <w:szCs w:val="21"/>
        </w:rPr>
      </w:pPr>
      <w:r>
        <w:rPr>
          <w:rFonts w:ascii="宋体" w:hAnsi="宋体"/>
          <w:szCs w:val="21"/>
        </w:rPr>
        <w:t>贷款产生温室气体排放情况详见本报告第七章投融资活动的环境影响部分。</w:t>
      </w:r>
    </w:p>
    <w:p>
      <w:pPr>
        <w:pStyle w:val="6"/>
        <w:bidi w:val="0"/>
        <w:rPr>
          <w:rFonts w:hint="eastAsia" w:ascii="楷体" w:hAnsi="楷体" w:eastAsia="楷体" w:cs="楷体"/>
        </w:rPr>
      </w:pPr>
      <w:bookmarkStart w:id="375" w:name="_Toc21965"/>
      <w:r>
        <w:rPr>
          <w:rFonts w:hint="eastAsia" w:ascii="楷体" w:hAnsi="楷体" w:eastAsia="楷体" w:cs="楷体"/>
        </w:rPr>
        <w:t>8.2 经营活动温室气体统计口径与测算方法</w:t>
      </w:r>
      <w:bookmarkEnd w:id="375"/>
    </w:p>
    <w:p>
      <w:pPr>
        <w:spacing w:line="360" w:lineRule="auto"/>
        <w:ind w:firstLine="640" w:firstLineChars="200"/>
        <w:rPr>
          <w:rFonts w:ascii="宋体" w:hAnsi="宋体" w:cs="仿宋_GB2312"/>
          <w:sz w:val="28"/>
          <w:szCs w:val="28"/>
        </w:rPr>
      </w:pPr>
      <w:r>
        <w:rPr>
          <w:rFonts w:hint="eastAsia" w:ascii="仿宋" w:hAnsi="仿宋" w:eastAsia="仿宋" w:cs="仿宋"/>
          <w:sz w:val="32"/>
          <w:szCs w:val="32"/>
        </w:rPr>
        <w:t>我社基于2021年经营活动消耗的各类能源总量和相应的二氧化碳排放系数对经营活动中，直接或间接产生的温室气体排放量以及减排量进行测算。测算依据为《绿色信贷节能减排量测算指引》，基本公式如下：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96" w:type="dxa"/>
            <w:noWrap w:val="0"/>
            <w:vAlign w:val="center"/>
          </w:tcPr>
          <w:p>
            <w:pPr>
              <w:spacing w:line="360" w:lineRule="auto"/>
              <w:jc w:val="center"/>
              <w:rPr>
                <w:rFonts w:ascii="Times New Roman" w:hAnsi="Times New Roman"/>
                <w:kern w:val="0"/>
                <w:szCs w:val="21"/>
              </w:rPr>
            </w:pPr>
            <m:oMathPara>
              <m:oMath>
                <m:sSub>
                  <m:sSubPr>
                    <m:ctrlPr>
                      <w:rPr>
                        <w:rFonts w:hint="default" w:ascii="Cambria Math" w:hAnsi="Cambria Math" w:cs="Times New Roman"/>
                        <w:kern w:val="0"/>
                        <w:szCs w:val="21"/>
                      </w:rPr>
                    </m:ctrlPr>
                  </m:sSubPr>
                  <m:e>
                    <m:r>
                      <m:rPr/>
                      <w:rPr>
                        <w:rFonts w:hint="default" w:ascii="Cambria Math" w:hAnsi="Cambria Math" w:cs="Times New Roman"/>
                        <w:kern w:val="0"/>
                        <w:szCs w:val="21"/>
                      </w:rPr>
                      <m:t>CO</m:t>
                    </m:r>
                    <m:ctrlPr>
                      <w:rPr>
                        <w:rFonts w:hint="default" w:ascii="Cambria Math" w:hAnsi="Cambria Math" w:cs="Times New Roman"/>
                        <w:kern w:val="0"/>
                        <w:szCs w:val="21"/>
                      </w:rPr>
                    </m:ctrlPr>
                  </m:e>
                  <m:sub>
                    <m:r>
                      <m:rPr/>
                      <w:rPr>
                        <w:rFonts w:hint="default" w:ascii="Cambria Math" w:hAnsi="Cambria Math" w:cs="Times New Roman"/>
                        <w:kern w:val="0"/>
                        <w:szCs w:val="21"/>
                      </w:rPr>
                      <m:t>2</m:t>
                    </m:r>
                    <m:ctrlPr>
                      <w:rPr>
                        <w:rFonts w:hint="default" w:ascii="Cambria Math" w:hAnsi="Cambria Math" w:cs="Times New Roman"/>
                        <w:kern w:val="0"/>
                        <w:szCs w:val="21"/>
                      </w:rPr>
                    </m:ctrlPr>
                  </m:sub>
                </m:sSub>
                <m:r>
                  <m:rPr/>
                  <w:rPr>
                    <w:rFonts w:hint="default" w:ascii="Cambria Math" w:hAnsi="Cambria Math" w:cs="Times New Roman"/>
                    <w:kern w:val="0"/>
                    <w:szCs w:val="21"/>
                  </w:rPr>
                  <m:t>=</m:t>
                </m:r>
                <m:nary>
                  <m:naryPr>
                    <m:chr m:val="∑"/>
                    <m:limLoc m:val="undOvr"/>
                    <m:ctrlPr>
                      <w:rPr>
                        <w:rFonts w:hint="default" w:ascii="Cambria Math" w:hAnsi="Cambria Math" w:cs="Times New Roman"/>
                        <w:i/>
                        <w:kern w:val="0"/>
                        <w:szCs w:val="21"/>
                      </w:rPr>
                    </m:ctrlPr>
                  </m:naryPr>
                  <m:sub>
                    <m:r>
                      <m:rPr/>
                      <w:rPr>
                        <w:rFonts w:hint="default" w:ascii="Cambria Math" w:hAnsi="Cambria Math" w:cs="Times New Roman"/>
                        <w:kern w:val="0"/>
                        <w:szCs w:val="21"/>
                      </w:rPr>
                      <m:t>1</m:t>
                    </m:r>
                    <m:ctrlPr>
                      <w:rPr>
                        <w:rFonts w:hint="default" w:ascii="Cambria Math" w:hAnsi="Cambria Math" w:cs="Times New Roman"/>
                        <w:i/>
                        <w:kern w:val="0"/>
                        <w:szCs w:val="21"/>
                      </w:rPr>
                    </m:ctrlPr>
                  </m:sub>
                  <m:sup>
                    <m:r>
                      <m:rPr/>
                      <w:rPr>
                        <w:rFonts w:hint="default" w:ascii="Cambria Math" w:hAnsi="Cambria Math" w:cs="Times New Roman"/>
                        <w:kern w:val="0"/>
                        <w:szCs w:val="21"/>
                      </w:rPr>
                      <m:t>n</m:t>
                    </m:r>
                    <m:ctrlPr>
                      <w:rPr>
                        <w:rFonts w:hint="default" w:ascii="Cambria Math" w:hAnsi="Cambria Math" w:cs="Times New Roman"/>
                        <w:i/>
                        <w:kern w:val="0"/>
                        <w:szCs w:val="21"/>
                      </w:rPr>
                    </m:ctrlPr>
                  </m:sup>
                  <m:e>
                    <m:sSub>
                      <m:sSubPr>
                        <m:ctrlPr>
                          <w:rPr>
                            <w:rFonts w:hint="default" w:ascii="Cambria Math" w:hAnsi="Cambria Math" w:cs="Times New Roman"/>
                            <w:i/>
                            <w:kern w:val="0"/>
                            <w:szCs w:val="21"/>
                          </w:rPr>
                        </m:ctrlPr>
                      </m:sSubPr>
                      <m:e>
                        <m:r>
                          <m:rPr/>
                          <w:rPr>
                            <w:rFonts w:hint="default" w:ascii="Cambria Math" w:hAnsi="Cambria Math" w:cs="Times New Roman"/>
                            <w:kern w:val="0"/>
                            <w:szCs w:val="21"/>
                          </w:rPr>
                          <m:t>E</m:t>
                        </m:r>
                        <m:ctrlPr>
                          <w:rPr>
                            <w:rFonts w:hint="default" w:ascii="Cambria Math" w:hAnsi="Cambria Math" w:cs="Times New Roman"/>
                            <w:i/>
                            <w:kern w:val="0"/>
                            <w:szCs w:val="21"/>
                          </w:rPr>
                        </m:ctrlPr>
                      </m:e>
                      <m:sub>
                        <m:r>
                          <m:rPr/>
                          <w:rPr>
                            <w:rFonts w:hint="default" w:ascii="Cambria Math" w:hAnsi="Cambria Math" w:cs="Times New Roman"/>
                            <w:kern w:val="0"/>
                            <w:szCs w:val="21"/>
                          </w:rPr>
                          <m:t>i</m:t>
                        </m:r>
                        <m:ctrlPr>
                          <w:rPr>
                            <w:rFonts w:hint="default" w:ascii="Cambria Math" w:hAnsi="Cambria Math" w:cs="Times New Roman"/>
                            <w:i/>
                            <w:kern w:val="0"/>
                            <w:szCs w:val="21"/>
                          </w:rPr>
                        </m:ctrlPr>
                      </m:sub>
                    </m:sSub>
                    <m:r>
                      <m:rPr/>
                      <w:rPr>
                        <w:rFonts w:hint="default" w:ascii="Cambria Math" w:hAnsi="Cambria Math" w:cs="Times New Roman"/>
                        <w:kern w:val="0"/>
                        <w:szCs w:val="21"/>
                      </w:rPr>
                      <m:t>×</m:t>
                    </m:r>
                    <m:sSub>
                      <m:sSubPr>
                        <m:ctrlPr>
                          <w:rPr>
                            <w:rFonts w:hint="default" w:ascii="Cambria Math" w:hAnsi="Cambria Math" w:cs="Times New Roman"/>
                            <w:i/>
                            <w:kern w:val="0"/>
                            <w:szCs w:val="21"/>
                          </w:rPr>
                        </m:ctrlPr>
                      </m:sSubPr>
                      <m:e>
                        <m:r>
                          <m:rPr/>
                          <w:rPr>
                            <w:rFonts w:hint="default" w:ascii="Cambria Math" w:hAnsi="Cambria Math" w:cs="Times New Roman"/>
                            <w:kern w:val="0"/>
                            <w:szCs w:val="21"/>
                          </w:rPr>
                          <m:t>α</m:t>
                        </m:r>
                        <m:ctrlPr>
                          <w:rPr>
                            <w:rFonts w:hint="default" w:ascii="Cambria Math" w:hAnsi="Cambria Math" w:cs="Times New Roman"/>
                            <w:i/>
                            <w:kern w:val="0"/>
                            <w:szCs w:val="21"/>
                          </w:rPr>
                        </m:ctrlPr>
                      </m:e>
                      <m:sub>
                        <m:r>
                          <m:rPr/>
                          <w:rPr>
                            <w:rFonts w:hint="default" w:ascii="Cambria Math" w:hAnsi="Cambria Math" w:cs="Times New Roman"/>
                            <w:kern w:val="0"/>
                            <w:szCs w:val="21"/>
                          </w:rPr>
                          <m:t>i</m:t>
                        </m:r>
                        <m:ctrlPr>
                          <w:rPr>
                            <w:rFonts w:hint="default" w:ascii="Cambria Math" w:hAnsi="Cambria Math" w:cs="Times New Roman"/>
                            <w:i/>
                            <w:kern w:val="0"/>
                            <w:szCs w:val="21"/>
                          </w:rPr>
                        </m:ctrlPr>
                      </m:sub>
                    </m:sSub>
                    <m:ctrlPr>
                      <w:rPr>
                        <w:rFonts w:hint="default" w:ascii="Cambria Math" w:hAnsi="Cambria Math" w:cs="Times New Roman"/>
                        <w:i/>
                        <w:kern w:val="0"/>
                        <w:szCs w:val="21"/>
                      </w:rPr>
                    </m:ctrlPr>
                  </m:e>
                </m:nary>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pPr>
              <w:spacing w:line="360" w:lineRule="auto"/>
              <w:ind w:firstLine="420" w:firstLineChars="200"/>
              <w:rPr>
                <w:rFonts w:ascii="Times New Roman" w:hAnsi="Times New Roman"/>
                <w:kern w:val="0"/>
                <w:szCs w:val="21"/>
              </w:rPr>
            </w:pPr>
            <w:r>
              <w:rPr>
                <w:rFonts w:ascii="Times New Roman" w:hAnsi="Times New Roman"/>
                <w:kern w:val="0"/>
                <w:szCs w:val="21"/>
              </w:rPr>
              <w:t>注：该公式为基本公式，二氧化碳排放应按照具体能源消费品种分别计算。</w:t>
            </w:r>
          </w:p>
          <w:p>
            <w:pPr>
              <w:spacing w:line="360" w:lineRule="auto"/>
              <w:ind w:firstLine="420" w:firstLineChars="200"/>
              <w:rPr>
                <w:rFonts w:ascii="Times New Roman" w:hAnsi="Times New Roman"/>
                <w:kern w:val="0"/>
                <w:szCs w:val="21"/>
              </w:rPr>
            </w:pPr>
            <w:r>
              <w:rPr>
                <w:rFonts w:ascii="Times New Roman" w:hAnsi="Times New Roman"/>
                <w:kern w:val="0"/>
                <w:szCs w:val="21"/>
              </w:rPr>
              <w:t>CO</w:t>
            </w:r>
            <w:r>
              <w:rPr>
                <w:rFonts w:ascii="Times New Roman" w:hAnsi="Times New Roman"/>
                <w:kern w:val="0"/>
                <w:szCs w:val="21"/>
                <w:vertAlign w:val="subscript"/>
              </w:rPr>
              <w:t>2</w:t>
            </w:r>
            <w:r>
              <w:rPr>
                <w:rFonts w:ascii="Times New Roman" w:hAnsi="Times New Roman"/>
                <w:kern w:val="0"/>
                <w:szCs w:val="21"/>
              </w:rPr>
              <w:t>：项目二氧化碳排放量，单位：吨二氧化碳；</w:t>
            </w:r>
          </w:p>
          <w:p>
            <w:pPr>
              <w:spacing w:line="360" w:lineRule="auto"/>
              <w:ind w:firstLine="420" w:firstLineChars="200"/>
              <w:rPr>
                <w:rFonts w:ascii="Times New Roman" w:hAnsi="Times New Roman"/>
                <w:kern w:val="0"/>
                <w:szCs w:val="21"/>
              </w:rPr>
            </w:pPr>
            <w:r>
              <w:rPr>
                <w:rFonts w:ascii="Times New Roman" w:hAnsi="Times New Roman"/>
                <w:kern w:val="0"/>
                <w:szCs w:val="21"/>
              </w:rPr>
              <w:t>E</w:t>
            </w:r>
            <w:r>
              <w:rPr>
                <w:rFonts w:ascii="Times New Roman" w:hAnsi="Times New Roman"/>
                <w:kern w:val="0"/>
                <w:szCs w:val="21"/>
                <w:vertAlign w:val="subscript"/>
              </w:rPr>
              <w:t>i</w:t>
            </w:r>
            <w:r>
              <w:rPr>
                <w:rFonts w:ascii="Times New Roman" w:hAnsi="Times New Roman"/>
                <w:kern w:val="0"/>
                <w:szCs w:val="21"/>
              </w:rPr>
              <w:t>：项目某能源消费品种的使用量，单位：吨（或万千瓦时或立方米等）；</w:t>
            </w:r>
          </w:p>
          <w:p>
            <w:pPr>
              <w:spacing w:line="360" w:lineRule="auto"/>
              <w:ind w:firstLine="420" w:firstLineChars="200"/>
              <w:rPr>
                <w:rFonts w:ascii="宋体" w:hAnsi="宋体" w:cs="仿宋_GB2312"/>
                <w:kern w:val="0"/>
                <w:szCs w:val="21"/>
              </w:rPr>
            </w:pPr>
            <w:r>
              <w:rPr>
                <w:rFonts w:ascii="Times New Roman" w:hAnsi="Times New Roman"/>
                <w:kern w:val="0"/>
                <w:szCs w:val="21"/>
              </w:rPr>
              <w:t>α</w:t>
            </w:r>
            <w:r>
              <w:rPr>
                <w:rFonts w:ascii="Times New Roman" w:hAnsi="Times New Roman"/>
                <w:kern w:val="0"/>
                <w:szCs w:val="21"/>
                <w:vertAlign w:val="subscript"/>
              </w:rPr>
              <w:t>i</w:t>
            </w:r>
            <w:r>
              <w:rPr>
                <w:rFonts w:ascii="Times New Roman" w:hAnsi="Times New Roman"/>
                <w:kern w:val="0"/>
                <w:szCs w:val="21"/>
              </w:rPr>
              <w:t>：项目消费能源品种的二氧化碳排放系数，单位为千克二氧化碳/千克（或立方米）。</w:t>
            </w:r>
          </w:p>
        </w:tc>
      </w:tr>
    </w:tbl>
    <w:p>
      <w:pPr>
        <w:snapToGrid w:val="0"/>
        <w:spacing w:line="360" w:lineRule="auto"/>
        <w:rPr>
          <w:rFonts w:ascii="宋体" w:hAnsi="宋体"/>
          <w:szCs w:val="21"/>
        </w:rPr>
      </w:pPr>
    </w:p>
    <w:p>
      <w:pPr>
        <w:snapToGrid w:val="0"/>
        <w:spacing w:line="360" w:lineRule="auto"/>
        <w:rPr>
          <w:rFonts w:ascii="宋体" w:hAnsi="宋体"/>
          <w:szCs w:val="21"/>
        </w:rPr>
        <w:sectPr>
          <w:footerReference r:id="rId4" w:type="default"/>
          <w:pgSz w:w="11906" w:h="16838"/>
          <w:pgMar w:top="1440" w:right="1800" w:bottom="1440" w:left="1800" w:header="851" w:footer="992" w:gutter="0"/>
          <w:pgNumType w:fmt="decimal" w:start="1"/>
          <w:cols w:space="720" w:num="1"/>
          <w:docGrid w:type="lines" w:linePitch="312" w:charSpace="0"/>
        </w:sectPr>
      </w:pPr>
    </w:p>
    <w:p>
      <w:pPr>
        <w:pStyle w:val="6"/>
        <w:bidi w:val="0"/>
        <w:rPr>
          <w:rFonts w:hint="eastAsia" w:ascii="楷体" w:hAnsi="楷体" w:eastAsia="楷体" w:cs="楷体"/>
        </w:rPr>
      </w:pPr>
      <w:bookmarkStart w:id="376" w:name="_Toc28661"/>
      <w:r>
        <w:rPr>
          <w:rFonts w:hint="eastAsia" w:ascii="楷体" w:hAnsi="楷体" w:eastAsia="楷体" w:cs="楷体"/>
        </w:rPr>
        <w:t>8.3.采取的节水、节电、节油、节粮等环保措施</w:t>
      </w:r>
      <w:bookmarkEnd w:id="376"/>
    </w:p>
    <w:p>
      <w:pPr>
        <w:pStyle w:val="7"/>
        <w:bidi w:val="0"/>
        <w:rPr>
          <w:rFonts w:hint="eastAsia"/>
        </w:rPr>
      </w:pPr>
      <w:bookmarkStart w:id="377" w:name="_Toc30647"/>
      <w:r>
        <w:rPr>
          <w:rFonts w:hint="eastAsia"/>
          <w:lang w:val="en-US" w:eastAsia="zh-CN"/>
        </w:rPr>
        <w:t>8.3.1</w:t>
      </w:r>
      <w:r>
        <w:rPr>
          <w:rFonts w:hint="eastAsia"/>
        </w:rPr>
        <w:t>.推行绿色服务</w:t>
      </w:r>
      <w:bookmarkEnd w:id="377"/>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六枝联社一直在网点运营中大力推行绿色服务。具体做法主要有以下三点： </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A、网点设置自动柜员机， 积极发展智能金融服务， 降低人力成本； </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B、向客户推广并倡导线上金融服务，如使用手机银行、网上银行、微信公众号等，降低交通成本，从而实现节能减排； </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C、全行推行无纸化业务流程，提供电子凭证，节约用纸；</w:t>
      </w:r>
    </w:p>
    <w:p>
      <w:pPr>
        <w:pStyle w:val="7"/>
        <w:bidi w:val="0"/>
        <w:rPr>
          <w:rFonts w:hint="eastAsia" w:ascii="楷体" w:hAnsi="楷体" w:eastAsia="楷体" w:cs="楷体"/>
          <w:b/>
          <w:lang w:val="en-US" w:eastAsia="zh-CN"/>
        </w:rPr>
      </w:pPr>
      <w:bookmarkStart w:id="378" w:name="_Toc21874"/>
      <w:r>
        <w:rPr>
          <w:rFonts w:hint="eastAsia" w:ascii="楷体" w:hAnsi="楷体" w:eastAsia="楷体" w:cs="楷体"/>
          <w:b/>
          <w:lang w:val="en-US" w:eastAsia="zh-CN"/>
        </w:rPr>
        <w:t>8.3.2.倡导低碳办公理念</w:t>
      </w:r>
      <w:bookmarkEnd w:id="378"/>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六枝联社秉承可持续性发展的理念，从员工行为规范、办公能源耗费等多个方面推进银行的绿色运营。具体做法如下： </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A、培养员工节能环保意识，通过下发相关 通知和张贴相关节能温馨提示等方式， 提倡员工节约用水、用纸、用电，及时关灯、关空调； </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B、加强公务车辆管理，全联社推行公务用车改革，实行车辆集中统一管理、统一调度严格执行车辆统一派遣规定，提高车辆利用效率。能几人同行的，不分乘多辆公务车辆；能用小轿车的，不用商务车；严格控制长途用车。节假日除特殊公务活动需要使用的车辆外，其余公务车辆应集中封存停用。 </w:t>
      </w:r>
    </w:p>
    <w:p>
      <w:pPr>
        <w:pStyle w:val="19"/>
        <w:ind w:firstLine="640"/>
        <w:rPr>
          <w:rFonts w:hint="eastAsia" w:ascii="仿宋" w:hAnsi="仿宋" w:eastAsia="仿宋" w:cs="仿宋"/>
          <w:sz w:val="32"/>
          <w:szCs w:val="32"/>
        </w:rPr>
      </w:pPr>
      <w:r>
        <w:rPr>
          <w:rFonts w:hint="eastAsia" w:ascii="仿宋" w:hAnsi="仿宋" w:eastAsia="仿宋" w:cs="仿宋"/>
          <w:sz w:val="32"/>
          <w:szCs w:val="32"/>
        </w:rPr>
        <w:t>C、进行废弃物回收管理，为各网点配置垃圾分类垃圾 桶，提高员工及客户环保意识；</w:t>
      </w:r>
    </w:p>
    <w:p>
      <w:pPr>
        <w:pStyle w:val="18"/>
        <w:ind w:firstLine="640" w:firstLineChars="200"/>
        <w:rPr>
          <w:rFonts w:hint="eastAsia" w:ascii="仿宋" w:hAnsi="仿宋" w:eastAsia="仿宋" w:cs="仿宋"/>
          <w:sz w:val="32"/>
        </w:rPr>
      </w:pPr>
      <w:r>
        <w:rPr>
          <w:rFonts w:hint="eastAsia" w:ascii="仿宋" w:hAnsi="仿宋" w:eastAsia="仿宋" w:cs="仿宋"/>
          <w:sz w:val="32"/>
        </w:rPr>
        <w:t>D、优化大楼水电使用效率，规范总行、分支机构大楼夜间、节假日水电使用，减少不必要的水电耗用。</w:t>
      </w:r>
    </w:p>
    <w:p>
      <w:pPr>
        <w:pStyle w:val="18"/>
        <w:ind w:firstLine="640" w:firstLineChars="200"/>
        <w:rPr>
          <w:rFonts w:hint="eastAsia" w:ascii="仿宋" w:hAnsi="仿宋" w:eastAsia="仿宋" w:cs="仿宋"/>
          <w:sz w:val="32"/>
        </w:rPr>
      </w:pPr>
      <w:r>
        <w:rPr>
          <w:rFonts w:hint="eastAsia" w:ascii="仿宋" w:hAnsi="仿宋" w:eastAsia="仿宋" w:cs="仿宋"/>
          <w:sz w:val="32"/>
        </w:rPr>
        <w:t>E、倡导食堂“光盘行动”，在饭堂张贴节约粮食等主题海报，倡议员工主动践行“光盘行动”，弘扬勤俭节约美德。</w:t>
      </w:r>
    </w:p>
    <w:p>
      <w:pPr>
        <w:pStyle w:val="18"/>
        <w:ind w:firstLine="640" w:firstLineChars="200"/>
        <w:rPr>
          <w:rFonts w:hint="eastAsia" w:ascii="仿宋" w:hAnsi="仿宋" w:eastAsia="仿宋" w:cs="仿宋"/>
          <w:sz w:val="32"/>
        </w:rPr>
      </w:pPr>
      <w:r>
        <w:rPr>
          <w:rFonts w:hint="eastAsia" w:ascii="仿宋" w:hAnsi="仿宋" w:eastAsia="仿宋" w:cs="仿宋"/>
          <w:sz w:val="32"/>
        </w:rPr>
        <w:t>F、按照服务标准化网点建设要求，为营业网点以及办 公室配备绿色植物，美化服务与办公环境。</w:t>
      </w:r>
    </w:p>
    <w:p>
      <w:pPr>
        <w:pStyle w:val="6"/>
        <w:bidi w:val="0"/>
        <w:rPr>
          <w:rFonts w:hint="eastAsia" w:ascii="楷体" w:hAnsi="楷体" w:eastAsia="楷体" w:cs="楷体"/>
        </w:rPr>
      </w:pPr>
      <w:bookmarkStart w:id="379" w:name="_Toc13867"/>
      <w:r>
        <w:rPr>
          <w:rFonts w:hint="eastAsia" w:ascii="楷体" w:hAnsi="楷体" w:eastAsia="楷体" w:cs="楷体"/>
        </w:rPr>
        <w:t>8.4.行社开展的绿色宣传、公益活动、交流培训</w:t>
      </w:r>
      <w:bookmarkEnd w:id="37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案例一、关爱城市美容师，献礼环卫工人节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百年征程波澜不惊，百年初心历久弥新。为热烈庆祝中国共产党成立100周年暨贵州省第24个环卫工人节，进一步倡导全社会尊重环卫工人劳动成果,弘扬全体环卫工人爱岗敬业、无私奉献的精神，发扬广大环卫人“特别能吃苦、特别能贡献、特别能战斗”的精神，六枝特区龙马环卫工程有限公司（以下简称龙马公司）举行了“情暖环卫工人”系列庆祝活动，六枝联社主动对接，在节日之际向环卫工人们送去关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活动当日，六枝联社党委副书记、副理事长、主任顾婕带领云盘信用社工作人员一行到龙马公司进行走访慰问，在第24个环卫工人节到来之际，为环卫工人们送去70把雨伞、1500个纸杯等物资，感谢环卫工人“宁愿一人脏、换来万人洁”的环卫奉献精神。活动过后，龙马公司向云盘信用社送来“爱心捐赠企业”牌匾，感谢六枝联社对公益事业的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直以来，六枝联社始终积极培养广大职工关注环卫、支持环卫的良好意识，并请全体员工签署“不乱丢垃圾、爱护环境”承诺书，倡导从小事做起，尊重环卫工人的劳动成果；同时，六枝联社在城区设立了七个“户外劳动者综合服务站”，帮助环卫工人们解决喝水难、热饭难、歇脚难、如厕难等实际问题，让环卫工人们能“体面劳动、舒心工作”，以实际行动来推动六枝环卫事业的健康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66055" cy="3948430"/>
            <wp:effectExtent l="0" t="0" r="6985" b="13970"/>
            <wp:docPr id="2" name="图片 16" descr="30576_1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descr="30576_16698"/>
                    <pic:cNvPicPr>
                      <a:picLocks noChangeAspect="1"/>
                    </pic:cNvPicPr>
                  </pic:nvPicPr>
                  <pic:blipFill>
                    <a:blip r:embed="rId6"/>
                    <a:stretch>
                      <a:fillRect/>
                    </a:stretch>
                  </pic:blipFill>
                  <pic:spPr>
                    <a:xfrm>
                      <a:off x="0" y="0"/>
                      <a:ext cx="5266055" cy="39484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案例二、六枝联社打造首个“黔农智慧校园”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月13日，六枝联社走进六枝特区实验中学，全力打造首个“黔农智慧校园”。“黔农智慧校园”能为六枝特区实验中学3000余名师生提供消费、充值、查询等一系列服务，真正将金融服务送进校园，使广大老师、学生及家长切实享受便捷、高效的金融服务。本次“黔农智慧校园”的打造也是六枝联社积极推进移动场景金融建设，进一步服务好县域广大群众的重要举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打造出符合校园消费实际的“场景金融”，六枝联社多次与实验中学进行沟通、协调，为广大师生量身设计了“黔农智慧校园一卡通”，并多次优化产品功能，将食堂就餐、超市消费、热水供应、浴室等多个消费场景整合于同一载体，学生使用“一卡通”消费、充值、缴费；家长通过“黔农云”APP，可随时获取孩子在校消费明细、查看一卡通余额；学校“商家”借助后台大数据，了解食堂菜谱套餐及店铺商品售卖情况，根据数据分析来优化菜品及货品，大大节省了选货的人力和时间成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活动，六枝联社为实验中学师生共办理“黔农智慧校园一卡通”251张，现场收缴学费300余户，累计为学生家长、老师开办银行卡200余张，成功安装黔农云266户，现场指导使用“黔农智慧校园一卡通”服务300余次，为该校“智慧校园”建设添上了浓墨重彩的一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66690" cy="3950335"/>
            <wp:effectExtent l="0" t="0" r="6350" b="12065"/>
            <wp:docPr id="1" name="图片 17" descr="智慧校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智慧校园"/>
                    <pic:cNvPicPr>
                      <a:picLocks noChangeAspect="1"/>
                    </pic:cNvPicPr>
                  </pic:nvPicPr>
                  <pic:blipFill>
                    <a:blip r:embed="rId7"/>
                    <a:stretch>
                      <a:fillRect/>
                    </a:stretch>
                  </pic:blipFill>
                  <pic:spPr>
                    <a:xfrm>
                      <a:off x="0" y="0"/>
                      <a:ext cx="5266690" cy="39503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案例三、六枝联社有的放矢 杜绝“舌尖上的浪费”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一粥一饭，当思来之不易；半丝半缕，恒念物力维艰。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4月29日，《中华人民共和国反食品浪费法》公布实施。为贯彻落实中央厉行节约、反对浪费的重要精神，坚决制止餐饮浪费行为，六枝联社制定下发了《关于制止餐饮浪费、规范食堂就餐的通知》，全面推行节俭供餐、精细管理，员工食堂实行提前订餐制，各部室每日通过内部办公系统提交用餐流程报备次日用餐情况，食堂严格按照就餐人数采购食材、科学配餐，并倡导员工按量取餐。公务活动严格按照快捷、健康、节约的要求，推行简餐和标准化饮食。从源头上减少餐饮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自推行提前订餐制以来，食堂饭菜“有备而来”，加上员工们按量取餐，食堂里极少有剩菜剩饭，真正将“光盘行动”落到了实处。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杂交水稻之父”袁隆平曾说：“一粒粮食可以拯救一个国家，也可以绊倒一个国家。”粮食安全是国家富强的根基，是社会稳定的定心丸。六枝联社倡导员工珍惜盘中餐，提倡勤俭节约，是最基本的爱国体现，也是对已故老科学家袁隆平最好的怀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271135" cy="2306955"/>
            <wp:effectExtent l="0" t="0" r="1905" b="9525"/>
            <wp:docPr id="3" name="图片 18" descr="用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descr="用餐"/>
                    <pic:cNvPicPr>
                      <a:picLocks noChangeAspect="1"/>
                    </pic:cNvPicPr>
                  </pic:nvPicPr>
                  <pic:blipFill>
                    <a:blip r:embed="rId8"/>
                    <a:stretch>
                      <a:fillRect/>
                    </a:stretch>
                  </pic:blipFill>
                  <pic:spPr>
                    <a:xfrm>
                      <a:off x="0" y="0"/>
                      <a:ext cx="5271135" cy="2306955"/>
                    </a:xfrm>
                    <a:prstGeom prst="rect">
                      <a:avLst/>
                    </a:prstGeom>
                    <a:noFill/>
                    <a:ln>
                      <a:noFill/>
                    </a:ln>
                  </pic:spPr>
                </pic:pic>
              </a:graphicData>
            </a:graphic>
          </wp:inline>
        </w:drawing>
      </w:r>
    </w:p>
    <w:p>
      <w:pPr>
        <w:pStyle w:val="2"/>
      </w:pPr>
    </w:p>
    <w:p>
      <w:pPr>
        <w:pStyle w:val="6"/>
        <w:bidi w:val="0"/>
        <w:rPr>
          <w:rFonts w:hint="eastAsia" w:ascii="楷体" w:hAnsi="楷体" w:eastAsia="楷体" w:cs="楷体"/>
        </w:rPr>
      </w:pPr>
      <w:bookmarkStart w:id="380" w:name="_Toc23406"/>
      <w:r>
        <w:rPr>
          <w:rFonts w:hint="eastAsia" w:ascii="楷体" w:hAnsi="楷体" w:eastAsia="楷体" w:cs="楷体"/>
        </w:rPr>
        <w:t>8.5行社开展的无纸化办公、数字金融、线上业务</w:t>
      </w:r>
      <w:bookmarkEnd w:id="38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2021年召开线上会议6次、视频会议12次，大力推行线上业务、电子业务替代率为</w:t>
      </w:r>
      <w:r>
        <w:rPr>
          <w:rFonts w:hint="eastAsia" w:ascii="仿宋" w:hAnsi="仿宋" w:eastAsia="仿宋" w:cs="仿宋"/>
          <w:sz w:val="32"/>
          <w:szCs w:val="32"/>
          <w:lang w:val="en-US" w:eastAsia="zh-CN"/>
        </w:rPr>
        <w:t>80.86%</w:t>
      </w:r>
      <w:r>
        <w:rPr>
          <w:rFonts w:hint="eastAsia" w:ascii="仿宋" w:hAnsi="仿宋" w:eastAsia="仿宋" w:cs="仿宋"/>
          <w:sz w:val="32"/>
          <w:szCs w:val="32"/>
        </w:rPr>
        <w:t>，黔农云线上放贷率79.39%，全力打造数字金融、智慧金融业务，建设“黔农智慧校园”，“黔农智慧医院”“黔农驿站百福汇超市”“黔农智慧快递柜”，开启落别村五星级“黔农智慧乡村”试点打造工作，进一步打通金融服务最后一公里，提升老百姓金融服务的体验感和满意度。</w:t>
      </w:r>
    </w:p>
    <w:p>
      <w:pPr>
        <w:pStyle w:val="5"/>
        <w:bidi w:val="0"/>
        <w:rPr>
          <w:rFonts w:hint="eastAsia" w:ascii="黑体" w:hAnsi="黑体" w:eastAsia="黑体" w:cs="黑体"/>
          <w:sz w:val="32"/>
          <w:szCs w:val="32"/>
        </w:rPr>
      </w:pPr>
      <w:bookmarkStart w:id="381" w:name="_Toc19723"/>
      <w:bookmarkStart w:id="382" w:name="_Toc13774"/>
      <w:r>
        <w:rPr>
          <w:rFonts w:hint="eastAsia" w:ascii="黑体" w:hAnsi="黑体" w:eastAsia="黑体" w:cs="黑体"/>
          <w:sz w:val="32"/>
          <w:szCs w:val="32"/>
        </w:rPr>
        <w:t>9</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数据梳理、校验及保护</w:t>
      </w:r>
      <w:bookmarkEnd w:id="381"/>
      <w:bookmarkEnd w:id="382"/>
    </w:p>
    <w:p>
      <w:pPr>
        <w:pStyle w:val="6"/>
        <w:bidi w:val="0"/>
        <w:rPr>
          <w:rFonts w:hint="eastAsia" w:ascii="楷体" w:hAnsi="楷体" w:eastAsia="楷体" w:cs="楷体"/>
        </w:rPr>
      </w:pPr>
      <w:bookmarkStart w:id="383" w:name="_Toc9959"/>
      <w:r>
        <w:rPr>
          <w:rFonts w:hint="eastAsia" w:ascii="楷体" w:hAnsi="楷体" w:eastAsia="楷体" w:cs="楷体"/>
        </w:rPr>
        <w:t>9.1金融机构数据梳理、校验及保护过程</w:t>
      </w:r>
      <w:bookmarkEnd w:id="383"/>
      <w:r>
        <w:rPr>
          <w:rFonts w:hint="eastAsia" w:ascii="楷体" w:hAnsi="楷体" w:eastAsia="楷体" w:cs="楷体"/>
        </w:rPr>
        <w:tab/>
      </w:r>
    </w:p>
    <w:p>
      <w:pPr>
        <w:keepNext w:val="0"/>
        <w:keepLines w:val="0"/>
        <w:pageBreakBefore w:val="0"/>
        <w:widowControl w:val="0"/>
        <w:tabs>
          <w:tab w:val="left" w:pos="5947"/>
        </w:tabs>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联社数据信息安全，联社建立了数据安全管理体系，制定了《六枝特区农村信用合作联社信息系统生产数据安全管理规程》，明确规定重要或敏感数据的定义、分类、分级标准和访问控制策略、数据备份与恢复策略，并且部署了统一备份平台。同时，规范了生产数据提取、使用、销毁等环节的安全管理，实现数据查询的电子化和流程化管理；通过网络隔离、终端管控、堡垒机、数据中心人员出入管理等手段，实行严格的认证措施管理，并且建立了数据脱敏系统，实现数据安全管理。</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信息系统及数据的安全，制定并实施《六枝特区农村信用合作联社计算机信息系统应急预案》规范行内重要信息系统突发事件应急预案，有效预防、及时控制和最大限度地消除信息系统安全运行各类突发事件的危害和影响，提高重要信息系统突发事件的处置能力。</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rPr>
        <w:t>应急领导小组作为为应急处置和灾难恢复的决策层，负责制定本社应急处置的实施细则，组织、协调、指导、检查本社应急处置的管理；建立应急处置的预授权制度，定期分析风险状况和总结应急处置管理成效，并向高级管理层报告；负责本社信息系统突发事件的应急指挥、组织协调和过程控制；负责应急过程中的对外信息发布；宣布重大应急响应状态的降级或解除；履行向监管部门报告的职责。</w:t>
      </w:r>
    </w:p>
    <w:p>
      <w:pPr>
        <w:pStyle w:val="5"/>
        <w:bidi w:val="0"/>
        <w:rPr>
          <w:rFonts w:hint="eastAsia" w:ascii="黑体" w:hAnsi="黑体" w:eastAsia="黑体" w:cs="黑体"/>
          <w:sz w:val="32"/>
          <w:szCs w:val="32"/>
        </w:rPr>
      </w:pPr>
      <w:bookmarkStart w:id="384" w:name="_Toc23422"/>
      <w:bookmarkStart w:id="385" w:name="_Toc30436"/>
      <w:r>
        <w:rPr>
          <w:rFonts w:hint="eastAsia" w:ascii="黑体" w:hAnsi="黑体" w:eastAsia="黑体" w:cs="黑体"/>
          <w:sz w:val="32"/>
          <w:szCs w:val="32"/>
        </w:rPr>
        <w:t>10</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绿色金融创新及研究成果</w:t>
      </w:r>
      <w:bookmarkEnd w:id="384"/>
      <w:bookmarkEnd w:id="385"/>
    </w:p>
    <w:p>
      <w:pPr>
        <w:pStyle w:val="6"/>
        <w:bidi w:val="0"/>
        <w:rPr>
          <w:rFonts w:hint="eastAsia" w:ascii="楷体" w:hAnsi="楷体" w:eastAsia="楷体" w:cs="楷体"/>
        </w:rPr>
      </w:pPr>
      <w:bookmarkStart w:id="386" w:name="_Toc28998"/>
      <w:r>
        <w:rPr>
          <w:rFonts w:hint="eastAsia" w:ascii="楷体" w:hAnsi="楷体" w:eastAsia="楷体" w:cs="楷体"/>
        </w:rPr>
        <w:t>10.1绿色金融创新及实践案例</w:t>
      </w:r>
      <w:bookmarkEnd w:id="38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积极探索、创新绿色信贷担保方式，探索推出收费权质押等未来收益权质押等担保方式，拓宽绿色环保企业融资担保渠道。</w:t>
      </w:r>
    </w:p>
    <w:p>
      <w:pPr>
        <w:bidi w:val="0"/>
        <w:rPr>
          <w:rFonts w:hint="eastAsia" w:ascii="仿宋" w:hAnsi="仿宋" w:eastAsia="仿宋" w:cs="仿宋"/>
          <w:sz w:val="32"/>
          <w:szCs w:val="32"/>
        </w:rPr>
      </w:pPr>
      <w:r>
        <w:rPr>
          <w:rFonts w:hint="eastAsia" w:ascii="仿宋" w:hAnsi="仿宋" w:eastAsia="仿宋" w:cs="仿宋"/>
          <w:sz w:val="32"/>
          <w:szCs w:val="32"/>
        </w:rPr>
        <w:t>案例一、六枝特区国贸燃气有限公司实例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利用收费权质押方式向六枝特区国贸燃气有限公司发放一年期流动资金贷款490万元，用于六枝特区国贸燃气有限公司支付购天然气款。六枝特区国贸燃气有限公司长期以来从事天然气开发利用，在解决六枝城区居民采暖、生活需要的同时，还将管网铺设至大用、木岗、岩脚、新窑及城区周边的村委，不仅解决了城区居民取暖问题，还改善了周边农村的取暖条件。</w:t>
      </w:r>
    </w:p>
    <w:p>
      <w:pPr>
        <w:bidi w:val="0"/>
        <w:rPr>
          <w:rFonts w:hint="eastAsia" w:ascii="仿宋" w:hAnsi="仿宋" w:eastAsia="仿宋" w:cs="仿宋"/>
          <w:sz w:val="32"/>
          <w:szCs w:val="32"/>
        </w:rPr>
      </w:pPr>
      <w:r>
        <w:rPr>
          <w:rFonts w:hint="eastAsia" w:ascii="仿宋" w:hAnsi="仿宋" w:eastAsia="仿宋" w:cs="仿宋"/>
          <w:sz w:val="32"/>
          <w:szCs w:val="32"/>
        </w:rPr>
        <w:t>案例</w:t>
      </w:r>
      <w:r>
        <w:rPr>
          <w:rFonts w:hint="eastAsia" w:ascii="仿宋" w:hAnsi="仿宋" w:eastAsia="仿宋" w:cs="仿宋"/>
          <w:sz w:val="32"/>
          <w:szCs w:val="32"/>
          <w:lang w:val="en-US" w:eastAsia="zh-CN"/>
        </w:rPr>
        <w:t>二</w:t>
      </w:r>
      <w:r>
        <w:rPr>
          <w:rFonts w:hint="eastAsia" w:ascii="仿宋" w:hAnsi="仿宋" w:eastAsia="仿宋" w:cs="仿宋"/>
          <w:sz w:val="32"/>
          <w:szCs w:val="32"/>
        </w:rPr>
        <w:t>、支持六枝特区水务供排水公司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枝特区水务供排水公司于1985年10月10日经六枝特区工商行政管理局注册登记成立，是六枝特区范围内从事供排水服务管理的民生企业。主要负责水费的收取，此外还承接各类水利项目，例如水库、水厂的建设，城区乡镇各类供水设施的安装维护。</w:t>
      </w:r>
      <w:bookmarkStart w:id="390" w:name="_GoBack"/>
      <w:bookmarkEnd w:id="39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枝联社于2017年11月支持六枝特区水务供排水公司流动资金贷款1500万元，近年来六枝辖内月亮河乡、新场乡等乡镇投建了污水处理工程，中心城区因供水问题正进行管道改造，由于污水处理及供水管道改造工程为当前居民生活迫切需要解决的问题，借款人将自有水费收入投入到持续投入到以上项目中，六枝为支持民生事业，先后为其进行了3次续贷，现贷款余额1250万元，均采用水费收费权质押方式，切实解决了借款人的困难，能确保借款人持续的有效的开展民生工程建设及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六枝特区水务供排水公司现在主要服务：中心城区57922户，岩脚分公司5600户，木岗分公司2040户，郎岱分公司6000户，合计71562户。公司现有7个运行水厂，总供水规模为3.63万方/日。</w:t>
      </w:r>
    </w:p>
    <w:p>
      <w:pPr>
        <w:pStyle w:val="5"/>
        <w:bidi w:val="0"/>
        <w:rPr>
          <w:rFonts w:hint="eastAsia" w:ascii="黑体" w:hAnsi="黑体" w:eastAsia="黑体" w:cs="黑体"/>
          <w:sz w:val="32"/>
          <w:szCs w:val="32"/>
        </w:rPr>
      </w:pPr>
      <w:bookmarkStart w:id="387" w:name="_Toc6033"/>
      <w:bookmarkStart w:id="388" w:name="_Toc1664"/>
      <w:r>
        <w:rPr>
          <w:rFonts w:hint="eastAsia" w:ascii="黑体" w:hAnsi="黑体" w:eastAsia="黑体" w:cs="黑体"/>
          <w:sz w:val="32"/>
          <w:szCs w:val="32"/>
        </w:rPr>
        <w:t>1</w:t>
      </w:r>
      <w:r>
        <w:rPr>
          <w:rFonts w:hint="eastAsia" w:ascii="黑体" w:hAnsi="黑体" w:eastAsia="黑体" w:cs="黑体"/>
          <w:sz w:val="32"/>
          <w:szCs w:val="32"/>
          <w:lang w:val="en-US" w:eastAsia="zh-CN"/>
        </w:rPr>
        <w:t xml:space="preserve">1 </w:t>
      </w:r>
      <w:r>
        <w:rPr>
          <w:rFonts w:hint="eastAsia" w:ascii="黑体" w:hAnsi="黑体" w:eastAsia="黑体" w:cs="黑体"/>
          <w:sz w:val="32"/>
          <w:szCs w:val="32"/>
        </w:rPr>
        <w:t>其他环境相关信息</w:t>
      </w:r>
      <w:bookmarkEnd w:id="387"/>
      <w:bookmarkEnd w:id="388"/>
    </w:p>
    <w:p>
      <w:pPr>
        <w:pStyle w:val="6"/>
        <w:bidi w:val="0"/>
        <w:rPr>
          <w:rFonts w:hint="eastAsia" w:ascii="楷体" w:hAnsi="楷体" w:eastAsia="楷体" w:cs="楷体"/>
        </w:rPr>
      </w:pPr>
      <w:bookmarkStart w:id="389" w:name="_Toc12125"/>
      <w:r>
        <w:rPr>
          <w:rFonts w:hint="eastAsia" w:ascii="楷体" w:hAnsi="楷体" w:eastAsia="楷体" w:cs="楷体"/>
          <w:lang w:val="en-US" w:eastAsia="zh-CN"/>
        </w:rPr>
        <w:t xml:space="preserve">11.1 </w:t>
      </w:r>
      <w:r>
        <w:rPr>
          <w:rFonts w:hint="eastAsia" w:ascii="楷体" w:hAnsi="楷体" w:eastAsia="楷体" w:cs="楷体"/>
        </w:rPr>
        <w:t>2021年获奖情况</w:t>
      </w:r>
      <w:bookmarkEnd w:id="38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1.2021年4月荣获贵州省人民政府“贵州省脱贫攻坚先进集体”称号；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2.2021年12月荣获六枝特区人民政府“金融支持三农和小微企业突出贡献单位”称号。</w:t>
      </w:r>
    </w:p>
    <w:p>
      <w:pPr>
        <w:pStyle w:val="2"/>
        <w:ind w:left="640" w:leftChars="0" w:firstLine="0" w:firstLineChars="0"/>
        <w:rPr>
          <w:rFonts w:ascii="仿宋" w:hAnsi="仿宋" w:eastAsia="仿宋" w:cs="仿宋"/>
          <w:sz w:val="32"/>
          <w:szCs w:val="32"/>
        </w:rPr>
      </w:pP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val="en-US" w:eastAsia="zh-CN"/>
      </w:rPr>
    </w:pPr>
  </w:p>
  <w:p>
    <w:pPr>
      <w:pStyle w:val="10"/>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lang w:val="en-US" w:eastAsia="zh-CN"/>
      </w:rPr>
    </w:pPr>
  </w:p>
  <w:p>
    <w:pPr>
      <w:pStyle w:val="10"/>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C4960"/>
    <w:multiLevelType w:val="multilevel"/>
    <w:tmpl w:val="539C4960"/>
    <w:lvl w:ilvl="0" w:tentative="0">
      <w:start w:val="1"/>
      <w:numFmt w:val="decimalEnclosedCircl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0390EF"/>
    <w:multiLevelType w:val="singleLevel"/>
    <w:tmpl w:val="6C0390E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66913"/>
    <w:rsid w:val="045B3388"/>
    <w:rsid w:val="05866913"/>
    <w:rsid w:val="11147B0A"/>
    <w:rsid w:val="26C553F1"/>
    <w:rsid w:val="277A48EE"/>
    <w:rsid w:val="29997C50"/>
    <w:rsid w:val="335239BB"/>
    <w:rsid w:val="3389765A"/>
    <w:rsid w:val="3BC94737"/>
    <w:rsid w:val="43211A05"/>
    <w:rsid w:val="4A99338C"/>
    <w:rsid w:val="5B4E1025"/>
    <w:rsid w:val="5F677801"/>
    <w:rsid w:val="68AC4D4C"/>
    <w:rsid w:val="6EB6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link w:val="23"/>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Body Text Indent 2"/>
    <w:basedOn w:val="1"/>
    <w:unhideWhenUsed/>
    <w:qFormat/>
    <w:uiPriority w:val="99"/>
    <w:pPr>
      <w:ind w:firstLine="630"/>
    </w:pPr>
    <w:rPr>
      <w:b/>
      <w:sz w:val="32"/>
    </w:rPr>
  </w:style>
  <w:style w:type="paragraph" w:styleId="8">
    <w:name w:val="annotation text"/>
    <w:basedOn w:val="1"/>
    <w:qFormat/>
    <w:uiPriority w:val="0"/>
    <w:pPr>
      <w:jc w:val="left"/>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7">
    <w:name w:val="annotation reference"/>
    <w:qFormat/>
    <w:uiPriority w:val="0"/>
    <w:rPr>
      <w:sz w:val="21"/>
      <w:szCs w:val="21"/>
    </w:rPr>
  </w:style>
  <w:style w:type="paragraph" w:customStyle="1" w:styleId="18">
    <w:name w:val="无间隔1"/>
    <w:basedOn w:val="1"/>
    <w:qFormat/>
    <w:uiPriority w:val="1"/>
    <w:rPr>
      <w:szCs w:val="32"/>
    </w:rPr>
  </w:style>
  <w:style w:type="paragraph" w:customStyle="1" w:styleId="19">
    <w:name w:val="正文-公1"/>
    <w:basedOn w:val="20"/>
    <w:next w:val="18"/>
    <w:qFormat/>
    <w:uiPriority w:val="99"/>
    <w:pPr>
      <w:ind w:firstLine="200" w:firstLineChars="200"/>
    </w:p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9"/>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1">
    <w:name w:val="List Paragraph"/>
    <w:basedOn w:val="1"/>
    <w:qFormat/>
    <w:uiPriority w:val="34"/>
    <w:pPr>
      <w:ind w:firstLine="420" w:firstLineChars="200"/>
    </w:pPr>
    <w:rPr>
      <w:rFonts w:ascii="Calibri" w:hAnsi="Calibri" w:eastAsia="宋体" w:cs="Times New Roman"/>
      <w:szCs w:val="24"/>
    </w:rPr>
  </w:style>
  <w:style w:type="character" w:customStyle="1" w:styleId="22">
    <w:name w:val="font21"/>
    <w:qFormat/>
    <w:uiPriority w:val="0"/>
    <w:rPr>
      <w:rFonts w:hint="default" w:ascii="Wingdings" w:hAnsi="Wingdings" w:cs="Wingdings"/>
      <w:color w:val="000000"/>
      <w:sz w:val="20"/>
      <w:szCs w:val="20"/>
      <w:u w:val="none"/>
    </w:rPr>
  </w:style>
  <w:style w:type="character" w:customStyle="1" w:styleId="23">
    <w:name w:val="标题 2 Char"/>
    <w:link w:val="6"/>
    <w:qFormat/>
    <w:uiPriority w:val="0"/>
    <w:rPr>
      <w:rFonts w:ascii="Calibri Light" w:hAnsi="Calibri Light" w:eastAsia="宋体" w:cs="Times New Roman"/>
      <w:b/>
      <w:bCs/>
      <w:sz w:val="32"/>
      <w:szCs w:val="3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13382</Words>
  <Characters>14300</Characters>
  <Lines>0</Lines>
  <Paragraphs>0</Paragraphs>
  <TotalTime>37</TotalTime>
  <ScaleCrop>false</ScaleCrop>
  <LinksUpToDate>false</LinksUpToDate>
  <CharactersWithSpaces>14627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2022-04-17T04:44:00Z</dcterms:created>
  <dc:creator>stone敖</dc:creator>
  <cp:lastModifiedBy>stone敖</cp:lastModifiedBy>
  <dcterms:modified xsi:type="dcterms:W3CDTF">2022-04-19T01:21:34Z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9A27007080894876B56A0C431F684700</vt:lpwstr>
  </property>
  <property fmtid="{D5CDD505-2E9C-101B-9397-08002B2CF9AE}" pid="4" name="commondata">
    <vt:lpwstr>eyJoZGlkIjoiMjQ2MzZlZmQ3ZThlNTA2YzM3ZDJjZmYwMmQ1NTIxZTcifQ==</vt:lpwstr>
  </property>
</Properties>
</file>