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cs="方正小标宋_GBK" w:asciiTheme="majorEastAsia" w:hAnsiTheme="majorEastAsia" w:eastAsiaTheme="majorEastAsia"/>
          <w:bCs/>
          <w:sz w:val="52"/>
          <w:szCs w:val="52"/>
        </w:rPr>
      </w:pPr>
    </w:p>
    <w:p>
      <w:pPr>
        <w:pStyle w:val="5"/>
        <w:jc w:val="center"/>
        <w:rPr>
          <w:sz w:val="52"/>
          <w:szCs w:val="52"/>
        </w:rPr>
      </w:pPr>
      <w:bookmarkStart w:id="0" w:name="_Toc7968"/>
      <w:r>
        <w:rPr>
          <w:rFonts w:hint="eastAsia"/>
          <w:sz w:val="52"/>
          <w:szCs w:val="52"/>
        </w:rPr>
        <w:t>六盘水农村商业银行股份有限公司</w:t>
      </w:r>
      <w:bookmarkEnd w:id="0"/>
    </w:p>
    <w:p>
      <w:pPr>
        <w:pStyle w:val="5"/>
        <w:jc w:val="center"/>
        <w:rPr>
          <w:sz w:val="52"/>
          <w:szCs w:val="52"/>
        </w:rPr>
      </w:pPr>
      <w:bookmarkStart w:id="1" w:name="_Toc21938"/>
      <w:r>
        <w:rPr>
          <w:rFonts w:hint="eastAsia"/>
          <w:sz w:val="52"/>
          <w:szCs w:val="52"/>
        </w:rPr>
        <w:t>环境信息披露报告</w:t>
      </w:r>
      <w:bookmarkEnd w:id="1"/>
    </w:p>
    <w:p>
      <w:pPr>
        <w:pStyle w:val="5"/>
        <w:jc w:val="center"/>
        <w:rPr>
          <w:sz w:val="52"/>
          <w:szCs w:val="52"/>
        </w:rPr>
      </w:pPr>
      <w:bookmarkStart w:id="2" w:name="_Toc3499"/>
      <w:r>
        <w:rPr>
          <w:rFonts w:hint="eastAsia"/>
          <w:sz w:val="52"/>
          <w:szCs w:val="52"/>
        </w:rPr>
        <w:t>（2021年度）</w:t>
      </w:r>
      <w:bookmarkEnd w:id="2"/>
    </w:p>
    <w:p>
      <w:pPr>
        <w:spacing w:line="480" w:lineRule="auto"/>
        <w:jc w:val="center"/>
        <w:rPr>
          <w:rFonts w:cs="方正小标宋_GBK" w:asciiTheme="majorEastAsia" w:hAnsiTheme="majorEastAsia" w:eastAsiaTheme="majorEastAsia"/>
          <w:bCs/>
          <w:sz w:val="52"/>
          <w:szCs w:val="52"/>
        </w:rPr>
      </w:pPr>
    </w:p>
    <w:p>
      <w:pPr>
        <w:widowControl/>
        <w:jc w:val="both"/>
        <w:rPr>
          <w:b/>
          <w:bCs/>
          <w:color w:val="FF0000"/>
          <w:sz w:val="52"/>
          <w:szCs w:val="56"/>
        </w:rPr>
      </w:pPr>
    </w:p>
    <w:p>
      <w:pPr>
        <w:widowControl/>
        <w:jc w:val="center"/>
        <w:rPr>
          <w:b/>
          <w:bCs/>
          <w:color w:val="FF0000"/>
          <w:sz w:val="52"/>
          <w:szCs w:val="56"/>
        </w:rPr>
      </w:pPr>
    </w:p>
    <w:p>
      <w:pPr>
        <w:widowControl/>
        <w:jc w:val="center"/>
        <w:rPr>
          <w:b/>
          <w:bCs/>
          <w:color w:val="FF0000"/>
          <w:sz w:val="52"/>
          <w:szCs w:val="56"/>
        </w:rPr>
      </w:pPr>
    </w:p>
    <w:p>
      <w:pPr>
        <w:pStyle w:val="2"/>
        <w:ind w:left="0" w:leftChars="0" w:firstLine="0" w:firstLineChars="0"/>
        <w:jc w:val="center"/>
      </w:pPr>
      <w:r>
        <w:rPr>
          <w:rFonts w:hint="eastAsia" w:ascii="方正小标宋简体" w:hAnsi="方正小标宋简体" w:eastAsia="方正小标宋简体" w:cs="方正小标宋简体"/>
          <w:sz w:val="44"/>
          <w:szCs w:val="44"/>
          <w:highlight w:val="none"/>
          <w:lang w:val="en-US" w:eastAsia="zh-CN"/>
        </w:rPr>
        <w:t>2022年6月29日</w:t>
      </w:r>
    </w:p>
    <w:p>
      <w:pPr>
        <w:widowControl/>
        <w:jc w:val="center"/>
        <w:rPr>
          <w:b/>
          <w:bCs/>
          <w:color w:val="FF0000"/>
          <w:sz w:val="52"/>
          <w:szCs w:val="56"/>
        </w:rPr>
      </w:pPr>
    </w:p>
    <w:p>
      <w:pPr>
        <w:widowControl/>
        <w:jc w:val="center"/>
        <w:rPr>
          <w:b/>
          <w:bCs/>
          <w:color w:val="FF0000"/>
          <w:sz w:val="36"/>
          <w:szCs w:val="40"/>
        </w:rPr>
      </w:pPr>
    </w:p>
    <w:p>
      <w:pPr>
        <w:pStyle w:val="5"/>
        <w:bidi w:val="0"/>
        <w:jc w:val="center"/>
        <w:rPr>
          <w:rFonts w:hint="eastAsia"/>
          <w:highlight w:val="none"/>
          <w:lang w:val="en-US" w:eastAsia="zh-CN"/>
        </w:rPr>
      </w:pPr>
      <w:bookmarkStart w:id="3" w:name="_Toc7827"/>
      <w:bookmarkStart w:id="4" w:name="_Toc22820"/>
    </w:p>
    <w:p>
      <w:pPr>
        <w:pStyle w:val="5"/>
        <w:bidi w:val="0"/>
        <w:jc w:val="center"/>
        <w:rPr>
          <w:rFonts w:hint="eastAsia"/>
          <w:highlight w:val="none"/>
          <w:lang w:val="en-US" w:eastAsia="zh-CN"/>
        </w:rPr>
      </w:pPr>
      <w:r>
        <w:rPr>
          <w:rFonts w:hint="eastAsia"/>
          <w:highlight w:val="none"/>
          <w:lang w:val="en-US" w:eastAsia="zh-CN"/>
        </w:rPr>
        <w:t>关于本报告</w:t>
      </w:r>
      <w:bookmarkEnd w:id="3"/>
      <w:bookmarkEnd w:id="4"/>
    </w:p>
    <w:p>
      <w:pPr>
        <w:bidi w:val="0"/>
        <w:rPr>
          <w:rFonts w:hint="eastAsia" w:ascii="黑体" w:hAnsi="黑体" w:eastAsia="黑体" w:cs="黑体"/>
          <w:sz w:val="28"/>
          <w:szCs w:val="28"/>
          <w:highlight w:val="none"/>
          <w:lang w:val="en-US" w:eastAsia="zh-CN"/>
        </w:rPr>
      </w:pPr>
      <w:bookmarkStart w:id="5" w:name="_Toc12176"/>
      <w:r>
        <w:rPr>
          <w:rFonts w:hint="eastAsia" w:ascii="黑体" w:hAnsi="黑体" w:eastAsia="黑体" w:cs="黑体"/>
          <w:sz w:val="28"/>
          <w:szCs w:val="28"/>
          <w:highlight w:val="none"/>
          <w:lang w:val="en-US" w:eastAsia="zh-CN"/>
        </w:rPr>
        <w:t>报告说明</w:t>
      </w:r>
      <w:bookmarkEnd w:id="5"/>
    </w:p>
    <w:p>
      <w:pPr>
        <w:bidi w:val="0"/>
        <w:rPr>
          <w:rFonts w:hint="eastAsia" w:ascii="宋体" w:hAnsi="宋体" w:eastAsia="宋体" w:cs="宋体"/>
          <w:highlight w:val="none"/>
          <w:lang w:val="en-US" w:eastAsia="zh-CN"/>
        </w:rPr>
      </w:pPr>
      <w:r>
        <w:rPr>
          <w:rFonts w:hint="eastAsia" w:ascii="宋体" w:hAnsi="宋体" w:eastAsia="宋体" w:cs="宋体"/>
          <w:highlight w:val="none"/>
          <w:lang w:val="en-US" w:eastAsia="zh-CN"/>
        </w:rPr>
        <w:t>本报告依据中国人民银行金融标准化技术委员会发布《金融机构环境信息披露指南（试行）》等相关文件要求编制，回顾了六盘水农村商业银行股份有限公司在2021年进行的环境行为以及产生的环境影响情况。</w:t>
      </w:r>
    </w:p>
    <w:p>
      <w:pPr>
        <w:bidi w:val="0"/>
        <w:rPr>
          <w:rFonts w:hint="default" w:ascii="黑体" w:hAnsi="黑体" w:eastAsia="黑体" w:cs="黑体"/>
          <w:sz w:val="28"/>
          <w:szCs w:val="28"/>
          <w:highlight w:val="none"/>
          <w:lang w:val="en-US" w:eastAsia="zh-CN"/>
        </w:rPr>
      </w:pPr>
      <w:bookmarkStart w:id="6" w:name="_Toc23036"/>
      <w:r>
        <w:rPr>
          <w:rFonts w:hint="eastAsia" w:ascii="黑体" w:hAnsi="黑体" w:eastAsia="黑体" w:cs="黑体"/>
          <w:sz w:val="28"/>
          <w:szCs w:val="28"/>
          <w:highlight w:val="none"/>
          <w:lang w:val="en-US" w:eastAsia="zh-CN"/>
        </w:rPr>
        <w:t>报</w:t>
      </w:r>
      <w:r>
        <w:rPr>
          <w:rFonts w:hint="default" w:ascii="黑体" w:hAnsi="黑体" w:eastAsia="黑体" w:cs="黑体"/>
          <w:sz w:val="28"/>
          <w:szCs w:val="28"/>
          <w:highlight w:val="none"/>
          <w:lang w:val="en-US" w:eastAsia="zh-CN"/>
        </w:rPr>
        <w:t>告期</w:t>
      </w:r>
      <w:bookmarkEnd w:id="6"/>
    </w:p>
    <w:p>
      <w:pPr>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202</w:t>
      </w:r>
      <w:r>
        <w:rPr>
          <w:rFonts w:hint="eastAsia" w:ascii="宋体" w:hAnsi="宋体" w:eastAsia="宋体" w:cs="宋体"/>
          <w:highlight w:val="none"/>
          <w:lang w:val="en-US" w:eastAsia="zh-CN"/>
        </w:rPr>
        <w:t>1</w:t>
      </w:r>
      <w:r>
        <w:rPr>
          <w:rFonts w:hint="default" w:ascii="宋体" w:hAnsi="宋体" w:eastAsia="宋体" w:cs="宋体"/>
          <w:highlight w:val="none"/>
          <w:lang w:val="en-US" w:eastAsia="zh-CN"/>
        </w:rPr>
        <w:t>年1月1日至202</w:t>
      </w:r>
      <w:r>
        <w:rPr>
          <w:rFonts w:hint="eastAsia" w:ascii="宋体" w:hAnsi="宋体" w:eastAsia="宋体" w:cs="宋体"/>
          <w:highlight w:val="none"/>
          <w:lang w:val="en-US" w:eastAsia="zh-CN"/>
        </w:rPr>
        <w:t>1</w:t>
      </w:r>
      <w:r>
        <w:rPr>
          <w:rFonts w:hint="default" w:ascii="宋体" w:hAnsi="宋体" w:eastAsia="宋体" w:cs="宋体"/>
          <w:highlight w:val="none"/>
          <w:lang w:val="en-US" w:eastAsia="zh-CN"/>
        </w:rPr>
        <w:t>年12月31日</w:t>
      </w:r>
    </w:p>
    <w:p>
      <w:pPr>
        <w:bidi w:val="0"/>
        <w:rPr>
          <w:rFonts w:hint="default" w:ascii="黑体" w:hAnsi="黑体" w:eastAsia="黑体" w:cs="黑体"/>
          <w:sz w:val="28"/>
          <w:szCs w:val="28"/>
          <w:highlight w:val="none"/>
          <w:lang w:val="en-US" w:eastAsia="zh-CN"/>
        </w:rPr>
      </w:pPr>
      <w:bookmarkStart w:id="7" w:name="_Toc32452"/>
      <w:r>
        <w:rPr>
          <w:rFonts w:hint="default" w:ascii="黑体" w:hAnsi="黑体" w:eastAsia="黑体" w:cs="黑体"/>
          <w:sz w:val="28"/>
          <w:szCs w:val="28"/>
          <w:highlight w:val="none"/>
          <w:lang w:val="en-US" w:eastAsia="zh-CN"/>
        </w:rPr>
        <w:t>披露对象</w:t>
      </w:r>
      <w:bookmarkEnd w:id="7"/>
    </w:p>
    <w:p>
      <w:pPr>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本报告以</w:t>
      </w:r>
      <w:r>
        <w:rPr>
          <w:rFonts w:hint="eastAsia" w:ascii="宋体" w:hAnsi="宋体" w:eastAsia="宋体" w:cs="宋体"/>
          <w:highlight w:val="none"/>
          <w:lang w:val="en-US" w:eastAsia="zh-CN"/>
        </w:rPr>
        <w:t>六盘水农村商业银行股份有限公司</w:t>
      </w:r>
      <w:r>
        <w:rPr>
          <w:rFonts w:hint="default" w:ascii="宋体" w:hAnsi="宋体" w:eastAsia="宋体" w:cs="宋体"/>
          <w:highlight w:val="none"/>
          <w:lang w:val="en-US" w:eastAsia="zh-CN"/>
        </w:rPr>
        <w:t>为披露对象，涵盖总行及分支机构。为便于表述，在报告中使用“</w:t>
      </w:r>
      <w:r>
        <w:rPr>
          <w:rFonts w:hint="eastAsia" w:ascii="宋体" w:hAnsi="宋体" w:eastAsia="宋体" w:cs="宋体"/>
          <w:highlight w:val="none"/>
          <w:lang w:val="en-US" w:eastAsia="zh-CN"/>
        </w:rPr>
        <w:t>六盘水农商银行</w:t>
      </w:r>
      <w:r>
        <w:rPr>
          <w:rFonts w:hint="default" w:ascii="宋体" w:hAnsi="宋体" w:eastAsia="宋体" w:cs="宋体"/>
          <w:highlight w:val="none"/>
          <w:lang w:val="en-US" w:eastAsia="zh-CN"/>
        </w:rPr>
        <w:t>”或“本行”代指</w:t>
      </w:r>
      <w:r>
        <w:rPr>
          <w:rFonts w:hint="eastAsia" w:ascii="宋体" w:hAnsi="宋体" w:eastAsia="宋体" w:cs="宋体"/>
          <w:highlight w:val="none"/>
          <w:lang w:val="en-US" w:eastAsia="zh-CN"/>
        </w:rPr>
        <w:t>六盘水农村商业银行股份有限公司</w:t>
      </w:r>
      <w:r>
        <w:rPr>
          <w:rFonts w:hint="default" w:ascii="宋体" w:hAnsi="宋体" w:eastAsia="宋体" w:cs="宋体"/>
          <w:highlight w:val="none"/>
          <w:lang w:val="en-US" w:eastAsia="zh-CN"/>
        </w:rPr>
        <w:t>。</w:t>
      </w:r>
    </w:p>
    <w:p>
      <w:pPr>
        <w:bidi w:val="0"/>
        <w:rPr>
          <w:rFonts w:hint="default" w:ascii="黑体" w:hAnsi="黑体" w:eastAsia="黑体" w:cs="黑体"/>
          <w:sz w:val="28"/>
          <w:szCs w:val="28"/>
          <w:highlight w:val="none"/>
          <w:lang w:val="en-US" w:eastAsia="zh-CN"/>
        </w:rPr>
      </w:pPr>
      <w:bookmarkStart w:id="8" w:name="_Toc12215"/>
      <w:r>
        <w:rPr>
          <w:rFonts w:hint="default" w:ascii="黑体" w:hAnsi="黑体" w:eastAsia="黑体" w:cs="黑体"/>
          <w:sz w:val="28"/>
          <w:szCs w:val="28"/>
          <w:highlight w:val="none"/>
          <w:lang w:val="en-US" w:eastAsia="zh-CN"/>
        </w:rPr>
        <w:t>披露依据</w:t>
      </w:r>
      <w:bookmarkEnd w:id="8"/>
    </w:p>
    <w:p>
      <w:pPr>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本报告根据中国人民银行金融标准化技术委员会</w:t>
      </w:r>
      <w:r>
        <w:rPr>
          <w:rFonts w:hint="eastAsia" w:ascii="宋体" w:hAnsi="宋体" w:eastAsia="宋体" w:cs="宋体"/>
          <w:highlight w:val="none"/>
          <w:lang w:val="en-US" w:eastAsia="zh-CN"/>
        </w:rPr>
        <w:t>发布</w:t>
      </w:r>
      <w:r>
        <w:rPr>
          <w:rFonts w:hint="default" w:ascii="宋体" w:hAnsi="宋体" w:eastAsia="宋体" w:cs="宋体"/>
          <w:highlight w:val="none"/>
          <w:lang w:val="en-US" w:eastAsia="zh-CN"/>
        </w:rPr>
        <w:t>《金融机构环境信息披露指南（试行）》的披露要求进行编制，并参考《气候相关财务信息披露工作组（TCFD）建议报告</w:t>
      </w:r>
      <w:r>
        <w:rPr>
          <w:rFonts w:hint="eastAsia" w:ascii="宋体" w:hAnsi="宋体" w:eastAsia="宋体" w:cs="宋体"/>
          <w:highlight w:val="none"/>
          <w:lang w:val="en-US" w:eastAsia="zh-CN"/>
        </w:rPr>
        <w:t>》</w:t>
      </w:r>
      <w:r>
        <w:rPr>
          <w:rFonts w:hint="default" w:ascii="宋体" w:hAnsi="宋体" w:eastAsia="宋体" w:cs="宋体"/>
          <w:highlight w:val="none"/>
          <w:lang w:val="en-US" w:eastAsia="zh-CN"/>
        </w:rPr>
        <w:t>《气候友好型银行评价指标体系》中的相关披露要求及建议进行披露。</w:t>
      </w:r>
    </w:p>
    <w:p>
      <w:pPr>
        <w:bidi w:val="0"/>
        <w:rPr>
          <w:rFonts w:hint="default" w:ascii="黑体" w:hAnsi="黑体" w:eastAsia="黑体" w:cs="黑体"/>
          <w:sz w:val="28"/>
          <w:szCs w:val="28"/>
          <w:highlight w:val="none"/>
          <w:lang w:val="en-US" w:eastAsia="zh-CN"/>
        </w:rPr>
      </w:pPr>
      <w:bookmarkStart w:id="9" w:name="_Toc23722"/>
      <w:r>
        <w:rPr>
          <w:rFonts w:hint="default" w:ascii="黑体" w:hAnsi="黑体" w:eastAsia="黑体" w:cs="黑体"/>
          <w:sz w:val="28"/>
          <w:szCs w:val="28"/>
          <w:highlight w:val="none"/>
          <w:lang w:val="en-US" w:eastAsia="zh-CN"/>
        </w:rPr>
        <w:t>报告数据说明</w:t>
      </w:r>
      <w:bookmarkEnd w:id="9"/>
    </w:p>
    <w:p>
      <w:pPr>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报告中的财务数据以202</w:t>
      </w:r>
      <w:r>
        <w:rPr>
          <w:rFonts w:hint="eastAsia" w:ascii="宋体" w:hAnsi="宋体" w:eastAsia="宋体" w:cs="宋体"/>
          <w:highlight w:val="none"/>
          <w:lang w:val="en-US" w:eastAsia="zh-CN"/>
        </w:rPr>
        <w:t>1</w:t>
      </w:r>
      <w:r>
        <w:rPr>
          <w:rFonts w:hint="default" w:ascii="宋体" w:hAnsi="宋体" w:eastAsia="宋体" w:cs="宋体"/>
          <w:highlight w:val="none"/>
          <w:lang w:val="en-US" w:eastAsia="zh-CN"/>
        </w:rPr>
        <w:t>年1月至202</w:t>
      </w:r>
      <w:r>
        <w:rPr>
          <w:rFonts w:hint="eastAsia" w:ascii="宋体" w:hAnsi="宋体" w:eastAsia="宋体" w:cs="宋体"/>
          <w:highlight w:val="none"/>
          <w:lang w:val="en-US" w:eastAsia="zh-CN"/>
        </w:rPr>
        <w:t>1</w:t>
      </w:r>
      <w:r>
        <w:rPr>
          <w:rFonts w:hint="default" w:ascii="宋体" w:hAnsi="宋体" w:eastAsia="宋体" w:cs="宋体"/>
          <w:highlight w:val="none"/>
          <w:lang w:val="en-US" w:eastAsia="zh-CN"/>
        </w:rPr>
        <w:t>年12月期间内的数据为主，部分内容包括以前年度数据，主要来自于本行内部文件和相关统计资料。数据因统计口径因素可能会存在与《202</w:t>
      </w:r>
      <w:r>
        <w:rPr>
          <w:rFonts w:hint="eastAsia" w:ascii="宋体" w:hAnsi="宋体" w:eastAsia="宋体" w:cs="宋体"/>
          <w:highlight w:val="none"/>
          <w:lang w:val="en-US" w:eastAsia="zh-CN"/>
        </w:rPr>
        <w:t>1</w:t>
      </w:r>
      <w:r>
        <w:rPr>
          <w:rFonts w:hint="default" w:ascii="宋体" w:hAnsi="宋体" w:eastAsia="宋体" w:cs="宋体"/>
          <w:highlight w:val="none"/>
          <w:lang w:val="en-US" w:eastAsia="zh-CN"/>
        </w:rPr>
        <w:t>年度报告》数据不一致的现象，请以年报数据为准。如无特别说明，报告中涉及货币金额均以人民币列示。</w:t>
      </w:r>
    </w:p>
    <w:p>
      <w:pPr>
        <w:bidi w:val="0"/>
        <w:rPr>
          <w:rFonts w:hint="default" w:ascii="黑体" w:hAnsi="黑体" w:eastAsia="黑体" w:cs="黑体"/>
          <w:sz w:val="28"/>
          <w:szCs w:val="28"/>
          <w:highlight w:val="none"/>
          <w:lang w:val="en-US" w:eastAsia="zh-CN"/>
        </w:rPr>
      </w:pPr>
      <w:bookmarkStart w:id="10" w:name="_Toc32089"/>
      <w:r>
        <w:rPr>
          <w:rFonts w:hint="default" w:ascii="黑体" w:hAnsi="黑体" w:eastAsia="黑体" w:cs="黑体"/>
          <w:sz w:val="28"/>
          <w:szCs w:val="28"/>
          <w:highlight w:val="none"/>
          <w:lang w:val="en-US" w:eastAsia="zh-CN"/>
        </w:rPr>
        <w:t>报告发布形式</w:t>
      </w:r>
      <w:bookmarkEnd w:id="10"/>
    </w:p>
    <w:p>
      <w:pPr>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本报告以网络版和印刷版两种形式发布。</w:t>
      </w:r>
    </w:p>
    <w:p>
      <w:pPr>
        <w:bidi w:val="0"/>
        <w:rPr>
          <w:rFonts w:hint="default" w:ascii="黑体" w:hAnsi="黑体" w:eastAsia="黑体" w:cs="黑体"/>
          <w:sz w:val="28"/>
          <w:szCs w:val="28"/>
          <w:highlight w:val="none"/>
          <w:lang w:val="en-US" w:eastAsia="zh-CN"/>
        </w:rPr>
      </w:pPr>
      <w:bookmarkStart w:id="11" w:name="_Toc12257"/>
      <w:r>
        <w:rPr>
          <w:rFonts w:hint="default" w:ascii="黑体" w:hAnsi="黑体" w:eastAsia="黑体" w:cs="黑体"/>
          <w:sz w:val="28"/>
          <w:szCs w:val="28"/>
          <w:highlight w:val="none"/>
          <w:lang w:val="en-US" w:eastAsia="zh-CN"/>
        </w:rPr>
        <w:t>报告编制单位</w:t>
      </w:r>
      <w:bookmarkEnd w:id="11"/>
    </w:p>
    <w:p>
      <w:pPr>
        <w:bidi w:val="0"/>
        <w:rPr>
          <w:rFonts w:hint="default" w:ascii="宋体" w:hAnsi="宋体" w:eastAsia="宋体" w:cs="宋体"/>
          <w:highlight w:val="none"/>
          <w:lang w:val="en-US" w:eastAsia="zh-CN"/>
        </w:rPr>
      </w:pPr>
      <w:r>
        <w:rPr>
          <w:rFonts w:hint="eastAsia" w:ascii="宋体" w:hAnsi="宋体" w:eastAsia="宋体" w:cs="宋体"/>
          <w:highlight w:val="none"/>
          <w:lang w:val="en-US" w:eastAsia="zh-CN"/>
        </w:rPr>
        <w:t>六盘水农村商业银行股份有限公司</w:t>
      </w:r>
    </w:p>
    <w:p>
      <w:pPr>
        <w:bidi w:val="0"/>
        <w:rPr>
          <w:rFonts w:hint="default" w:ascii="黑体" w:hAnsi="黑体" w:eastAsia="黑体" w:cs="黑体"/>
          <w:sz w:val="28"/>
          <w:szCs w:val="28"/>
          <w:highlight w:val="none"/>
          <w:lang w:val="en-US" w:eastAsia="zh-CN"/>
        </w:rPr>
      </w:pPr>
      <w:bookmarkStart w:id="12" w:name="_Toc30971"/>
      <w:r>
        <w:rPr>
          <w:rFonts w:hint="default" w:ascii="黑体" w:hAnsi="黑体" w:eastAsia="黑体" w:cs="黑体"/>
          <w:sz w:val="28"/>
          <w:szCs w:val="28"/>
          <w:highlight w:val="none"/>
          <w:lang w:val="en-US" w:eastAsia="zh-CN"/>
        </w:rPr>
        <w:t>联系方式</w:t>
      </w:r>
      <w:bookmarkEnd w:id="12"/>
    </w:p>
    <w:p>
      <w:pPr>
        <w:bidi w:val="0"/>
        <w:rPr>
          <w:rFonts w:hint="default" w:ascii="宋体" w:hAnsi="宋体" w:eastAsia="宋体" w:cs="宋体"/>
          <w:highlight w:val="none"/>
          <w:lang w:val="en-US" w:eastAsia="zh-CN"/>
        </w:rPr>
      </w:pPr>
      <w:r>
        <w:rPr>
          <w:rFonts w:hint="eastAsia" w:ascii="宋体" w:hAnsi="宋体" w:eastAsia="宋体" w:cs="宋体"/>
          <w:highlight w:val="none"/>
          <w:lang w:val="en-US" w:eastAsia="zh-CN"/>
        </w:rPr>
        <w:t>六盘水农村商业银行股份有限公司</w:t>
      </w:r>
    </w:p>
    <w:p>
      <w:pPr>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地址：</w:t>
      </w:r>
      <w:r>
        <w:rPr>
          <w:rFonts w:hint="eastAsia" w:ascii="宋体" w:hAnsi="宋体" w:eastAsia="宋体" w:cs="宋体"/>
          <w:highlight w:val="none"/>
          <w:lang w:val="en-US" w:eastAsia="zh-CN"/>
        </w:rPr>
        <w:t>贵州省六盘水市钟山区钟山中路67号</w:t>
      </w:r>
    </w:p>
    <w:p>
      <w:pPr>
        <w:bidi w:val="0"/>
        <w:rPr>
          <w:rFonts w:hint="default" w:ascii="宋体" w:hAnsi="宋体" w:eastAsia="宋体" w:cs="宋体"/>
          <w:highlight w:val="none"/>
          <w:lang w:val="en-US" w:eastAsia="zh-CN"/>
        </w:rPr>
      </w:pPr>
      <w:r>
        <w:rPr>
          <w:rFonts w:hint="default" w:ascii="宋体" w:hAnsi="宋体" w:eastAsia="宋体" w:cs="宋体"/>
          <w:highlight w:val="none"/>
          <w:lang w:val="en-US" w:eastAsia="zh-CN"/>
        </w:rPr>
        <w:t>邮编：</w:t>
      </w:r>
      <w:r>
        <w:rPr>
          <w:rFonts w:hint="eastAsia" w:ascii="宋体" w:hAnsi="宋体" w:eastAsia="宋体" w:cs="宋体"/>
          <w:highlight w:val="none"/>
          <w:lang w:val="en-US" w:eastAsia="zh-CN"/>
        </w:rPr>
        <w:t>553000</w:t>
      </w:r>
    </w:p>
    <w:p>
      <w:pPr>
        <w:bidi w:val="0"/>
        <w:rPr>
          <w:rFonts w:hint="default" w:ascii="宋体" w:hAnsi="宋体" w:eastAsia="宋体" w:cs="宋体"/>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宋体" w:hAnsi="宋体" w:eastAsia="宋体" w:cs="宋体"/>
          <w:highlight w:val="none"/>
          <w:lang w:val="en-US" w:eastAsia="zh-CN"/>
        </w:rPr>
        <w:t>电话：</w:t>
      </w:r>
      <w:r>
        <w:rPr>
          <w:rFonts w:hint="eastAsia" w:ascii="宋体" w:hAnsi="宋体" w:eastAsia="宋体" w:cs="宋体"/>
          <w:highlight w:val="none"/>
          <w:lang w:val="en-US" w:eastAsia="zh-CN"/>
        </w:rPr>
        <w:t>0858-8192727</w:t>
      </w:r>
    </w:p>
    <w:p>
      <w:pPr>
        <w:spacing w:line="480" w:lineRule="auto"/>
        <w:outlineLvl w:val="0"/>
        <w:rPr>
          <w:b/>
          <w:sz w:val="44"/>
          <w:szCs w:val="44"/>
          <w:highlight w:val="none"/>
        </w:rPr>
        <w:sectPr>
          <w:pgSz w:w="11906" w:h="16838"/>
          <w:pgMar w:top="1440" w:right="1800" w:bottom="1440" w:left="1800" w:header="851" w:footer="992" w:gutter="0"/>
          <w:pgNumType w:fmt="upperRoman"/>
          <w:cols w:space="425" w:num="1"/>
          <w:docGrid w:type="lines" w:linePitch="312" w:charSpace="0"/>
        </w:sectPr>
      </w:pPr>
    </w:p>
    <w:sdt>
      <w:sdtPr>
        <w:rPr>
          <w:highlight w:val="none"/>
          <w:lang w:val="zh-CN"/>
        </w:rPr>
        <w:id w:val="-1297520733"/>
        <w:docPartObj>
          <w:docPartGallery w:val="Table of Contents"/>
          <w:docPartUnique/>
        </w:docPartObj>
      </w:sdtPr>
      <w:sdtEndPr>
        <w:rPr>
          <w:b/>
          <w:bCs/>
          <w:color w:val="FF0000"/>
          <w:kern w:val="2"/>
          <w:sz w:val="21"/>
          <w:szCs w:val="22"/>
          <w:highlight w:val="none"/>
          <w:lang w:val="zh-CN"/>
        </w:rPr>
      </w:sdtEndPr>
      <w:sdtContent>
        <w:p>
          <w:pPr>
            <w:pStyle w:val="5"/>
            <w:bidi w:val="0"/>
            <w:jc w:val="center"/>
            <w:rPr>
              <w:highlight w:val="none"/>
            </w:rPr>
          </w:pPr>
          <w:bookmarkStart w:id="13" w:name="_Toc18750"/>
          <w:bookmarkEnd w:id="13"/>
          <w:r>
            <w:rPr>
              <w:highlight w:val="none"/>
            </w:rPr>
            <w:t>目录</w:t>
          </w:r>
          <w:r>
            <w:rPr>
              <w:color w:val="FF0000"/>
              <w:highlight w:val="none"/>
            </w:rPr>
            <w:fldChar w:fldCharType="begin"/>
          </w:r>
          <w:r>
            <w:rPr>
              <w:color w:val="FF0000"/>
              <w:highlight w:val="none"/>
            </w:rPr>
            <w:instrText xml:space="preserve"> TOC \o "1-3" \h \z \u </w:instrText>
          </w:r>
          <w:r>
            <w:rPr>
              <w:color w:val="FF0000"/>
              <w:highlight w:val="none"/>
            </w:rPr>
            <w:fldChar w:fldCharType="separate"/>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_Toc15182 </w:instrText>
          </w:r>
          <w:r>
            <w:rPr>
              <w:bCs/>
              <w:highlight w:val="none"/>
              <w:lang w:val="zh-CN"/>
            </w:rPr>
            <w:fldChar w:fldCharType="separate"/>
          </w:r>
          <w:r>
            <w:rPr>
              <w:rFonts w:hint="default"/>
              <w:highlight w:val="none"/>
            </w:rPr>
            <w:t xml:space="preserve">1. </w:t>
          </w:r>
          <w:r>
            <w:rPr>
              <w:rFonts w:hint="eastAsia"/>
              <w:highlight w:val="none"/>
            </w:rPr>
            <w:t>年度概况</w:t>
          </w:r>
          <w:r>
            <w:rPr>
              <w:highlight w:val="none"/>
            </w:rPr>
            <w:tab/>
          </w:r>
          <w:r>
            <w:rPr>
              <w:highlight w:val="none"/>
            </w:rPr>
            <w:fldChar w:fldCharType="begin"/>
          </w:r>
          <w:r>
            <w:rPr>
              <w:highlight w:val="none"/>
            </w:rPr>
            <w:instrText xml:space="preserve"> PAGEREF _Toc15182 \h </w:instrText>
          </w:r>
          <w:r>
            <w:rPr>
              <w:highlight w:val="none"/>
            </w:rPr>
            <w:fldChar w:fldCharType="separate"/>
          </w:r>
          <w:r>
            <w:rPr>
              <w:highlight w:val="none"/>
            </w:rPr>
            <w:t>1</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_Toc12340 </w:instrText>
          </w:r>
          <w:r>
            <w:rPr>
              <w:bCs/>
              <w:highlight w:val="none"/>
              <w:lang w:val="zh-CN"/>
            </w:rPr>
            <w:fldChar w:fldCharType="separate"/>
          </w:r>
          <w:r>
            <w:rPr>
              <w:rFonts w:hint="default"/>
              <w:highlight w:val="none"/>
            </w:rPr>
            <w:t xml:space="preserve">1.1. </w:t>
          </w:r>
          <w:r>
            <w:rPr>
              <w:rFonts w:hint="eastAsia"/>
              <w:highlight w:val="none"/>
            </w:rPr>
            <w:t>总体概况</w:t>
          </w:r>
          <w:r>
            <w:rPr>
              <w:highlight w:val="none"/>
            </w:rPr>
            <w:tab/>
          </w:r>
          <w:r>
            <w:rPr>
              <w:highlight w:val="none"/>
            </w:rPr>
            <w:fldChar w:fldCharType="begin"/>
          </w:r>
          <w:r>
            <w:rPr>
              <w:highlight w:val="none"/>
            </w:rPr>
            <w:instrText xml:space="preserve"> PAGEREF _Toc12340 \h </w:instrText>
          </w:r>
          <w:r>
            <w:rPr>
              <w:highlight w:val="none"/>
            </w:rPr>
            <w:fldChar w:fldCharType="separate"/>
          </w:r>
          <w:r>
            <w:rPr>
              <w:highlight w:val="none"/>
            </w:rPr>
            <w:t>1</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_Toc31158 </w:instrText>
          </w:r>
          <w:r>
            <w:rPr>
              <w:bCs/>
              <w:highlight w:val="none"/>
              <w:lang w:val="zh-CN"/>
            </w:rPr>
            <w:fldChar w:fldCharType="separate"/>
          </w:r>
          <w:r>
            <w:rPr>
              <w:rFonts w:hint="default"/>
              <w:highlight w:val="none"/>
            </w:rPr>
            <w:t xml:space="preserve">1.2. </w:t>
          </w:r>
          <w:r>
            <w:rPr>
              <w:rFonts w:hint="eastAsia"/>
              <w:highlight w:val="none"/>
            </w:rPr>
            <w:t>发展规划和战略目标</w:t>
          </w:r>
          <w:r>
            <w:rPr>
              <w:highlight w:val="none"/>
            </w:rPr>
            <w:tab/>
          </w:r>
          <w:r>
            <w:rPr>
              <w:highlight w:val="none"/>
            </w:rPr>
            <w:fldChar w:fldCharType="begin"/>
          </w:r>
          <w:r>
            <w:rPr>
              <w:highlight w:val="none"/>
            </w:rPr>
            <w:instrText xml:space="preserve"> PAGEREF _Toc31158 \h </w:instrText>
          </w:r>
          <w:r>
            <w:rPr>
              <w:highlight w:val="none"/>
            </w:rPr>
            <w:fldChar w:fldCharType="separate"/>
          </w:r>
          <w:r>
            <w:rPr>
              <w:highlight w:val="none"/>
            </w:rPr>
            <w:t>1</w:t>
          </w:r>
          <w:r>
            <w:rPr>
              <w:highlight w:val="none"/>
            </w:rPr>
            <w:fldChar w:fldCharType="end"/>
          </w:r>
          <w:r>
            <w:rPr>
              <w:bCs/>
              <w:color w:val="FF0000"/>
              <w:highlight w:val="none"/>
              <w:lang w:val="zh-CN"/>
            </w:rPr>
            <w:fldChar w:fldCharType="end"/>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_Toc18496 </w:instrText>
          </w:r>
          <w:r>
            <w:rPr>
              <w:bCs/>
              <w:highlight w:val="none"/>
              <w:lang w:val="zh-CN"/>
            </w:rPr>
            <w:fldChar w:fldCharType="separate"/>
          </w:r>
          <w:r>
            <w:rPr>
              <w:rFonts w:hint="default"/>
              <w:highlight w:val="none"/>
            </w:rPr>
            <w:t xml:space="preserve">2. </w:t>
          </w:r>
          <w:r>
            <w:rPr>
              <w:rFonts w:hint="eastAsia"/>
              <w:highlight w:val="none"/>
            </w:rPr>
            <w:t>金融机构环境相关治理结构</w:t>
          </w:r>
          <w:r>
            <w:rPr>
              <w:highlight w:val="none"/>
            </w:rPr>
            <w:tab/>
          </w:r>
          <w:r>
            <w:rPr>
              <w:highlight w:val="none"/>
            </w:rPr>
            <w:fldChar w:fldCharType="begin"/>
          </w:r>
          <w:r>
            <w:rPr>
              <w:highlight w:val="none"/>
            </w:rPr>
            <w:instrText xml:space="preserve"> PAGEREF _Toc18496 \h </w:instrText>
          </w:r>
          <w:r>
            <w:rPr>
              <w:highlight w:val="none"/>
            </w:rPr>
            <w:fldChar w:fldCharType="separate"/>
          </w:r>
          <w:r>
            <w:rPr>
              <w:highlight w:val="none"/>
            </w:rPr>
            <w:t>2</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_Toc12385 </w:instrText>
          </w:r>
          <w:r>
            <w:rPr>
              <w:bCs/>
              <w:highlight w:val="none"/>
              <w:lang w:val="zh-CN"/>
            </w:rPr>
            <w:fldChar w:fldCharType="separate"/>
          </w:r>
          <w:r>
            <w:rPr>
              <w:rFonts w:hint="default"/>
              <w:highlight w:val="none"/>
            </w:rPr>
            <w:t xml:space="preserve">2.1. </w:t>
          </w:r>
          <w:r>
            <w:rPr>
              <w:rFonts w:hint="eastAsia"/>
              <w:highlight w:val="none"/>
            </w:rPr>
            <w:t>董事会层面</w:t>
          </w:r>
          <w:r>
            <w:rPr>
              <w:highlight w:val="none"/>
            </w:rPr>
            <w:tab/>
          </w:r>
          <w:r>
            <w:rPr>
              <w:highlight w:val="none"/>
            </w:rPr>
            <w:fldChar w:fldCharType="begin"/>
          </w:r>
          <w:r>
            <w:rPr>
              <w:highlight w:val="none"/>
            </w:rPr>
            <w:instrText xml:space="preserve"> PAGEREF _Toc12385 \h </w:instrText>
          </w:r>
          <w:r>
            <w:rPr>
              <w:highlight w:val="none"/>
            </w:rPr>
            <w:fldChar w:fldCharType="separate"/>
          </w:r>
          <w:r>
            <w:rPr>
              <w:highlight w:val="none"/>
            </w:rPr>
            <w:t>2</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_Toc15859 </w:instrText>
          </w:r>
          <w:r>
            <w:rPr>
              <w:bCs/>
              <w:highlight w:val="none"/>
              <w:lang w:val="zh-CN"/>
            </w:rPr>
            <w:fldChar w:fldCharType="separate"/>
          </w:r>
          <w:r>
            <w:rPr>
              <w:rFonts w:hint="default"/>
              <w:highlight w:val="none"/>
            </w:rPr>
            <w:t xml:space="preserve">2.2. </w:t>
          </w:r>
          <w:r>
            <w:rPr>
              <w:rFonts w:hint="eastAsia"/>
              <w:highlight w:val="none"/>
            </w:rPr>
            <w:t>高级管理层层面</w:t>
          </w:r>
          <w:r>
            <w:rPr>
              <w:highlight w:val="none"/>
            </w:rPr>
            <w:tab/>
          </w:r>
          <w:r>
            <w:rPr>
              <w:highlight w:val="none"/>
            </w:rPr>
            <w:fldChar w:fldCharType="begin"/>
          </w:r>
          <w:r>
            <w:rPr>
              <w:highlight w:val="none"/>
            </w:rPr>
            <w:instrText xml:space="preserve"> PAGEREF _Toc15859 \h </w:instrText>
          </w:r>
          <w:r>
            <w:rPr>
              <w:highlight w:val="none"/>
            </w:rPr>
            <w:fldChar w:fldCharType="separate"/>
          </w:r>
          <w:r>
            <w:rPr>
              <w:highlight w:val="none"/>
            </w:rPr>
            <w:t>2</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_Toc16336 </w:instrText>
          </w:r>
          <w:r>
            <w:rPr>
              <w:bCs/>
              <w:highlight w:val="none"/>
              <w:lang w:val="zh-CN"/>
            </w:rPr>
            <w:fldChar w:fldCharType="separate"/>
          </w:r>
          <w:r>
            <w:rPr>
              <w:rFonts w:hint="default"/>
              <w:highlight w:val="none"/>
            </w:rPr>
            <w:t xml:space="preserve">2.3. </w:t>
          </w:r>
          <w:r>
            <w:rPr>
              <w:rFonts w:hint="eastAsia"/>
              <w:highlight w:val="none"/>
            </w:rPr>
            <w:t>专业部门层面</w:t>
          </w:r>
          <w:r>
            <w:rPr>
              <w:highlight w:val="none"/>
            </w:rPr>
            <w:tab/>
          </w:r>
          <w:r>
            <w:rPr>
              <w:highlight w:val="none"/>
            </w:rPr>
            <w:fldChar w:fldCharType="begin"/>
          </w:r>
          <w:r>
            <w:rPr>
              <w:highlight w:val="none"/>
            </w:rPr>
            <w:instrText xml:space="preserve"> PAGEREF _Toc16336 \h </w:instrText>
          </w:r>
          <w:r>
            <w:rPr>
              <w:highlight w:val="none"/>
            </w:rPr>
            <w:fldChar w:fldCharType="separate"/>
          </w:r>
          <w:r>
            <w:rPr>
              <w:highlight w:val="none"/>
            </w:rPr>
            <w:t>3</w:t>
          </w:r>
          <w:r>
            <w:rPr>
              <w:highlight w:val="none"/>
            </w:rPr>
            <w:fldChar w:fldCharType="end"/>
          </w:r>
          <w:r>
            <w:rPr>
              <w:bCs/>
              <w:color w:val="FF0000"/>
              <w:highlight w:val="none"/>
              <w:lang w:val="zh-CN"/>
            </w:rPr>
            <w:fldChar w:fldCharType="end"/>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_Toc1327 </w:instrText>
          </w:r>
          <w:r>
            <w:rPr>
              <w:bCs/>
              <w:highlight w:val="none"/>
              <w:lang w:val="zh-CN"/>
            </w:rPr>
            <w:fldChar w:fldCharType="separate"/>
          </w:r>
          <w:r>
            <w:rPr>
              <w:rFonts w:hint="default"/>
              <w:highlight w:val="none"/>
            </w:rPr>
            <w:t xml:space="preserve">3. </w:t>
          </w:r>
          <w:r>
            <w:rPr>
              <w:rFonts w:hint="eastAsia"/>
              <w:highlight w:val="none"/>
            </w:rPr>
            <w:t>金融机构环境相关政策制度</w:t>
          </w:r>
          <w:r>
            <w:rPr>
              <w:highlight w:val="none"/>
            </w:rPr>
            <w:tab/>
          </w:r>
          <w:r>
            <w:rPr>
              <w:highlight w:val="none"/>
            </w:rPr>
            <w:fldChar w:fldCharType="begin"/>
          </w:r>
          <w:r>
            <w:rPr>
              <w:highlight w:val="none"/>
            </w:rPr>
            <w:instrText xml:space="preserve"> PAGEREF _Toc1327 \h </w:instrText>
          </w:r>
          <w:r>
            <w:rPr>
              <w:highlight w:val="none"/>
            </w:rPr>
            <w:fldChar w:fldCharType="separate"/>
          </w:r>
          <w:r>
            <w:rPr>
              <w:highlight w:val="none"/>
            </w:rPr>
            <w:t>4</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_Toc13341 </w:instrText>
          </w:r>
          <w:r>
            <w:rPr>
              <w:bCs/>
              <w:highlight w:val="none"/>
              <w:lang w:val="zh-CN"/>
            </w:rPr>
            <w:fldChar w:fldCharType="separate"/>
          </w:r>
          <w:r>
            <w:rPr>
              <w:rFonts w:hint="default"/>
              <w:highlight w:val="none"/>
            </w:rPr>
            <w:t xml:space="preserve">3.1. </w:t>
          </w:r>
          <w:r>
            <w:rPr>
              <w:rFonts w:hint="eastAsia"/>
              <w:highlight w:val="none"/>
            </w:rPr>
            <w:t>外部政策制度</w:t>
          </w:r>
          <w:r>
            <w:rPr>
              <w:highlight w:val="none"/>
            </w:rPr>
            <w:tab/>
          </w:r>
          <w:r>
            <w:rPr>
              <w:highlight w:val="none"/>
            </w:rPr>
            <w:fldChar w:fldCharType="begin"/>
          </w:r>
          <w:r>
            <w:rPr>
              <w:highlight w:val="none"/>
            </w:rPr>
            <w:instrText xml:space="preserve"> PAGEREF _Toc13341 \h </w:instrText>
          </w:r>
          <w:r>
            <w:rPr>
              <w:highlight w:val="none"/>
            </w:rPr>
            <w:fldChar w:fldCharType="separate"/>
          </w:r>
          <w:r>
            <w:rPr>
              <w:highlight w:val="none"/>
            </w:rPr>
            <w:t>4</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_Toc19044 </w:instrText>
          </w:r>
          <w:r>
            <w:rPr>
              <w:bCs/>
              <w:highlight w:val="none"/>
              <w:lang w:val="zh-CN"/>
            </w:rPr>
            <w:fldChar w:fldCharType="separate"/>
          </w:r>
          <w:r>
            <w:rPr>
              <w:rFonts w:hint="default"/>
              <w:highlight w:val="none"/>
            </w:rPr>
            <w:t xml:space="preserve">3.2. </w:t>
          </w:r>
          <w:r>
            <w:rPr>
              <w:rFonts w:hint="eastAsia"/>
              <w:highlight w:val="none"/>
            </w:rPr>
            <w:t>内部政策制度</w:t>
          </w:r>
          <w:r>
            <w:rPr>
              <w:highlight w:val="none"/>
            </w:rPr>
            <w:tab/>
          </w:r>
          <w:r>
            <w:rPr>
              <w:highlight w:val="none"/>
            </w:rPr>
            <w:fldChar w:fldCharType="begin"/>
          </w:r>
          <w:r>
            <w:rPr>
              <w:highlight w:val="none"/>
            </w:rPr>
            <w:instrText xml:space="preserve"> PAGEREF _Toc19044 \h </w:instrText>
          </w:r>
          <w:r>
            <w:rPr>
              <w:highlight w:val="none"/>
            </w:rPr>
            <w:fldChar w:fldCharType="separate"/>
          </w:r>
          <w:r>
            <w:rPr>
              <w:highlight w:val="none"/>
            </w:rPr>
            <w:t>5</w:t>
          </w:r>
          <w:r>
            <w:rPr>
              <w:highlight w:val="none"/>
            </w:rPr>
            <w:fldChar w:fldCharType="end"/>
          </w:r>
          <w:r>
            <w:rPr>
              <w:bCs/>
              <w:color w:val="FF0000"/>
              <w:highlight w:val="none"/>
              <w:lang w:val="zh-CN"/>
            </w:rPr>
            <w:fldChar w:fldCharType="end"/>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_Toc32203 </w:instrText>
          </w:r>
          <w:r>
            <w:rPr>
              <w:bCs/>
              <w:highlight w:val="none"/>
              <w:lang w:val="zh-CN"/>
            </w:rPr>
            <w:fldChar w:fldCharType="separate"/>
          </w:r>
          <w:r>
            <w:rPr>
              <w:rFonts w:hint="default"/>
              <w:highlight w:val="none"/>
            </w:rPr>
            <w:t xml:space="preserve">4. </w:t>
          </w:r>
          <w:r>
            <w:rPr>
              <w:rFonts w:hint="eastAsia"/>
              <w:highlight w:val="none"/>
            </w:rPr>
            <w:t>绿色金融产品与服务创新</w:t>
          </w:r>
          <w:r>
            <w:rPr>
              <w:highlight w:val="none"/>
            </w:rPr>
            <w:tab/>
          </w:r>
          <w:r>
            <w:rPr>
              <w:highlight w:val="none"/>
            </w:rPr>
            <w:fldChar w:fldCharType="begin"/>
          </w:r>
          <w:r>
            <w:rPr>
              <w:highlight w:val="none"/>
            </w:rPr>
            <w:instrText xml:space="preserve"> PAGEREF _Toc32203 \h </w:instrText>
          </w:r>
          <w:r>
            <w:rPr>
              <w:highlight w:val="none"/>
            </w:rPr>
            <w:fldChar w:fldCharType="separate"/>
          </w:r>
          <w:r>
            <w:rPr>
              <w:highlight w:val="none"/>
            </w:rPr>
            <w:t>5</w:t>
          </w:r>
          <w:r>
            <w:rPr>
              <w:highlight w:val="none"/>
            </w:rPr>
            <w:fldChar w:fldCharType="end"/>
          </w:r>
          <w:r>
            <w:rPr>
              <w:bCs/>
              <w:color w:val="FF0000"/>
              <w:highlight w:val="none"/>
              <w:lang w:val="zh-CN"/>
            </w:rPr>
            <w:fldChar w:fldCharType="end"/>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_Toc8848 </w:instrText>
          </w:r>
          <w:r>
            <w:rPr>
              <w:bCs/>
              <w:highlight w:val="none"/>
              <w:lang w:val="zh-CN"/>
            </w:rPr>
            <w:fldChar w:fldCharType="separate"/>
          </w:r>
          <w:r>
            <w:rPr>
              <w:rFonts w:hint="default"/>
              <w:highlight w:val="none"/>
            </w:rPr>
            <w:t xml:space="preserve">5. </w:t>
          </w:r>
          <w:r>
            <w:rPr>
              <w:rFonts w:hint="eastAsia"/>
              <w:highlight w:val="none"/>
            </w:rPr>
            <w:t>金融机构环境风险管理流程</w:t>
          </w:r>
          <w:r>
            <w:rPr>
              <w:highlight w:val="none"/>
            </w:rPr>
            <w:tab/>
          </w:r>
          <w:r>
            <w:rPr>
              <w:highlight w:val="none"/>
            </w:rPr>
            <w:fldChar w:fldCharType="begin"/>
          </w:r>
          <w:r>
            <w:rPr>
              <w:highlight w:val="none"/>
            </w:rPr>
            <w:instrText xml:space="preserve"> PAGEREF _Toc8848 \h </w:instrText>
          </w:r>
          <w:r>
            <w:rPr>
              <w:highlight w:val="none"/>
            </w:rPr>
            <w:fldChar w:fldCharType="separate"/>
          </w:r>
          <w:r>
            <w:rPr>
              <w:highlight w:val="none"/>
            </w:rPr>
            <w:t>6</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_Toc21060 </w:instrText>
          </w:r>
          <w:r>
            <w:rPr>
              <w:bCs/>
              <w:highlight w:val="none"/>
              <w:lang w:val="zh-CN"/>
            </w:rPr>
            <w:fldChar w:fldCharType="separate"/>
          </w:r>
          <w:r>
            <w:rPr>
              <w:rFonts w:hint="default"/>
              <w:highlight w:val="none"/>
            </w:rPr>
            <w:t xml:space="preserve">5.1. </w:t>
          </w:r>
          <w:r>
            <w:rPr>
              <w:rFonts w:hint="eastAsia"/>
              <w:highlight w:val="none"/>
            </w:rPr>
            <w:t>环境风险影响</w:t>
          </w:r>
          <w:r>
            <w:rPr>
              <w:highlight w:val="none"/>
            </w:rPr>
            <w:tab/>
          </w:r>
          <w:r>
            <w:rPr>
              <w:highlight w:val="none"/>
            </w:rPr>
            <w:fldChar w:fldCharType="begin"/>
          </w:r>
          <w:r>
            <w:rPr>
              <w:highlight w:val="none"/>
            </w:rPr>
            <w:instrText xml:space="preserve"> PAGEREF _Toc21060 \h </w:instrText>
          </w:r>
          <w:r>
            <w:rPr>
              <w:highlight w:val="none"/>
            </w:rPr>
            <w:fldChar w:fldCharType="separate"/>
          </w:r>
          <w:r>
            <w:rPr>
              <w:highlight w:val="none"/>
            </w:rPr>
            <w:t>6</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_Toc6225 </w:instrText>
          </w:r>
          <w:r>
            <w:rPr>
              <w:bCs/>
              <w:highlight w:val="none"/>
              <w:lang w:val="zh-CN"/>
            </w:rPr>
            <w:fldChar w:fldCharType="separate"/>
          </w:r>
          <w:r>
            <w:rPr>
              <w:rFonts w:hint="default"/>
              <w:highlight w:val="none"/>
            </w:rPr>
            <w:t xml:space="preserve">5.2. </w:t>
          </w:r>
          <w:r>
            <w:rPr>
              <w:rFonts w:hint="eastAsia"/>
              <w:highlight w:val="none"/>
            </w:rPr>
            <w:t>环境风险管理及流程</w:t>
          </w:r>
          <w:r>
            <w:rPr>
              <w:highlight w:val="none"/>
            </w:rPr>
            <w:tab/>
          </w:r>
          <w:r>
            <w:rPr>
              <w:highlight w:val="none"/>
            </w:rPr>
            <w:fldChar w:fldCharType="begin"/>
          </w:r>
          <w:r>
            <w:rPr>
              <w:highlight w:val="none"/>
            </w:rPr>
            <w:instrText xml:space="preserve"> PAGEREF _Toc6225 \h </w:instrText>
          </w:r>
          <w:r>
            <w:rPr>
              <w:highlight w:val="none"/>
            </w:rPr>
            <w:fldChar w:fldCharType="separate"/>
          </w:r>
          <w:r>
            <w:rPr>
              <w:highlight w:val="none"/>
            </w:rPr>
            <w:t>7</w:t>
          </w:r>
          <w:r>
            <w:rPr>
              <w:highlight w:val="none"/>
            </w:rPr>
            <w:fldChar w:fldCharType="end"/>
          </w:r>
          <w:r>
            <w:rPr>
              <w:bCs/>
              <w:color w:val="FF0000"/>
              <w:highlight w:val="none"/>
              <w:lang w:val="zh-CN"/>
            </w:rPr>
            <w:fldChar w:fldCharType="end"/>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_Toc31004 </w:instrText>
          </w:r>
          <w:r>
            <w:rPr>
              <w:bCs/>
              <w:highlight w:val="none"/>
              <w:lang w:val="zh-CN"/>
            </w:rPr>
            <w:fldChar w:fldCharType="separate"/>
          </w:r>
          <w:r>
            <w:rPr>
              <w:rFonts w:hint="default"/>
              <w:highlight w:val="none"/>
            </w:rPr>
            <w:t xml:space="preserve">6. </w:t>
          </w:r>
          <w:r>
            <w:rPr>
              <w:rFonts w:hint="eastAsia"/>
              <w:highlight w:val="none"/>
            </w:rPr>
            <w:t>环境因素对金融机构的影响</w:t>
          </w:r>
          <w:r>
            <w:rPr>
              <w:highlight w:val="none"/>
            </w:rPr>
            <w:tab/>
          </w:r>
          <w:r>
            <w:rPr>
              <w:highlight w:val="none"/>
            </w:rPr>
            <w:fldChar w:fldCharType="begin"/>
          </w:r>
          <w:r>
            <w:rPr>
              <w:highlight w:val="none"/>
            </w:rPr>
            <w:instrText xml:space="preserve"> PAGEREF _Toc31004 \h </w:instrText>
          </w:r>
          <w:r>
            <w:rPr>
              <w:highlight w:val="none"/>
            </w:rPr>
            <w:fldChar w:fldCharType="separate"/>
          </w:r>
          <w:r>
            <w:rPr>
              <w:highlight w:val="none"/>
            </w:rPr>
            <w:t>9</w:t>
          </w:r>
          <w:r>
            <w:rPr>
              <w:highlight w:val="none"/>
            </w:rPr>
            <w:fldChar w:fldCharType="end"/>
          </w:r>
          <w:r>
            <w:rPr>
              <w:bCs/>
              <w:color w:val="FF0000"/>
              <w:highlight w:val="none"/>
              <w:lang w:val="zh-CN"/>
            </w:rPr>
            <w:fldChar w:fldCharType="end"/>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_Toc26262 </w:instrText>
          </w:r>
          <w:r>
            <w:rPr>
              <w:bCs/>
              <w:highlight w:val="none"/>
              <w:lang w:val="zh-CN"/>
            </w:rPr>
            <w:fldChar w:fldCharType="separate"/>
          </w:r>
          <w:r>
            <w:rPr>
              <w:rFonts w:hint="default"/>
              <w:highlight w:val="none"/>
            </w:rPr>
            <w:t xml:space="preserve">7. </w:t>
          </w:r>
          <w:r>
            <w:rPr>
              <w:rFonts w:hint="eastAsia"/>
              <w:highlight w:val="none"/>
            </w:rPr>
            <w:t>金融机构投融资活动的环境影响</w:t>
          </w:r>
          <w:r>
            <w:rPr>
              <w:highlight w:val="none"/>
            </w:rPr>
            <w:tab/>
          </w:r>
          <w:r>
            <w:rPr>
              <w:highlight w:val="none"/>
            </w:rPr>
            <w:fldChar w:fldCharType="begin"/>
          </w:r>
          <w:r>
            <w:rPr>
              <w:highlight w:val="none"/>
            </w:rPr>
            <w:instrText xml:space="preserve"> PAGEREF _Toc26262 \h </w:instrText>
          </w:r>
          <w:r>
            <w:rPr>
              <w:highlight w:val="none"/>
            </w:rPr>
            <w:fldChar w:fldCharType="separate"/>
          </w:r>
          <w:r>
            <w:rPr>
              <w:highlight w:val="none"/>
            </w:rPr>
            <w:t>9</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_Toc13454 </w:instrText>
          </w:r>
          <w:r>
            <w:rPr>
              <w:bCs/>
              <w:highlight w:val="none"/>
              <w:lang w:val="zh-CN"/>
            </w:rPr>
            <w:fldChar w:fldCharType="separate"/>
          </w:r>
          <w:r>
            <w:rPr>
              <w:rFonts w:hint="eastAsia"/>
              <w:highlight w:val="none"/>
            </w:rPr>
            <w:t>7.1 整体投融资情况及其环境影响</w:t>
          </w:r>
          <w:r>
            <w:rPr>
              <w:highlight w:val="none"/>
            </w:rPr>
            <w:tab/>
          </w:r>
          <w:r>
            <w:rPr>
              <w:highlight w:val="none"/>
            </w:rPr>
            <w:fldChar w:fldCharType="begin"/>
          </w:r>
          <w:r>
            <w:rPr>
              <w:highlight w:val="none"/>
            </w:rPr>
            <w:instrText xml:space="preserve"> PAGEREF _Toc13454 \h </w:instrText>
          </w:r>
          <w:r>
            <w:rPr>
              <w:highlight w:val="none"/>
            </w:rPr>
            <w:fldChar w:fldCharType="separate"/>
          </w:r>
          <w:r>
            <w:rPr>
              <w:highlight w:val="none"/>
            </w:rPr>
            <w:t>9</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_Toc30116 </w:instrText>
          </w:r>
          <w:r>
            <w:rPr>
              <w:bCs/>
              <w:highlight w:val="none"/>
              <w:lang w:val="zh-CN"/>
            </w:rPr>
            <w:fldChar w:fldCharType="separate"/>
          </w:r>
          <w:r>
            <w:rPr>
              <w:rFonts w:hint="eastAsia"/>
              <w:highlight w:val="none"/>
            </w:rPr>
            <w:t>7.2 绿色信贷及其环境影响</w:t>
          </w:r>
          <w:r>
            <w:rPr>
              <w:highlight w:val="none"/>
            </w:rPr>
            <w:tab/>
          </w:r>
          <w:r>
            <w:rPr>
              <w:highlight w:val="none"/>
            </w:rPr>
            <w:fldChar w:fldCharType="begin"/>
          </w:r>
          <w:r>
            <w:rPr>
              <w:highlight w:val="none"/>
            </w:rPr>
            <w:instrText xml:space="preserve"> PAGEREF _Toc30116 \h </w:instrText>
          </w:r>
          <w:r>
            <w:rPr>
              <w:highlight w:val="none"/>
            </w:rPr>
            <w:fldChar w:fldCharType="separate"/>
          </w:r>
          <w:r>
            <w:rPr>
              <w:highlight w:val="none"/>
            </w:rPr>
            <w:t>12</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_Toc9941 </w:instrText>
          </w:r>
          <w:r>
            <w:rPr>
              <w:bCs/>
              <w:highlight w:val="none"/>
              <w:lang w:val="zh-CN"/>
            </w:rPr>
            <w:fldChar w:fldCharType="separate"/>
          </w:r>
          <w:r>
            <w:rPr>
              <w:rFonts w:hint="eastAsia"/>
              <w:highlight w:val="none"/>
            </w:rPr>
            <w:t>7.3 环境风险对投融资影响的测算与表达</w:t>
          </w:r>
          <w:r>
            <w:rPr>
              <w:highlight w:val="none"/>
            </w:rPr>
            <w:tab/>
          </w:r>
          <w:r>
            <w:rPr>
              <w:highlight w:val="none"/>
            </w:rPr>
            <w:fldChar w:fldCharType="begin"/>
          </w:r>
          <w:r>
            <w:rPr>
              <w:highlight w:val="none"/>
            </w:rPr>
            <w:instrText xml:space="preserve"> PAGEREF _Toc9941 \h </w:instrText>
          </w:r>
          <w:r>
            <w:rPr>
              <w:highlight w:val="none"/>
            </w:rPr>
            <w:fldChar w:fldCharType="separate"/>
          </w:r>
          <w:r>
            <w:rPr>
              <w:highlight w:val="none"/>
            </w:rPr>
            <w:t>13</w:t>
          </w:r>
          <w:r>
            <w:rPr>
              <w:highlight w:val="none"/>
            </w:rPr>
            <w:fldChar w:fldCharType="end"/>
          </w:r>
          <w:r>
            <w:rPr>
              <w:bCs/>
              <w:color w:val="FF0000"/>
              <w:highlight w:val="none"/>
              <w:lang w:val="zh-CN"/>
            </w:rPr>
            <w:fldChar w:fldCharType="end"/>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_Toc5525 </w:instrText>
          </w:r>
          <w:r>
            <w:rPr>
              <w:bCs/>
              <w:highlight w:val="none"/>
              <w:lang w:val="zh-CN"/>
            </w:rPr>
            <w:fldChar w:fldCharType="separate"/>
          </w:r>
          <w:r>
            <w:rPr>
              <w:rFonts w:hint="default"/>
              <w:highlight w:val="none"/>
            </w:rPr>
            <w:t xml:space="preserve">8. </w:t>
          </w:r>
          <w:r>
            <w:rPr>
              <w:rFonts w:hint="eastAsia"/>
              <w:highlight w:val="none"/>
            </w:rPr>
            <w:t>金融机构经营活动的环境影响</w:t>
          </w:r>
          <w:r>
            <w:rPr>
              <w:highlight w:val="none"/>
            </w:rPr>
            <w:tab/>
          </w:r>
          <w:r>
            <w:rPr>
              <w:highlight w:val="none"/>
            </w:rPr>
            <w:fldChar w:fldCharType="begin"/>
          </w:r>
          <w:r>
            <w:rPr>
              <w:highlight w:val="none"/>
            </w:rPr>
            <w:instrText xml:space="preserve"> PAGEREF _Toc5525 \h </w:instrText>
          </w:r>
          <w:r>
            <w:rPr>
              <w:highlight w:val="none"/>
            </w:rPr>
            <w:fldChar w:fldCharType="separate"/>
          </w:r>
          <w:r>
            <w:rPr>
              <w:highlight w:val="none"/>
            </w:rPr>
            <w:t>17</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_Toc25419 </w:instrText>
          </w:r>
          <w:r>
            <w:rPr>
              <w:bCs/>
              <w:highlight w:val="none"/>
              <w:lang w:val="zh-CN"/>
            </w:rPr>
            <w:fldChar w:fldCharType="separate"/>
          </w:r>
          <w:r>
            <w:rPr>
              <w:rFonts w:hint="eastAsia"/>
              <w:highlight w:val="none"/>
            </w:rPr>
            <w:t>8.1 经营活动产生的自然资源消耗和温室气体排放</w:t>
          </w:r>
          <w:r>
            <w:rPr>
              <w:highlight w:val="none"/>
            </w:rPr>
            <w:tab/>
          </w:r>
          <w:r>
            <w:rPr>
              <w:highlight w:val="none"/>
            </w:rPr>
            <w:fldChar w:fldCharType="begin"/>
          </w:r>
          <w:r>
            <w:rPr>
              <w:highlight w:val="none"/>
            </w:rPr>
            <w:instrText xml:space="preserve"> PAGEREF _Toc25419 \h </w:instrText>
          </w:r>
          <w:r>
            <w:rPr>
              <w:highlight w:val="none"/>
            </w:rPr>
            <w:fldChar w:fldCharType="separate"/>
          </w:r>
          <w:r>
            <w:rPr>
              <w:highlight w:val="none"/>
            </w:rPr>
            <w:t>17</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_Toc2426 </w:instrText>
          </w:r>
          <w:r>
            <w:rPr>
              <w:bCs/>
              <w:highlight w:val="none"/>
              <w:lang w:val="zh-CN"/>
            </w:rPr>
            <w:fldChar w:fldCharType="separate"/>
          </w:r>
          <w:r>
            <w:rPr>
              <w:rFonts w:hint="eastAsia"/>
              <w:highlight w:val="none"/>
            </w:rPr>
            <w:t>8.2 本行环保措施所产生的效果</w:t>
          </w:r>
          <w:r>
            <w:rPr>
              <w:highlight w:val="none"/>
            </w:rPr>
            <w:tab/>
          </w:r>
          <w:r>
            <w:rPr>
              <w:highlight w:val="none"/>
            </w:rPr>
            <w:fldChar w:fldCharType="begin"/>
          </w:r>
          <w:r>
            <w:rPr>
              <w:highlight w:val="none"/>
            </w:rPr>
            <w:instrText xml:space="preserve"> PAGEREF _Toc2426 \h </w:instrText>
          </w:r>
          <w:r>
            <w:rPr>
              <w:highlight w:val="none"/>
            </w:rPr>
            <w:fldChar w:fldCharType="separate"/>
          </w:r>
          <w:r>
            <w:rPr>
              <w:highlight w:val="none"/>
            </w:rPr>
            <w:t>18</w:t>
          </w:r>
          <w:r>
            <w:rPr>
              <w:highlight w:val="none"/>
            </w:rPr>
            <w:fldChar w:fldCharType="end"/>
          </w:r>
          <w:r>
            <w:rPr>
              <w:bCs/>
              <w:color w:val="FF0000"/>
              <w:highlight w:val="none"/>
              <w:lang w:val="zh-CN"/>
            </w:rPr>
            <w:fldChar w:fldCharType="end"/>
          </w:r>
        </w:p>
        <w:p>
          <w:pPr>
            <w:pStyle w:val="10"/>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_Toc4463 </w:instrText>
          </w:r>
          <w:r>
            <w:rPr>
              <w:bCs/>
              <w:highlight w:val="none"/>
              <w:lang w:val="zh-CN"/>
            </w:rPr>
            <w:fldChar w:fldCharType="separate"/>
          </w:r>
          <w:r>
            <w:rPr>
              <w:rFonts w:hint="eastAsia" w:ascii="Times New Roman" w:hAnsi="Times New Roman" w:cs="Times New Roman"/>
              <w:highlight w:val="none"/>
              <w:lang w:val="en-US" w:eastAsia="zh-CN"/>
            </w:rPr>
            <w:t xml:space="preserve">8.2.1 </w:t>
          </w:r>
          <w:r>
            <w:rPr>
              <w:rFonts w:hint="eastAsia"/>
              <w:highlight w:val="none"/>
              <w:lang w:eastAsia="zh-CN"/>
            </w:rPr>
            <w:t>积极推动绿色</w:t>
          </w:r>
          <w:r>
            <w:rPr>
              <w:rFonts w:hint="eastAsia"/>
              <w:highlight w:val="none"/>
              <w:lang w:val="en-US" w:eastAsia="zh-CN"/>
            </w:rPr>
            <w:t>运营</w:t>
          </w:r>
          <w:r>
            <w:rPr>
              <w:highlight w:val="none"/>
            </w:rPr>
            <w:tab/>
          </w:r>
          <w:r>
            <w:rPr>
              <w:highlight w:val="none"/>
            </w:rPr>
            <w:fldChar w:fldCharType="begin"/>
          </w:r>
          <w:r>
            <w:rPr>
              <w:highlight w:val="none"/>
            </w:rPr>
            <w:instrText xml:space="preserve"> PAGEREF _Toc4463 \h </w:instrText>
          </w:r>
          <w:r>
            <w:rPr>
              <w:highlight w:val="none"/>
            </w:rPr>
            <w:fldChar w:fldCharType="separate"/>
          </w:r>
          <w:r>
            <w:rPr>
              <w:highlight w:val="none"/>
            </w:rPr>
            <w:t>18</w:t>
          </w:r>
          <w:r>
            <w:rPr>
              <w:highlight w:val="none"/>
            </w:rPr>
            <w:fldChar w:fldCharType="end"/>
          </w:r>
          <w:r>
            <w:rPr>
              <w:bCs/>
              <w:color w:val="FF0000"/>
              <w:highlight w:val="none"/>
              <w:lang w:val="zh-CN"/>
            </w:rPr>
            <w:fldChar w:fldCharType="end"/>
          </w:r>
        </w:p>
        <w:p>
          <w:pPr>
            <w:pStyle w:val="10"/>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_Toc20666 </w:instrText>
          </w:r>
          <w:r>
            <w:rPr>
              <w:bCs/>
              <w:highlight w:val="none"/>
              <w:lang w:val="zh-CN"/>
            </w:rPr>
            <w:fldChar w:fldCharType="separate"/>
          </w:r>
          <w:r>
            <w:rPr>
              <w:rFonts w:hint="eastAsia" w:ascii="Times New Roman" w:hAnsi="Times New Roman" w:cs="Times New Roman"/>
              <w:highlight w:val="none"/>
              <w:lang w:val="en-US" w:eastAsia="zh-CN"/>
            </w:rPr>
            <w:t xml:space="preserve">8.2.2 </w:t>
          </w:r>
          <w:r>
            <w:rPr>
              <w:rFonts w:hint="eastAsia"/>
              <w:highlight w:val="none"/>
              <w:lang w:val="en-US" w:eastAsia="zh-CN"/>
            </w:rPr>
            <w:t>积极推行绿色办公</w:t>
          </w:r>
          <w:r>
            <w:rPr>
              <w:highlight w:val="none"/>
            </w:rPr>
            <w:tab/>
          </w:r>
          <w:r>
            <w:rPr>
              <w:highlight w:val="none"/>
            </w:rPr>
            <w:fldChar w:fldCharType="begin"/>
          </w:r>
          <w:r>
            <w:rPr>
              <w:highlight w:val="none"/>
            </w:rPr>
            <w:instrText xml:space="preserve"> PAGEREF _Toc20666 \h </w:instrText>
          </w:r>
          <w:r>
            <w:rPr>
              <w:highlight w:val="none"/>
            </w:rPr>
            <w:fldChar w:fldCharType="separate"/>
          </w:r>
          <w:r>
            <w:rPr>
              <w:highlight w:val="none"/>
            </w:rPr>
            <w:t>19</w:t>
          </w:r>
          <w:r>
            <w:rPr>
              <w:highlight w:val="none"/>
            </w:rPr>
            <w:fldChar w:fldCharType="end"/>
          </w:r>
          <w:r>
            <w:rPr>
              <w:bCs/>
              <w:color w:val="FF0000"/>
              <w:highlight w:val="none"/>
              <w:lang w:val="zh-CN"/>
            </w:rPr>
            <w:fldChar w:fldCharType="end"/>
          </w:r>
        </w:p>
        <w:p>
          <w:pPr>
            <w:pStyle w:val="10"/>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_Toc31049 </w:instrText>
          </w:r>
          <w:r>
            <w:rPr>
              <w:bCs/>
              <w:highlight w:val="none"/>
              <w:lang w:val="zh-CN"/>
            </w:rPr>
            <w:fldChar w:fldCharType="separate"/>
          </w:r>
          <w:r>
            <w:rPr>
              <w:rFonts w:hint="eastAsia" w:ascii="Times New Roman" w:hAnsi="Times New Roman" w:cs="Times New Roman"/>
              <w:highlight w:val="none"/>
              <w:lang w:val="en-US" w:eastAsia="zh-CN"/>
            </w:rPr>
            <w:t xml:space="preserve">8.2.3 </w:t>
          </w:r>
          <w:r>
            <w:rPr>
              <w:rFonts w:hint="eastAsia"/>
              <w:highlight w:val="none"/>
              <w:lang w:eastAsia="zh-CN"/>
            </w:rPr>
            <w:t>积极</w:t>
          </w:r>
          <w:r>
            <w:rPr>
              <w:rFonts w:hint="eastAsia"/>
              <w:highlight w:val="none"/>
              <w:lang w:val="en-US" w:eastAsia="zh-CN"/>
            </w:rPr>
            <w:t>倡导</w:t>
          </w:r>
          <w:r>
            <w:rPr>
              <w:rFonts w:hint="eastAsia"/>
              <w:highlight w:val="none"/>
              <w:lang w:eastAsia="zh-CN"/>
            </w:rPr>
            <w:t>绿色</w:t>
          </w:r>
          <w:r>
            <w:rPr>
              <w:rFonts w:hint="eastAsia"/>
              <w:highlight w:val="none"/>
              <w:lang w:val="en-US" w:eastAsia="zh-CN"/>
            </w:rPr>
            <w:t>出行</w:t>
          </w:r>
          <w:r>
            <w:rPr>
              <w:highlight w:val="none"/>
            </w:rPr>
            <w:tab/>
          </w:r>
          <w:r>
            <w:rPr>
              <w:highlight w:val="none"/>
            </w:rPr>
            <w:fldChar w:fldCharType="begin"/>
          </w:r>
          <w:r>
            <w:rPr>
              <w:highlight w:val="none"/>
            </w:rPr>
            <w:instrText xml:space="preserve"> PAGEREF _Toc31049 \h </w:instrText>
          </w:r>
          <w:r>
            <w:rPr>
              <w:highlight w:val="none"/>
            </w:rPr>
            <w:fldChar w:fldCharType="separate"/>
          </w:r>
          <w:r>
            <w:rPr>
              <w:highlight w:val="none"/>
            </w:rPr>
            <w:t>19</w:t>
          </w:r>
          <w:r>
            <w:rPr>
              <w:highlight w:val="none"/>
            </w:rPr>
            <w:fldChar w:fldCharType="end"/>
          </w:r>
          <w:r>
            <w:rPr>
              <w:bCs/>
              <w:color w:val="FF0000"/>
              <w:highlight w:val="none"/>
              <w:lang w:val="zh-CN"/>
            </w:rPr>
            <w:fldChar w:fldCharType="end"/>
          </w:r>
        </w:p>
        <w:p>
          <w:pPr>
            <w:pStyle w:val="10"/>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_Toc18552 </w:instrText>
          </w:r>
          <w:r>
            <w:rPr>
              <w:bCs/>
              <w:highlight w:val="none"/>
              <w:lang w:val="zh-CN"/>
            </w:rPr>
            <w:fldChar w:fldCharType="separate"/>
          </w:r>
          <w:r>
            <w:rPr>
              <w:rFonts w:hint="default" w:ascii="Times New Roman" w:hAnsi="Times New Roman" w:cs="Times New Roman"/>
              <w:highlight w:val="none"/>
              <w:lang w:val="en-US" w:eastAsia="zh-CN"/>
            </w:rPr>
            <w:t>8.</w:t>
          </w:r>
          <w:r>
            <w:rPr>
              <w:rFonts w:hint="eastAsia" w:ascii="Times New Roman" w:hAnsi="Times New Roman" w:cs="Times New Roman"/>
              <w:highlight w:val="none"/>
              <w:lang w:val="en-US" w:eastAsia="zh-CN"/>
            </w:rPr>
            <w:t>2</w:t>
          </w:r>
          <w:r>
            <w:rPr>
              <w:rFonts w:hint="default" w:ascii="Times New Roman" w:hAnsi="Times New Roman" w:cs="Times New Roman"/>
              <w:highlight w:val="none"/>
              <w:lang w:val="en-US" w:eastAsia="zh-CN"/>
            </w:rPr>
            <w:t xml:space="preserve">.4 </w:t>
          </w:r>
          <w:r>
            <w:rPr>
              <w:rFonts w:hint="eastAsia"/>
              <w:highlight w:val="none"/>
              <w:lang w:val="en-US" w:eastAsia="zh-CN"/>
            </w:rPr>
            <w:t>积极开展绿色公益活动</w:t>
          </w:r>
          <w:r>
            <w:rPr>
              <w:highlight w:val="none"/>
            </w:rPr>
            <w:tab/>
          </w:r>
          <w:r>
            <w:rPr>
              <w:highlight w:val="none"/>
            </w:rPr>
            <w:fldChar w:fldCharType="begin"/>
          </w:r>
          <w:r>
            <w:rPr>
              <w:highlight w:val="none"/>
            </w:rPr>
            <w:instrText xml:space="preserve"> PAGEREF _Toc18552 \h </w:instrText>
          </w:r>
          <w:r>
            <w:rPr>
              <w:highlight w:val="none"/>
            </w:rPr>
            <w:fldChar w:fldCharType="separate"/>
          </w:r>
          <w:r>
            <w:rPr>
              <w:highlight w:val="none"/>
            </w:rPr>
            <w:t>19</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_Toc19398 </w:instrText>
          </w:r>
          <w:r>
            <w:rPr>
              <w:bCs/>
              <w:highlight w:val="none"/>
              <w:lang w:val="zh-CN"/>
            </w:rPr>
            <w:fldChar w:fldCharType="separate"/>
          </w:r>
          <w:r>
            <w:rPr>
              <w:rFonts w:hint="eastAsia"/>
              <w:highlight w:val="none"/>
            </w:rPr>
            <w:t>8.</w:t>
          </w:r>
          <w:r>
            <w:rPr>
              <w:rFonts w:hint="eastAsia"/>
              <w:highlight w:val="none"/>
              <w:lang w:val="en-US" w:eastAsia="zh-CN"/>
            </w:rPr>
            <w:t>3</w:t>
          </w:r>
          <w:r>
            <w:rPr>
              <w:rFonts w:hint="eastAsia"/>
              <w:highlight w:val="none"/>
            </w:rPr>
            <w:t xml:space="preserve"> 经营活动温室气体统计口径与测算方法</w:t>
          </w:r>
          <w:r>
            <w:rPr>
              <w:highlight w:val="none"/>
            </w:rPr>
            <w:tab/>
          </w:r>
          <w:r>
            <w:rPr>
              <w:highlight w:val="none"/>
            </w:rPr>
            <w:fldChar w:fldCharType="begin"/>
          </w:r>
          <w:r>
            <w:rPr>
              <w:highlight w:val="none"/>
            </w:rPr>
            <w:instrText xml:space="preserve"> PAGEREF _Toc19398 \h </w:instrText>
          </w:r>
          <w:r>
            <w:rPr>
              <w:highlight w:val="none"/>
            </w:rPr>
            <w:fldChar w:fldCharType="separate"/>
          </w:r>
          <w:r>
            <w:rPr>
              <w:highlight w:val="none"/>
            </w:rPr>
            <w:t>20</w:t>
          </w:r>
          <w:r>
            <w:rPr>
              <w:highlight w:val="none"/>
            </w:rPr>
            <w:fldChar w:fldCharType="end"/>
          </w:r>
          <w:r>
            <w:rPr>
              <w:bCs/>
              <w:color w:val="FF0000"/>
              <w:highlight w:val="none"/>
              <w:lang w:val="zh-CN"/>
            </w:rPr>
            <w:fldChar w:fldCharType="end"/>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_Toc19706 </w:instrText>
          </w:r>
          <w:r>
            <w:rPr>
              <w:bCs/>
              <w:highlight w:val="none"/>
              <w:lang w:val="zh-CN"/>
            </w:rPr>
            <w:fldChar w:fldCharType="separate"/>
          </w:r>
          <w:r>
            <w:rPr>
              <w:rFonts w:hint="default"/>
              <w:highlight w:val="none"/>
            </w:rPr>
            <w:t xml:space="preserve">9. </w:t>
          </w:r>
          <w:r>
            <w:rPr>
              <w:rFonts w:hint="eastAsia"/>
              <w:highlight w:val="none"/>
            </w:rPr>
            <w:t>数据梳理、校验及保护</w:t>
          </w:r>
          <w:r>
            <w:rPr>
              <w:highlight w:val="none"/>
            </w:rPr>
            <w:tab/>
          </w:r>
          <w:r>
            <w:rPr>
              <w:highlight w:val="none"/>
            </w:rPr>
            <w:fldChar w:fldCharType="begin"/>
          </w:r>
          <w:r>
            <w:rPr>
              <w:highlight w:val="none"/>
            </w:rPr>
            <w:instrText xml:space="preserve"> PAGEREF _Toc19706 \h </w:instrText>
          </w:r>
          <w:r>
            <w:rPr>
              <w:highlight w:val="none"/>
            </w:rPr>
            <w:fldChar w:fldCharType="separate"/>
          </w:r>
          <w:r>
            <w:rPr>
              <w:highlight w:val="none"/>
            </w:rPr>
            <w:t>20</w:t>
          </w:r>
          <w:r>
            <w:rPr>
              <w:highlight w:val="none"/>
            </w:rPr>
            <w:fldChar w:fldCharType="end"/>
          </w:r>
          <w:r>
            <w:rPr>
              <w:bCs/>
              <w:color w:val="FF0000"/>
              <w:highlight w:val="none"/>
              <w:lang w:val="zh-CN"/>
            </w:rPr>
            <w:fldChar w:fldCharType="end"/>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_Toc20216 </w:instrText>
          </w:r>
          <w:r>
            <w:rPr>
              <w:bCs/>
              <w:highlight w:val="none"/>
              <w:lang w:val="zh-CN"/>
            </w:rPr>
            <w:fldChar w:fldCharType="separate"/>
          </w:r>
          <w:r>
            <w:rPr>
              <w:rFonts w:hint="default"/>
              <w:highlight w:val="none"/>
            </w:rPr>
            <w:t xml:space="preserve">10. </w:t>
          </w:r>
          <w:r>
            <w:rPr>
              <w:rFonts w:hint="eastAsia"/>
              <w:highlight w:val="none"/>
            </w:rPr>
            <w:t>绿色金融创新及研究成果</w:t>
          </w:r>
          <w:r>
            <w:rPr>
              <w:highlight w:val="none"/>
            </w:rPr>
            <w:tab/>
          </w:r>
          <w:r>
            <w:rPr>
              <w:highlight w:val="none"/>
            </w:rPr>
            <w:fldChar w:fldCharType="begin"/>
          </w:r>
          <w:r>
            <w:rPr>
              <w:highlight w:val="none"/>
            </w:rPr>
            <w:instrText xml:space="preserve"> PAGEREF _Toc20216 \h </w:instrText>
          </w:r>
          <w:r>
            <w:rPr>
              <w:highlight w:val="none"/>
            </w:rPr>
            <w:fldChar w:fldCharType="separate"/>
          </w:r>
          <w:r>
            <w:rPr>
              <w:highlight w:val="none"/>
            </w:rPr>
            <w:t>21</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_Toc866 </w:instrText>
          </w:r>
          <w:r>
            <w:rPr>
              <w:bCs/>
              <w:highlight w:val="none"/>
              <w:lang w:val="zh-CN"/>
            </w:rPr>
            <w:fldChar w:fldCharType="separate"/>
          </w:r>
          <w:r>
            <w:rPr>
              <w:rFonts w:hint="default"/>
              <w:szCs w:val="28"/>
              <w:highlight w:val="none"/>
            </w:rPr>
            <w:t xml:space="preserve">10.1. </w:t>
          </w:r>
          <w:r>
            <w:rPr>
              <w:rFonts w:hint="eastAsia"/>
              <w:highlight w:val="none"/>
            </w:rPr>
            <w:t>绿色金融创新实践案例</w:t>
          </w:r>
          <w:r>
            <w:rPr>
              <w:highlight w:val="none"/>
            </w:rPr>
            <w:tab/>
          </w:r>
          <w:r>
            <w:rPr>
              <w:highlight w:val="none"/>
            </w:rPr>
            <w:fldChar w:fldCharType="begin"/>
          </w:r>
          <w:r>
            <w:rPr>
              <w:highlight w:val="none"/>
            </w:rPr>
            <w:instrText xml:space="preserve"> PAGEREF _Toc866 \h </w:instrText>
          </w:r>
          <w:r>
            <w:rPr>
              <w:highlight w:val="none"/>
            </w:rPr>
            <w:fldChar w:fldCharType="separate"/>
          </w:r>
          <w:r>
            <w:rPr>
              <w:highlight w:val="none"/>
            </w:rPr>
            <w:t>21</w:t>
          </w:r>
          <w:r>
            <w:rPr>
              <w:highlight w:val="none"/>
            </w:rPr>
            <w:fldChar w:fldCharType="end"/>
          </w:r>
          <w:r>
            <w:rPr>
              <w:bCs/>
              <w:color w:val="FF0000"/>
              <w:highlight w:val="none"/>
              <w:lang w:val="zh-CN"/>
            </w:rPr>
            <w:fldChar w:fldCharType="end"/>
          </w:r>
        </w:p>
        <w:p>
          <w:pPr>
            <w:pStyle w:val="16"/>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_Toc5477 </w:instrText>
          </w:r>
          <w:r>
            <w:rPr>
              <w:bCs/>
              <w:highlight w:val="none"/>
              <w:lang w:val="zh-CN"/>
            </w:rPr>
            <w:fldChar w:fldCharType="separate"/>
          </w:r>
          <w:r>
            <w:rPr>
              <w:rFonts w:hint="default"/>
              <w:highlight w:val="none"/>
            </w:rPr>
            <w:t xml:space="preserve">10.2. </w:t>
          </w:r>
          <w:r>
            <w:rPr>
              <w:rFonts w:hint="eastAsia"/>
              <w:highlight w:val="none"/>
            </w:rPr>
            <w:t>未来展望</w:t>
          </w:r>
          <w:r>
            <w:rPr>
              <w:highlight w:val="none"/>
            </w:rPr>
            <w:tab/>
          </w:r>
          <w:r>
            <w:rPr>
              <w:highlight w:val="none"/>
            </w:rPr>
            <w:fldChar w:fldCharType="begin"/>
          </w:r>
          <w:r>
            <w:rPr>
              <w:highlight w:val="none"/>
            </w:rPr>
            <w:instrText xml:space="preserve"> PAGEREF _Toc5477 \h </w:instrText>
          </w:r>
          <w:r>
            <w:rPr>
              <w:highlight w:val="none"/>
            </w:rPr>
            <w:fldChar w:fldCharType="separate"/>
          </w:r>
          <w:r>
            <w:rPr>
              <w:highlight w:val="none"/>
            </w:rPr>
            <w:t>21</w:t>
          </w:r>
          <w:r>
            <w:rPr>
              <w:highlight w:val="none"/>
            </w:rPr>
            <w:fldChar w:fldCharType="end"/>
          </w:r>
          <w:r>
            <w:rPr>
              <w:bCs/>
              <w:color w:val="FF0000"/>
              <w:highlight w:val="none"/>
              <w:lang w:val="zh-CN"/>
            </w:rPr>
            <w:fldChar w:fldCharType="end"/>
          </w:r>
        </w:p>
        <w:p>
          <w:pPr>
            <w:pStyle w:val="14"/>
            <w:tabs>
              <w:tab w:val="right" w:leader="dot" w:pos="8306"/>
            </w:tabs>
            <w:rPr>
              <w:highlight w:val="none"/>
            </w:rPr>
          </w:pPr>
          <w:r>
            <w:rPr>
              <w:bCs/>
              <w:color w:val="FF0000"/>
              <w:highlight w:val="none"/>
              <w:lang w:val="zh-CN"/>
            </w:rPr>
            <w:fldChar w:fldCharType="begin"/>
          </w:r>
          <w:r>
            <w:rPr>
              <w:bCs/>
              <w:highlight w:val="none"/>
              <w:lang w:val="zh-CN"/>
            </w:rPr>
            <w:instrText xml:space="preserve"> HYPERLINK \l _Toc30280 </w:instrText>
          </w:r>
          <w:r>
            <w:rPr>
              <w:bCs/>
              <w:highlight w:val="none"/>
              <w:lang w:val="zh-CN"/>
            </w:rPr>
            <w:fldChar w:fldCharType="separate"/>
          </w:r>
          <w:r>
            <w:rPr>
              <w:rFonts w:hint="default"/>
              <w:highlight w:val="none"/>
            </w:rPr>
            <w:t xml:space="preserve">11. </w:t>
          </w:r>
          <w:r>
            <w:rPr>
              <w:rFonts w:hint="eastAsia"/>
              <w:highlight w:val="none"/>
            </w:rPr>
            <w:t>荣誉与获奖</w:t>
          </w:r>
          <w:r>
            <w:rPr>
              <w:highlight w:val="none"/>
            </w:rPr>
            <w:tab/>
          </w:r>
          <w:r>
            <w:rPr>
              <w:highlight w:val="none"/>
            </w:rPr>
            <w:fldChar w:fldCharType="begin"/>
          </w:r>
          <w:r>
            <w:rPr>
              <w:highlight w:val="none"/>
            </w:rPr>
            <w:instrText xml:space="preserve"> PAGEREF _Toc30280 \h </w:instrText>
          </w:r>
          <w:r>
            <w:rPr>
              <w:highlight w:val="none"/>
            </w:rPr>
            <w:fldChar w:fldCharType="separate"/>
          </w:r>
          <w:r>
            <w:rPr>
              <w:highlight w:val="none"/>
            </w:rPr>
            <w:t>22</w:t>
          </w:r>
          <w:r>
            <w:rPr>
              <w:highlight w:val="none"/>
            </w:rPr>
            <w:fldChar w:fldCharType="end"/>
          </w:r>
          <w:r>
            <w:rPr>
              <w:bCs/>
              <w:color w:val="FF0000"/>
              <w:highlight w:val="none"/>
              <w:lang w:val="zh-CN"/>
            </w:rPr>
            <w:fldChar w:fldCharType="end"/>
          </w:r>
        </w:p>
        <w:p>
          <w:pPr>
            <w:rPr>
              <w:highlight w:val="none"/>
              <w:lang w:val="en-US" w:eastAsia="zh-CN"/>
            </w:rPr>
            <w:sectPr>
              <w:footerReference r:id="rId3" w:type="default"/>
              <w:pgSz w:w="11906" w:h="16838"/>
              <w:pgMar w:top="1440" w:right="1800" w:bottom="1440" w:left="1800" w:header="851" w:footer="992" w:gutter="0"/>
              <w:pgNumType w:fmt="upperRoman" w:start="1"/>
              <w:cols w:space="425" w:num="1"/>
              <w:docGrid w:type="lines" w:linePitch="312" w:charSpace="0"/>
            </w:sectPr>
          </w:pPr>
          <w:r>
            <w:rPr>
              <w:bCs/>
              <w:color w:val="FF0000"/>
              <w:highlight w:val="none"/>
              <w:lang w:val="zh-CN"/>
            </w:rPr>
            <w:fldChar w:fldCharType="end"/>
          </w:r>
        </w:p>
      </w:sdtContent>
    </w:sdt>
    <w:p>
      <w:pPr>
        <w:pStyle w:val="5"/>
        <w:numPr>
          <w:ilvl w:val="0"/>
          <w:numId w:val="1"/>
        </w:numPr>
        <w:rPr>
          <w:highlight w:val="none"/>
        </w:rPr>
      </w:pPr>
      <w:bookmarkStart w:id="14" w:name="_Toc15182"/>
      <w:r>
        <w:rPr>
          <w:rFonts w:hint="eastAsia"/>
          <w:highlight w:val="none"/>
        </w:rPr>
        <w:t>年度概况</w:t>
      </w:r>
      <w:bookmarkEnd w:id="14"/>
    </w:p>
    <w:p>
      <w:pPr>
        <w:pStyle w:val="6"/>
        <w:numPr>
          <w:ilvl w:val="1"/>
          <w:numId w:val="1"/>
        </w:numPr>
        <w:rPr>
          <w:highlight w:val="none"/>
        </w:rPr>
      </w:pPr>
      <w:bookmarkStart w:id="15" w:name="_Toc12340"/>
      <w:r>
        <w:rPr>
          <w:rFonts w:hint="eastAsia"/>
          <w:highlight w:val="none"/>
        </w:rPr>
        <w:t>总体概况</w:t>
      </w:r>
      <w:bookmarkEnd w:id="15"/>
    </w:p>
    <w:p>
      <w:pPr>
        <w:spacing w:line="300" w:lineRule="auto"/>
        <w:ind w:firstLine="560" w:firstLineChars="200"/>
        <w:rPr>
          <w:sz w:val="28"/>
          <w:szCs w:val="28"/>
          <w:highlight w:val="none"/>
        </w:rPr>
      </w:pPr>
      <w:r>
        <w:rPr>
          <w:rFonts w:hint="eastAsia"/>
          <w:sz w:val="28"/>
          <w:szCs w:val="28"/>
          <w:highlight w:val="none"/>
          <w:lang w:eastAsia="zh-CN"/>
        </w:rPr>
        <w:t>本行</w:t>
      </w:r>
      <w:r>
        <w:rPr>
          <w:rFonts w:hint="eastAsia"/>
          <w:sz w:val="28"/>
          <w:szCs w:val="28"/>
          <w:highlight w:val="none"/>
        </w:rPr>
        <w:t>前身为</w:t>
      </w:r>
      <w:r>
        <w:rPr>
          <w:rFonts w:hint="eastAsia"/>
          <w:sz w:val="28"/>
          <w:szCs w:val="28"/>
          <w:highlight w:val="none"/>
          <w:lang w:eastAsia="zh-CN"/>
        </w:rPr>
        <w:t>六盘水市</w:t>
      </w:r>
      <w:r>
        <w:rPr>
          <w:rFonts w:hint="eastAsia"/>
          <w:sz w:val="28"/>
          <w:szCs w:val="28"/>
          <w:highlight w:val="none"/>
        </w:rPr>
        <w:t>钟山区农村信用合作联社（成立于1993年），2015年11月2日由六盘水市钟山区农村信用合作联社改制组建成立为六盘水农村商业银行股份有限公司（以下简称：</w:t>
      </w:r>
      <w:r>
        <w:rPr>
          <w:rFonts w:hint="eastAsia"/>
          <w:sz w:val="28"/>
          <w:szCs w:val="28"/>
          <w:highlight w:val="none"/>
          <w:lang w:eastAsia="zh-CN"/>
        </w:rPr>
        <w:t>本行</w:t>
      </w:r>
      <w:r>
        <w:rPr>
          <w:rFonts w:hint="eastAsia"/>
          <w:sz w:val="28"/>
          <w:szCs w:val="28"/>
          <w:highlight w:val="none"/>
        </w:rPr>
        <w:t>）。自2015年11月挂牌成立以来，</w:t>
      </w:r>
      <w:r>
        <w:rPr>
          <w:rFonts w:hint="eastAsia"/>
          <w:sz w:val="28"/>
          <w:szCs w:val="28"/>
          <w:highlight w:val="none"/>
          <w:lang w:eastAsia="zh-CN"/>
        </w:rPr>
        <w:t>本行</w:t>
      </w:r>
      <w:r>
        <w:rPr>
          <w:rFonts w:hint="eastAsia"/>
          <w:sz w:val="28"/>
          <w:szCs w:val="28"/>
          <w:highlight w:val="none"/>
        </w:rPr>
        <w:t>不断深化改革，认真落实科学发展观，以“质朴品质，精益求精”企业文化为引领，确立“品牌形象优、内控管理精、业务经营特、市场竞争力强”的经营目标，始终坚持“支农支小”市场定位，与时俱进，立足新发展阶段，贯彻新发</w:t>
      </w:r>
      <w:bookmarkStart w:id="63" w:name="_GoBack"/>
      <w:bookmarkEnd w:id="63"/>
      <w:r>
        <w:rPr>
          <w:rFonts w:hint="eastAsia"/>
          <w:sz w:val="28"/>
          <w:szCs w:val="28"/>
          <w:highlight w:val="none"/>
        </w:rPr>
        <w:t>展理念、融入新发展格局，通过积极创新融资担保方式、优化业务流程、拓宽融资业务主体等，为农户、城镇居民和中小企业提供灵活、方便、快捷、优质的金融服务。截止2021年末，</w:t>
      </w:r>
      <w:r>
        <w:rPr>
          <w:rFonts w:hint="eastAsia"/>
          <w:sz w:val="28"/>
          <w:szCs w:val="28"/>
          <w:highlight w:val="none"/>
          <w:lang w:eastAsia="zh-CN"/>
        </w:rPr>
        <w:t>本行</w:t>
      </w:r>
      <w:r>
        <w:rPr>
          <w:rFonts w:hint="eastAsia"/>
          <w:sz w:val="28"/>
          <w:szCs w:val="28"/>
          <w:highlight w:val="none"/>
        </w:rPr>
        <w:t>设有各类型后台部门13个，设立营业机构21个，社区支行3个。</w:t>
      </w:r>
    </w:p>
    <w:p>
      <w:pPr>
        <w:pStyle w:val="6"/>
        <w:numPr>
          <w:ilvl w:val="1"/>
          <w:numId w:val="1"/>
        </w:numPr>
        <w:rPr>
          <w:highlight w:val="none"/>
        </w:rPr>
      </w:pPr>
      <w:bookmarkStart w:id="16" w:name="_Toc31158"/>
      <w:r>
        <w:rPr>
          <w:rFonts w:hint="eastAsia"/>
          <w:highlight w:val="none"/>
        </w:rPr>
        <w:t>发展规划和战略目标</w:t>
      </w:r>
      <w:bookmarkEnd w:id="16"/>
    </w:p>
    <w:p>
      <w:pPr>
        <w:spacing w:line="300" w:lineRule="auto"/>
        <w:ind w:firstLine="560" w:firstLineChars="200"/>
        <w:rPr>
          <w:sz w:val="28"/>
          <w:szCs w:val="28"/>
          <w:highlight w:val="none"/>
        </w:rPr>
      </w:pPr>
      <w:r>
        <w:rPr>
          <w:rFonts w:hint="eastAsia"/>
          <w:sz w:val="28"/>
          <w:szCs w:val="28"/>
          <w:highlight w:val="none"/>
        </w:rPr>
        <w:t>自《贵州省农村信用社加强绿色金融建设助力碳达峰碳中和指导意见（2021-2025年)》下发以来</w:t>
      </w:r>
      <w:r>
        <w:rPr>
          <w:rFonts w:hint="eastAsia"/>
          <w:sz w:val="28"/>
          <w:szCs w:val="28"/>
          <w:highlight w:val="none"/>
          <w:lang w:eastAsia="zh-CN"/>
        </w:rPr>
        <w:t>本行</w:t>
      </w:r>
      <w:r>
        <w:rPr>
          <w:rFonts w:hint="eastAsia"/>
          <w:sz w:val="28"/>
          <w:szCs w:val="28"/>
          <w:highlight w:val="none"/>
        </w:rPr>
        <w:t>始终以可持续发展理念为引领，将绿色金融理念全面融入全行发展战略、自身经营与投融资活动中，不断完善绿色金融产品和服务体系，提高绿色金融资产占比，建立绿色信贷政策和绿色金融制度体系，并搭建与之相适应的营销、气候与环境风险管理体系，实现全行投融资结构的“绿色调整”。</w:t>
      </w:r>
    </w:p>
    <w:p>
      <w:pPr>
        <w:pStyle w:val="5"/>
        <w:numPr>
          <w:ilvl w:val="0"/>
          <w:numId w:val="1"/>
        </w:numPr>
        <w:rPr>
          <w:highlight w:val="none"/>
        </w:rPr>
      </w:pPr>
      <w:bookmarkStart w:id="17" w:name="_Toc18496"/>
      <w:r>
        <w:rPr>
          <w:rFonts w:hint="eastAsia"/>
          <w:highlight w:val="none"/>
        </w:rPr>
        <w:t>金融机构环境相关治理结构</w:t>
      </w:r>
      <w:bookmarkEnd w:id="17"/>
    </w:p>
    <w:p>
      <w:pPr>
        <w:ind w:firstLine="560" w:firstLineChars="200"/>
        <w:rPr>
          <w:highlight w:val="none"/>
        </w:rPr>
      </w:pPr>
      <w:r>
        <w:rPr>
          <w:rFonts w:hint="eastAsia"/>
          <w:sz w:val="28"/>
          <w:szCs w:val="28"/>
          <w:highlight w:val="none"/>
          <w:lang w:val="en-US" w:eastAsia="zh-CN"/>
        </w:rPr>
        <w:t>本行</w:t>
      </w:r>
      <w:r>
        <w:rPr>
          <w:rFonts w:hint="eastAsia"/>
          <w:sz w:val="28"/>
          <w:szCs w:val="28"/>
          <w:highlight w:val="none"/>
        </w:rPr>
        <w:t>始终致力于建立健全高水平的绿色金融治理体系，通过“三会一层”的组织架构将绿色发展理念全面贯穿融入发展规划、战略安排、政策制定、项目执行、报告审批、指标考评等各个层面，明确董事会、高级管理层和专业部门在绿色金融工作中的职责分工，切实管理自身在环境相关议题上的风险与机遇，加大绿色信贷业务推动力度，将绿色金融理念贯穿到全行日常经营中，积极推动绿色金融各项工作有效实施。</w:t>
      </w:r>
    </w:p>
    <w:p>
      <w:pPr>
        <w:pStyle w:val="6"/>
        <w:numPr>
          <w:ilvl w:val="1"/>
          <w:numId w:val="1"/>
        </w:numPr>
        <w:rPr>
          <w:highlight w:val="none"/>
        </w:rPr>
      </w:pPr>
      <w:bookmarkStart w:id="18" w:name="bookmark82"/>
      <w:bookmarkStart w:id="19" w:name="bookmark84"/>
      <w:bookmarkStart w:id="20" w:name="bookmark83"/>
      <w:r>
        <w:rPr>
          <w:rFonts w:hint="eastAsia"/>
          <w:highlight w:val="none"/>
        </w:rPr>
        <w:t xml:space="preserve"> </w:t>
      </w:r>
      <w:bookmarkEnd w:id="18"/>
      <w:bookmarkEnd w:id="19"/>
      <w:bookmarkEnd w:id="20"/>
      <w:bookmarkStart w:id="21" w:name="_Toc12385"/>
      <w:r>
        <w:rPr>
          <w:rFonts w:hint="eastAsia"/>
          <w:highlight w:val="none"/>
        </w:rPr>
        <w:t>董事会层面</w:t>
      </w:r>
      <w:bookmarkEnd w:id="21"/>
    </w:p>
    <w:p>
      <w:pPr>
        <w:spacing w:line="300" w:lineRule="auto"/>
        <w:ind w:firstLine="560" w:firstLineChars="200"/>
        <w:rPr>
          <w:rFonts w:hint="eastAsia"/>
          <w:sz w:val="28"/>
          <w:szCs w:val="32"/>
          <w:highlight w:val="none"/>
        </w:rPr>
      </w:pPr>
      <w:r>
        <w:rPr>
          <w:rFonts w:hint="eastAsia"/>
          <w:sz w:val="28"/>
          <w:szCs w:val="32"/>
          <w:highlight w:val="none"/>
        </w:rPr>
        <w:t>本行积极推进节约、环保、可持续发展等绿色金融理念与发展战略和经营管理相融合，制定绿色金融发展战略和目标，董事会审批听取高级管理层在绿色金融方面的工作报告，监督、评估本行绿色金融发展战略执行情况等。</w:t>
      </w:r>
    </w:p>
    <w:p>
      <w:pPr>
        <w:spacing w:line="300" w:lineRule="auto"/>
        <w:ind w:firstLine="560" w:firstLineChars="200"/>
        <w:rPr>
          <w:sz w:val="28"/>
          <w:szCs w:val="32"/>
          <w:highlight w:val="none"/>
        </w:rPr>
      </w:pPr>
      <w:r>
        <w:rPr>
          <w:rFonts w:hint="eastAsia"/>
          <w:sz w:val="28"/>
          <w:szCs w:val="32"/>
          <w:highlight w:val="none"/>
        </w:rPr>
        <w:t>本行将绿色金融、绿色信贷与环境等相关议题作为公司治理和经营战略的重要一环。《</w:t>
      </w:r>
      <w:r>
        <w:rPr>
          <w:rFonts w:hint="eastAsia"/>
          <w:sz w:val="28"/>
          <w:szCs w:val="32"/>
          <w:highlight w:val="none"/>
          <w:lang w:val="en-US" w:eastAsia="zh-CN"/>
        </w:rPr>
        <w:t>六盘水</w:t>
      </w:r>
      <w:r>
        <w:rPr>
          <w:rFonts w:hint="eastAsia"/>
          <w:sz w:val="28"/>
          <w:szCs w:val="32"/>
          <w:highlight w:val="none"/>
        </w:rPr>
        <w:t>农商银行“十四五”发展战略规划纲要》将绿色金融发展纳入战略规划，打造绿色金融特色业务，探索绿色金融创新模式和绿色金融特色品牌。积极倡导将绿色环保产业作为战略客群的金融服务重点，不断开展绿色金融创新。</w:t>
      </w:r>
    </w:p>
    <w:p>
      <w:pPr>
        <w:pStyle w:val="6"/>
        <w:numPr>
          <w:ilvl w:val="1"/>
          <w:numId w:val="1"/>
        </w:numPr>
        <w:rPr>
          <w:highlight w:val="none"/>
        </w:rPr>
      </w:pPr>
      <w:bookmarkStart w:id="22" w:name="_Toc15859"/>
      <w:bookmarkStart w:id="23" w:name="_Toc26337"/>
      <w:r>
        <w:rPr>
          <w:rFonts w:hint="eastAsia"/>
          <w:highlight w:val="none"/>
        </w:rPr>
        <w:t>高级管理层层面</w:t>
      </w:r>
      <w:bookmarkEnd w:id="22"/>
    </w:p>
    <w:p>
      <w:pPr>
        <w:pStyle w:val="19"/>
        <w:numPr>
          <w:ilvl w:val="0"/>
          <w:numId w:val="0"/>
        </w:numPr>
        <w:ind w:firstLine="560" w:firstLineChars="200"/>
        <w:rPr>
          <w:highlight w:val="none"/>
        </w:rPr>
      </w:pPr>
      <w:r>
        <w:rPr>
          <w:rFonts w:hint="eastAsia" w:asciiTheme="minorHAnsi" w:hAnsiTheme="minorHAnsi" w:eastAsiaTheme="minorEastAsia" w:cstheme="minorBidi"/>
          <w:kern w:val="2"/>
          <w:sz w:val="28"/>
          <w:szCs w:val="32"/>
          <w:highlight w:val="none"/>
          <w:lang w:val="en-US" w:eastAsia="zh-CN" w:bidi="ar-SA"/>
        </w:rPr>
        <w:t>高级管理层根据董事会的决定，制定绿色信贷目标，建立相应机制和流程，明确职责和权限，负责督导绿色信贷战略的有效实施，每年度向董事会报告绿色信贷发展情况。明确一名高管人员负责牵头绿色信贷工作，组织开展并归口管理绿色信贷各项工作，加快推进绿色、低碳、循环经济建设，加强环境管理</w:t>
      </w:r>
      <w:r>
        <w:rPr>
          <w:rFonts w:hint="eastAsia" w:cstheme="minorBidi"/>
          <w:kern w:val="2"/>
          <w:sz w:val="28"/>
          <w:szCs w:val="32"/>
          <w:highlight w:val="none"/>
          <w:lang w:val="en-US" w:eastAsia="zh-CN" w:bidi="ar-SA"/>
        </w:rPr>
        <w:t>。</w:t>
      </w:r>
    </w:p>
    <w:bookmarkEnd w:id="23"/>
    <w:p>
      <w:pPr>
        <w:pStyle w:val="6"/>
        <w:numPr>
          <w:ilvl w:val="1"/>
          <w:numId w:val="1"/>
        </w:numPr>
        <w:rPr>
          <w:highlight w:val="none"/>
        </w:rPr>
      </w:pPr>
      <w:bookmarkStart w:id="24" w:name="_Toc16336"/>
      <w:r>
        <w:rPr>
          <w:rFonts w:hint="eastAsia"/>
          <w:highlight w:val="none"/>
        </w:rPr>
        <w:t>专业部门层面</w:t>
      </w:r>
      <w:bookmarkEnd w:id="24"/>
    </w:p>
    <w:p>
      <w:pPr>
        <w:spacing w:line="300" w:lineRule="auto"/>
        <w:ind w:firstLine="560" w:firstLineChars="200"/>
        <w:rPr>
          <w:rFonts w:hint="eastAsia"/>
          <w:sz w:val="28"/>
          <w:szCs w:val="32"/>
          <w:highlight w:val="none"/>
        </w:rPr>
      </w:pPr>
      <w:r>
        <w:rPr>
          <w:rFonts w:hint="eastAsia"/>
          <w:sz w:val="28"/>
          <w:szCs w:val="32"/>
          <w:highlight w:val="none"/>
          <w:lang w:eastAsia="zh-CN"/>
        </w:rPr>
        <w:t>本行</w:t>
      </w:r>
      <w:r>
        <w:rPr>
          <w:rFonts w:hint="eastAsia"/>
          <w:sz w:val="28"/>
          <w:szCs w:val="32"/>
          <w:highlight w:val="none"/>
        </w:rPr>
        <w:t>将业务发展部设置为绿色信贷的业务管理部门，牵头绿色金融工作，主要负责收集绿色金融政策相关信息，贯彻落实相关绿色金融政策</w:t>
      </w:r>
      <w:r>
        <w:rPr>
          <w:rFonts w:hint="eastAsia"/>
          <w:sz w:val="28"/>
          <w:szCs w:val="32"/>
          <w:highlight w:val="none"/>
          <w:lang w:eastAsia="zh-CN"/>
        </w:rPr>
        <w:t>，</w:t>
      </w:r>
      <w:r>
        <w:rPr>
          <w:rFonts w:hint="eastAsia"/>
          <w:sz w:val="28"/>
          <w:szCs w:val="32"/>
          <w:highlight w:val="none"/>
        </w:rPr>
        <w:t>制定绿色信贷支持方向、环境和社会风险管理相关的授信政策、制度、流程，并结合业务实际对政策执行提出合理化参考建议和可行性方案</w:t>
      </w:r>
      <w:r>
        <w:rPr>
          <w:rFonts w:hint="eastAsia"/>
          <w:sz w:val="28"/>
          <w:szCs w:val="32"/>
          <w:highlight w:val="none"/>
          <w:lang w:eastAsia="zh-CN"/>
        </w:rPr>
        <w:t>，</w:t>
      </w:r>
      <w:r>
        <w:rPr>
          <w:rFonts w:hint="eastAsia"/>
          <w:sz w:val="28"/>
          <w:szCs w:val="32"/>
          <w:highlight w:val="none"/>
        </w:rPr>
        <w:t>完善绿色信贷相关业务管理制度，开发创新绿色信贷金融服务产品和方式，指导辖内网点开展绿色信贷相关工作</w:t>
      </w:r>
      <w:r>
        <w:rPr>
          <w:rFonts w:hint="eastAsia"/>
          <w:sz w:val="28"/>
          <w:szCs w:val="32"/>
          <w:highlight w:val="none"/>
          <w:lang w:eastAsia="zh-CN"/>
        </w:rPr>
        <w:t>，推进绿色信贷各项工作的有序落实</w:t>
      </w:r>
      <w:r>
        <w:rPr>
          <w:rFonts w:hint="eastAsia"/>
          <w:sz w:val="28"/>
          <w:szCs w:val="32"/>
          <w:highlight w:val="none"/>
        </w:rPr>
        <w:t>。</w:t>
      </w:r>
    </w:p>
    <w:p>
      <w:pPr>
        <w:spacing w:line="300" w:lineRule="auto"/>
        <w:ind w:firstLine="560" w:firstLineChars="200"/>
        <w:rPr>
          <w:rFonts w:hint="eastAsia"/>
          <w:sz w:val="28"/>
          <w:szCs w:val="32"/>
          <w:highlight w:val="none"/>
        </w:rPr>
      </w:pPr>
      <w:r>
        <w:rPr>
          <w:rFonts w:hint="eastAsia"/>
          <w:sz w:val="28"/>
          <w:szCs w:val="32"/>
          <w:highlight w:val="none"/>
        </w:rPr>
        <w:t>董事会办公室、</w:t>
      </w:r>
      <w:r>
        <w:rPr>
          <w:rFonts w:hint="eastAsia"/>
          <w:sz w:val="28"/>
          <w:szCs w:val="32"/>
          <w:highlight w:val="none"/>
          <w:lang w:eastAsia="zh-CN"/>
        </w:rPr>
        <w:t>行政</w:t>
      </w:r>
      <w:r>
        <w:rPr>
          <w:rFonts w:hint="eastAsia"/>
          <w:sz w:val="28"/>
          <w:szCs w:val="32"/>
          <w:highlight w:val="none"/>
        </w:rPr>
        <w:t>办公室、财务统计部、合规风险部</w:t>
      </w:r>
      <w:r>
        <w:rPr>
          <w:rFonts w:hint="eastAsia"/>
          <w:sz w:val="28"/>
          <w:szCs w:val="32"/>
          <w:highlight w:val="none"/>
          <w:lang w:eastAsia="zh-CN"/>
        </w:rPr>
        <w:t>、</w:t>
      </w:r>
      <w:r>
        <w:rPr>
          <w:rFonts w:hint="eastAsia"/>
          <w:sz w:val="28"/>
          <w:szCs w:val="32"/>
          <w:highlight w:val="none"/>
          <w:lang w:val="en-US" w:eastAsia="zh-CN"/>
        </w:rPr>
        <w:t>乡村振兴部</w:t>
      </w:r>
      <w:r>
        <w:rPr>
          <w:rFonts w:hint="eastAsia"/>
          <w:sz w:val="28"/>
          <w:szCs w:val="32"/>
          <w:highlight w:val="none"/>
        </w:rPr>
        <w:t>、信息科技部等部门及经营机构负责具体工作的执行，就绿色金融工作相关重要事项和信息及时与牵头部门沟通，在职能范围内按照绿色金融战略方向推动绿色信贷工作的开展和实施。</w:t>
      </w:r>
    </w:p>
    <w:p>
      <w:pPr>
        <w:spacing w:line="300" w:lineRule="auto"/>
        <w:ind w:firstLine="560" w:firstLineChars="200"/>
        <w:rPr>
          <w:sz w:val="28"/>
          <w:szCs w:val="32"/>
          <w:highlight w:val="none"/>
        </w:rPr>
      </w:pPr>
      <w:r>
        <w:rPr>
          <w:rFonts w:hint="eastAsia"/>
          <w:sz w:val="28"/>
          <w:szCs w:val="32"/>
          <w:highlight w:val="none"/>
        </w:rPr>
        <w:t>营业部为绿色金融业务的主要经办部门，配备绿色金融业务专属客户经理，具体负责绿色金融相关业务的经办及管理。截至2021年末，</w:t>
      </w:r>
      <w:r>
        <w:rPr>
          <w:rFonts w:hint="eastAsia"/>
          <w:sz w:val="28"/>
          <w:szCs w:val="32"/>
          <w:highlight w:val="none"/>
          <w:lang w:eastAsia="zh-CN"/>
        </w:rPr>
        <w:t>本行</w:t>
      </w:r>
      <w:r>
        <w:rPr>
          <w:rFonts w:hint="eastAsia"/>
          <w:sz w:val="28"/>
          <w:szCs w:val="32"/>
          <w:highlight w:val="none"/>
        </w:rPr>
        <w:t>绿色贷款余额1.77亿元，其中2021年新增3笔，新增金额1790万元。</w:t>
      </w:r>
    </w:p>
    <w:p>
      <w:pPr>
        <w:pStyle w:val="5"/>
        <w:numPr>
          <w:ilvl w:val="0"/>
          <w:numId w:val="1"/>
        </w:numPr>
        <w:spacing w:after="120" w:line="579" w:lineRule="auto"/>
        <w:rPr>
          <w:highlight w:val="none"/>
        </w:rPr>
      </w:pPr>
      <w:bookmarkStart w:id="25" w:name="_Toc1327"/>
      <w:r>
        <w:rPr>
          <w:rFonts w:hint="eastAsia"/>
          <w:highlight w:val="none"/>
        </w:rPr>
        <w:t>金融机构环境相关政策制度</w:t>
      </w:r>
      <w:bookmarkEnd w:id="25"/>
    </w:p>
    <w:p>
      <w:pPr>
        <w:pStyle w:val="6"/>
        <w:numPr>
          <w:ilvl w:val="1"/>
          <w:numId w:val="1"/>
        </w:numPr>
        <w:rPr>
          <w:highlight w:val="none"/>
        </w:rPr>
      </w:pPr>
      <w:bookmarkStart w:id="26" w:name="_Toc13341"/>
      <w:r>
        <w:rPr>
          <w:rFonts w:hint="eastAsia"/>
          <w:highlight w:val="none"/>
        </w:rPr>
        <w:t>外部政策制度</w:t>
      </w:r>
      <w:bookmarkEnd w:id="26"/>
    </w:p>
    <w:p>
      <w:pPr>
        <w:spacing w:line="300" w:lineRule="auto"/>
        <w:ind w:firstLine="560" w:firstLineChars="200"/>
        <w:rPr>
          <w:sz w:val="28"/>
          <w:szCs w:val="32"/>
          <w:highlight w:val="none"/>
        </w:rPr>
      </w:pPr>
      <w:r>
        <w:rPr>
          <w:rFonts w:hint="eastAsia"/>
          <w:sz w:val="28"/>
          <w:szCs w:val="32"/>
          <w:highlight w:val="none"/>
        </w:rPr>
        <w:t>绿色金融是推动我国经济高质量发展的动力，是金融业服务好碳达峰、碳中和战略部署关键路径。为响应中共中央、国务院下发的《生态文明体制改革总方案》，中国人民银行等七部委联合出台《关于构建绿色金融体系的指导意见》，强调国家构建绿色金融体系，鼓励金融机构提高金融对绿色、环保和生态领域的支持力度，大力发展以绿色信贷、绿色发展基金为代表的绿色金融产品。贵州省是国家级生态文明试验区，也是较早成立的五个绿色金融改革创新试验区之一，已出台了一系列绿色金融发展、支农惠农和乡村振兴发展的政策。</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center"/>
              <w:rPr>
                <w:b/>
                <w:bCs/>
                <w:sz w:val="28"/>
                <w:highlight w:val="none"/>
              </w:rPr>
            </w:pPr>
            <w:r>
              <w:rPr>
                <w:rFonts w:hint="eastAsia"/>
                <w:b/>
                <w:bCs/>
                <w:sz w:val="28"/>
                <w:highlight w:val="none"/>
              </w:rPr>
              <w:t>国家和贵州省绿色金融政策</w:t>
            </w:r>
          </w:p>
          <w:p>
            <w:pPr>
              <w:pStyle w:val="29"/>
              <w:numPr>
                <w:ilvl w:val="0"/>
                <w:numId w:val="2"/>
              </w:numPr>
              <w:ind w:firstLineChars="0"/>
              <w:rPr>
                <w:rFonts w:ascii="宋体" w:hAnsi="宋体"/>
                <w:sz w:val="28"/>
                <w:szCs w:val="28"/>
                <w:highlight w:val="none"/>
              </w:rPr>
            </w:pPr>
            <w:r>
              <w:rPr>
                <w:rFonts w:hint="eastAsia" w:ascii="宋体" w:hAnsi="宋体"/>
                <w:sz w:val="28"/>
                <w:szCs w:val="28"/>
                <w:highlight w:val="none"/>
              </w:rPr>
              <w:t>中共中央、国务院《生态文明体制改革总体方案》（2015）</w:t>
            </w:r>
          </w:p>
          <w:p>
            <w:pPr>
              <w:pStyle w:val="29"/>
              <w:numPr>
                <w:ilvl w:val="0"/>
                <w:numId w:val="2"/>
              </w:numPr>
              <w:ind w:firstLineChars="0"/>
              <w:rPr>
                <w:rFonts w:ascii="宋体" w:hAnsi="宋体"/>
                <w:sz w:val="28"/>
                <w:szCs w:val="28"/>
                <w:highlight w:val="none"/>
              </w:rPr>
            </w:pPr>
            <w:r>
              <w:rPr>
                <w:rFonts w:hint="eastAsia" w:ascii="宋体" w:hAnsi="宋体"/>
                <w:sz w:val="28"/>
                <w:szCs w:val="28"/>
                <w:highlight w:val="none"/>
              </w:rPr>
              <w:t>《中共中央 国务院关于做好2022年全面推进乡村振兴重点工作的意见》</w:t>
            </w:r>
          </w:p>
          <w:p>
            <w:pPr>
              <w:pStyle w:val="29"/>
              <w:numPr>
                <w:ilvl w:val="0"/>
                <w:numId w:val="2"/>
              </w:numPr>
              <w:ind w:firstLineChars="0"/>
              <w:rPr>
                <w:rFonts w:ascii="宋体" w:hAnsi="宋体"/>
                <w:sz w:val="28"/>
                <w:szCs w:val="28"/>
                <w:highlight w:val="none"/>
              </w:rPr>
            </w:pPr>
            <w:r>
              <w:rPr>
                <w:rFonts w:hint="eastAsia" w:ascii="宋体" w:hAnsi="宋体"/>
                <w:sz w:val="28"/>
                <w:szCs w:val="28"/>
                <w:highlight w:val="none"/>
              </w:rPr>
              <w:t>中国人民银行等《贵州省贵安新区建设绿色金融改革创新试验区总体方案》（银发〔2017〕156号）</w:t>
            </w:r>
          </w:p>
          <w:p>
            <w:pPr>
              <w:pStyle w:val="29"/>
              <w:numPr>
                <w:ilvl w:val="0"/>
                <w:numId w:val="2"/>
              </w:numPr>
              <w:ind w:firstLineChars="0"/>
              <w:rPr>
                <w:rFonts w:ascii="宋体" w:hAnsi="宋体"/>
                <w:sz w:val="28"/>
                <w:szCs w:val="28"/>
                <w:highlight w:val="none"/>
              </w:rPr>
            </w:pPr>
            <w:r>
              <w:rPr>
                <w:rFonts w:hint="eastAsia" w:ascii="宋体" w:hAnsi="宋体"/>
                <w:sz w:val="28"/>
                <w:szCs w:val="28"/>
                <w:highlight w:val="none"/>
              </w:rPr>
              <w:t>《气候相关财务信息披露工作组（TCFD）建议报告》</w:t>
            </w:r>
          </w:p>
          <w:p>
            <w:pPr>
              <w:pStyle w:val="29"/>
              <w:numPr>
                <w:ilvl w:val="0"/>
                <w:numId w:val="2"/>
              </w:numPr>
              <w:ind w:firstLineChars="0"/>
              <w:rPr>
                <w:rFonts w:ascii="宋体" w:hAnsi="宋体"/>
                <w:sz w:val="28"/>
                <w:szCs w:val="28"/>
                <w:highlight w:val="none"/>
              </w:rPr>
            </w:pPr>
            <w:r>
              <w:rPr>
                <w:rFonts w:hint="eastAsia" w:ascii="宋体" w:hAnsi="宋体"/>
                <w:sz w:val="28"/>
                <w:szCs w:val="28"/>
                <w:highlight w:val="none"/>
              </w:rPr>
              <w:t>中国人民银行《金融机构环境信息披露指南》（JRT 0227-2021）</w:t>
            </w:r>
          </w:p>
          <w:p>
            <w:pPr>
              <w:pStyle w:val="29"/>
              <w:numPr>
                <w:ilvl w:val="0"/>
                <w:numId w:val="2"/>
              </w:numPr>
              <w:ind w:firstLineChars="0"/>
              <w:rPr>
                <w:sz w:val="28"/>
                <w:szCs w:val="32"/>
                <w:highlight w:val="none"/>
              </w:rPr>
            </w:pPr>
            <w:r>
              <w:rPr>
                <w:rFonts w:hint="eastAsia" w:ascii="宋体" w:hAnsi="宋体"/>
                <w:sz w:val="28"/>
                <w:szCs w:val="28"/>
                <w:highlight w:val="none"/>
              </w:rPr>
              <w:t>中国人民银行《金融机构碳核算技术指南（试行）》（2021）</w:t>
            </w:r>
          </w:p>
          <w:p>
            <w:pPr>
              <w:pStyle w:val="29"/>
              <w:numPr>
                <w:ilvl w:val="0"/>
                <w:numId w:val="2"/>
              </w:numPr>
              <w:ind w:firstLineChars="0"/>
              <w:rPr>
                <w:rFonts w:ascii="宋体" w:hAnsi="宋体"/>
                <w:sz w:val="28"/>
                <w:szCs w:val="28"/>
                <w:highlight w:val="none"/>
              </w:rPr>
            </w:pPr>
            <w:r>
              <w:rPr>
                <w:rFonts w:hint="eastAsia" w:ascii="宋体" w:hAnsi="宋体"/>
                <w:sz w:val="28"/>
                <w:szCs w:val="28"/>
                <w:highlight w:val="none"/>
              </w:rPr>
              <w:t>中国人民银行贵阳中心支行办公室《关于开展2021年金融机构环境信息披露试点工作的通知》（2021）</w:t>
            </w:r>
          </w:p>
          <w:p>
            <w:pPr>
              <w:pStyle w:val="29"/>
              <w:numPr>
                <w:ilvl w:val="0"/>
                <w:numId w:val="2"/>
              </w:numPr>
              <w:ind w:firstLineChars="0"/>
              <w:rPr>
                <w:sz w:val="28"/>
                <w:szCs w:val="32"/>
                <w:highlight w:val="none"/>
              </w:rPr>
            </w:pPr>
            <w:r>
              <w:rPr>
                <w:rFonts w:hint="eastAsia" w:ascii="宋体" w:hAnsi="宋体"/>
                <w:sz w:val="28"/>
                <w:szCs w:val="28"/>
                <w:highlight w:val="none"/>
              </w:rPr>
              <w:t>《省人民政府办公厅关于加快绿色金融发展的实施意见》（黔府办发〔2016〕44号）</w:t>
            </w:r>
          </w:p>
        </w:tc>
      </w:tr>
    </w:tbl>
    <w:p>
      <w:pPr>
        <w:pStyle w:val="6"/>
        <w:numPr>
          <w:ilvl w:val="1"/>
          <w:numId w:val="1"/>
        </w:numPr>
        <w:rPr>
          <w:highlight w:val="none"/>
        </w:rPr>
      </w:pPr>
      <w:bookmarkStart w:id="27" w:name="_Toc19044"/>
      <w:r>
        <w:rPr>
          <w:rFonts w:hint="eastAsia"/>
          <w:highlight w:val="none"/>
        </w:rPr>
        <w:t>内部政策制度</w:t>
      </w:r>
      <w:bookmarkEnd w:id="27"/>
    </w:p>
    <w:p>
      <w:pPr>
        <w:spacing w:line="300" w:lineRule="auto"/>
        <w:ind w:firstLine="560" w:firstLineChars="200"/>
        <w:rPr>
          <w:sz w:val="28"/>
          <w:szCs w:val="32"/>
          <w:highlight w:val="none"/>
        </w:rPr>
      </w:pPr>
      <w:r>
        <w:rPr>
          <w:rFonts w:hint="eastAsia"/>
          <w:sz w:val="28"/>
          <w:szCs w:val="32"/>
          <w:highlight w:val="none"/>
          <w:lang w:eastAsia="zh-CN"/>
        </w:rPr>
        <w:t>本行</w:t>
      </w:r>
      <w:r>
        <w:rPr>
          <w:rFonts w:hint="eastAsia"/>
          <w:sz w:val="28"/>
          <w:szCs w:val="32"/>
          <w:highlight w:val="none"/>
        </w:rPr>
        <w:t>严格遵守国家及地区相关法律法规，重视企业管治，持续优化</w:t>
      </w:r>
      <w:r>
        <w:rPr>
          <w:rFonts w:hint="eastAsia"/>
          <w:sz w:val="28"/>
          <w:szCs w:val="32"/>
          <w:highlight w:val="none"/>
          <w:lang w:eastAsia="zh-CN"/>
        </w:rPr>
        <w:t>本行</w:t>
      </w:r>
      <w:r>
        <w:rPr>
          <w:rFonts w:hint="eastAsia"/>
          <w:sz w:val="28"/>
          <w:szCs w:val="32"/>
          <w:highlight w:val="none"/>
        </w:rPr>
        <w:t>治理水平，推动公司内部环境与社会风险准入、退出机制建设、绿色金融相关制度、反洗钱等合规体系建设。同时，</w:t>
      </w:r>
      <w:r>
        <w:rPr>
          <w:rFonts w:hint="eastAsia"/>
          <w:sz w:val="28"/>
          <w:szCs w:val="32"/>
          <w:highlight w:val="none"/>
          <w:lang w:eastAsia="zh-CN"/>
        </w:rPr>
        <w:t>本行</w:t>
      </w:r>
      <w:r>
        <w:rPr>
          <w:rFonts w:hint="eastAsia"/>
          <w:sz w:val="28"/>
          <w:szCs w:val="32"/>
          <w:highlight w:val="none"/>
        </w:rPr>
        <w:t>坚持支农支小的市场定位，助力绿色经济、低碳经济、循环经济，防范环境和社会风险，发挥金融杠杆作用，优化调整信贷结构，对节能环保产业给予信贷支持，对高污染、高耗能行业限制信贷投放，对落后产能企业加快退出进度，以助推产业结构调整，促进社会可持续发展。</w:t>
      </w:r>
    </w:p>
    <w:p>
      <w:pPr>
        <w:spacing w:line="300" w:lineRule="auto"/>
        <w:ind w:firstLine="560" w:firstLineChars="200"/>
        <w:rPr>
          <w:color w:val="FF0000"/>
          <w:sz w:val="28"/>
          <w:szCs w:val="28"/>
          <w:highlight w:val="none"/>
        </w:rPr>
      </w:pPr>
      <w:r>
        <w:rPr>
          <w:rFonts w:hint="eastAsia"/>
          <w:sz w:val="28"/>
          <w:szCs w:val="32"/>
          <w:highlight w:val="none"/>
        </w:rPr>
        <w:t>按照《贵州省农村信用社绿色信贷管理指引》相关要求建立《六盘水农商银行绿色信贷管理办法》，建立与钟山区环保局、发改委等政府职能部门沟通机制，将信贷客户是否符合产业政策、环境监测标准、生态保护、安全生产等合规守法情况作为授信准入管理的重要前提条件，将客户环境和社会风险评估纳入调查、审查、审批、合同签订、资金支付、贷后管理等各个环节，实现绿色信贷全流程管理，提高银企融资对接效率，优化信贷结构，提高服务水平，提升金融服务实体经济质效。</w:t>
      </w:r>
    </w:p>
    <w:p>
      <w:pPr>
        <w:pStyle w:val="5"/>
        <w:numPr>
          <w:ilvl w:val="0"/>
          <w:numId w:val="1"/>
        </w:numPr>
        <w:spacing w:after="120" w:line="579" w:lineRule="auto"/>
        <w:rPr>
          <w:highlight w:val="none"/>
        </w:rPr>
      </w:pPr>
      <w:bookmarkStart w:id="28" w:name="_Toc32203"/>
      <w:r>
        <w:rPr>
          <w:rFonts w:hint="eastAsia"/>
          <w:highlight w:val="none"/>
        </w:rPr>
        <w:t>绿色金融产品与服务创新</w:t>
      </w:r>
      <w:bookmarkEnd w:id="28"/>
    </w:p>
    <w:p>
      <w:pPr>
        <w:ind w:firstLine="560" w:firstLineChars="200"/>
        <w:rPr>
          <w:highlight w:val="none"/>
        </w:rPr>
      </w:pPr>
      <w:r>
        <w:rPr>
          <w:rFonts w:hint="eastAsia" w:ascii="宋体" w:hAnsi="宋体" w:eastAsia="宋体" w:cs="宋体"/>
          <w:sz w:val="28"/>
          <w:szCs w:val="28"/>
          <w:highlight w:val="none"/>
          <w:lang w:eastAsia="zh-CN"/>
        </w:rPr>
        <w:t>本行</w:t>
      </w:r>
      <w:r>
        <w:rPr>
          <w:rFonts w:hint="eastAsia" w:ascii="宋体" w:hAnsi="宋体" w:eastAsia="宋体" w:cs="宋体"/>
          <w:sz w:val="28"/>
          <w:szCs w:val="28"/>
          <w:highlight w:val="none"/>
        </w:rPr>
        <w:t>高度重视乡村振兴战略的重要意义，为落实乡村振兴，践行“支农支小”初心使命，以金融活水浇灌美</w:t>
      </w:r>
      <w:r>
        <w:rPr>
          <w:rFonts w:hint="eastAsia" w:ascii="宋体" w:hAnsi="宋体" w:eastAsia="宋体" w:cs="宋体"/>
          <w:sz w:val="28"/>
          <w:szCs w:val="28"/>
          <w:highlight w:val="none"/>
        </w:rPr>
        <w:t>丽乡村，落实“三农”</w:t>
      </w:r>
      <w:r>
        <w:rPr>
          <w:rFonts w:hint="eastAsia" w:ascii="宋体" w:hAnsi="宋体" w:eastAsia="宋体" w:cs="宋体"/>
          <w:sz w:val="28"/>
          <w:szCs w:val="28"/>
          <w:highlight w:val="none"/>
        </w:rPr>
        <w:t>资金支持当地产业发展。目前</w:t>
      </w:r>
      <w:r>
        <w:rPr>
          <w:rFonts w:hint="eastAsia" w:ascii="宋体" w:hAnsi="宋体" w:eastAsia="宋体" w:cs="宋体"/>
          <w:sz w:val="28"/>
          <w:szCs w:val="28"/>
          <w:highlight w:val="none"/>
          <w:lang w:eastAsia="zh-CN"/>
        </w:rPr>
        <w:t>本行</w:t>
      </w:r>
      <w:r>
        <w:rPr>
          <w:rFonts w:hint="eastAsia" w:ascii="宋体" w:hAnsi="宋体" w:eastAsia="宋体" w:cs="宋体"/>
          <w:sz w:val="28"/>
          <w:szCs w:val="28"/>
          <w:highlight w:val="none"/>
        </w:rPr>
        <w:t>暂未针对绿色信贷推出专门的绿色金融产品，现有绿色贷款均系用原有信贷产品对应发放，现阶段正结合</w:t>
      </w:r>
      <w:r>
        <w:rPr>
          <w:rFonts w:hint="eastAsia" w:ascii="宋体" w:hAnsi="宋体" w:eastAsia="宋体" w:cs="宋体"/>
          <w:sz w:val="28"/>
          <w:szCs w:val="28"/>
          <w:highlight w:val="none"/>
          <w:lang w:eastAsia="zh-CN"/>
        </w:rPr>
        <w:t>本行</w:t>
      </w:r>
      <w:r>
        <w:rPr>
          <w:rFonts w:hint="eastAsia" w:ascii="宋体" w:hAnsi="宋体" w:eastAsia="宋体" w:cs="宋体"/>
          <w:sz w:val="28"/>
          <w:szCs w:val="28"/>
          <w:highlight w:val="none"/>
        </w:rPr>
        <w:t>实际，不断优化绿色信贷政策，积极探索产品服务于绿色产业发展深度融合，逐步建立健全绿色金融服务体系，尝试创新担保模式，以产品和服务创新推进绿色信贷发展，坚持绿色运营，践行绿色公益，努力实现自身与环境的协调发展，共建绿色生态家园。</w:t>
      </w:r>
    </w:p>
    <w:p>
      <w:pPr>
        <w:pStyle w:val="5"/>
        <w:numPr>
          <w:ilvl w:val="0"/>
          <w:numId w:val="1"/>
        </w:numPr>
        <w:spacing w:after="120" w:line="579" w:lineRule="auto"/>
        <w:rPr>
          <w:highlight w:val="none"/>
        </w:rPr>
      </w:pPr>
      <w:bookmarkStart w:id="29" w:name="_Toc8848"/>
      <w:r>
        <w:rPr>
          <w:rFonts w:hint="eastAsia"/>
          <w:highlight w:val="none"/>
        </w:rPr>
        <w:t>金融机构环境风险管理流程</w:t>
      </w:r>
      <w:bookmarkEnd w:id="29"/>
    </w:p>
    <w:p>
      <w:pPr>
        <w:pStyle w:val="6"/>
        <w:numPr>
          <w:ilvl w:val="1"/>
          <w:numId w:val="1"/>
        </w:numPr>
        <w:rPr>
          <w:highlight w:val="none"/>
        </w:rPr>
      </w:pPr>
      <w:bookmarkStart w:id="30" w:name="_Toc21060"/>
      <w:r>
        <w:rPr>
          <w:rFonts w:hint="eastAsia"/>
          <w:highlight w:val="none"/>
        </w:rPr>
        <w:t>环境风险影响</w:t>
      </w:r>
      <w:bookmarkEnd w:id="30"/>
    </w:p>
    <w:p>
      <w:pPr>
        <w:ind w:firstLine="560" w:firstLineChars="200"/>
        <w:rPr>
          <w:rFonts w:ascii="宋体" w:hAnsi="宋体" w:eastAsia="宋体" w:cs="宋体"/>
          <w:bCs/>
          <w:sz w:val="28"/>
          <w:szCs w:val="28"/>
          <w:highlight w:val="none"/>
        </w:rPr>
      </w:pPr>
      <w:r>
        <w:rPr>
          <w:rFonts w:hint="eastAsia" w:ascii="宋体" w:hAnsi="宋体" w:eastAsia="宋体" w:cs="宋体"/>
          <w:bCs/>
          <w:sz w:val="28"/>
          <w:szCs w:val="28"/>
          <w:highlight w:val="none"/>
        </w:rPr>
        <w:t>2016年以来，我国发布了一系列绿色金融相关政策，并在2020年进一步发布碳达峰、碳中和的“3060”目标，显示出我国坚持走绿色可持续发展路线的坚定决心。金融业是绿色可持续发展的主要推动力之一，作为金融机构，</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始终重视环境、气候相关风险对</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业务、战略和财务规划带来的实际和潜在影响，结合</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当前发展情况，我们识别出公司在环境、气候等方面可能面临的风险有以下几个方面：一是法律风险，我国在环境领域制定有《中华人民共和国环境保护法》《中华人民共和国节约能源法》《中华人民共和国固体废物污染环境防治法》等法律法规，如</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未能严格遵守这些法律法规，可能会面临诉讼风险，并因其判决对应的罚款及整改等导致</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成本增加；二是市场风险，随着绿色发展路线的持续推进，市场对绿色发展的认知程度不断加深，消费者将更倾向于选择</w:t>
      </w:r>
      <w:r>
        <w:rPr>
          <w:rFonts w:hint="eastAsia" w:ascii="宋体" w:hAnsi="宋体" w:eastAsia="宋体" w:cs="宋体"/>
          <w:bCs/>
          <w:sz w:val="28"/>
          <w:szCs w:val="28"/>
          <w:highlight w:val="none"/>
        </w:rPr>
        <w:t>社会和环境价值更高的产品和服务，如</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未能及时研发和匹配优质的绿色金融产品和服务，将会面临客户流失的风险；三是声誉风险，随着绿色环保等议题逐步被更多公众认知，</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或</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客户在运营过程中对气候和环境造成破坏，可能会面临因此产生的声誉风险；四是自然风险，随着全球气温升高对地方气候影响程度逐年增加，冰雹、洪水、泥石流等极端气候灾害事件日益频繁，可能会对</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网点、设施及</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客户的生产运营造成严重破坏，进而影响</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金融业务的连续性和稳定性，并可能在一定程度上影响</w:t>
      </w: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的贷款质量及利润。</w:t>
      </w:r>
    </w:p>
    <w:p>
      <w:pPr>
        <w:pStyle w:val="6"/>
        <w:numPr>
          <w:ilvl w:val="1"/>
          <w:numId w:val="1"/>
        </w:numPr>
        <w:rPr>
          <w:highlight w:val="none"/>
        </w:rPr>
      </w:pPr>
      <w:bookmarkStart w:id="31" w:name="_Toc6225"/>
      <w:bookmarkStart w:id="32" w:name="bookmark170"/>
      <w:bookmarkStart w:id="33" w:name="bookmark171"/>
      <w:bookmarkStart w:id="34" w:name="bookmark172"/>
      <w:r>
        <w:rPr>
          <w:rFonts w:hint="eastAsia"/>
          <w:highlight w:val="none"/>
        </w:rPr>
        <w:t>环境风险管理及流程</w:t>
      </w:r>
      <w:bookmarkEnd w:id="31"/>
    </w:p>
    <w:p>
      <w:pPr>
        <w:ind w:firstLine="560" w:firstLineChars="200"/>
        <w:rPr>
          <w:rFonts w:ascii="宋体" w:hAnsi="宋体" w:eastAsia="宋体" w:cs="宋体"/>
          <w:bCs/>
          <w:sz w:val="28"/>
          <w:szCs w:val="28"/>
          <w:highlight w:val="none"/>
        </w:rPr>
      </w:pP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严格执行环境与社会风险合规底线，切实加强环境和社会风险全流程管理，不断建立健全环境、社会和治理风险管理体系，将环境、社会、治理要求纳入授信全流程，重点关注能耗、污染、土地、职业与健康、安全与质量、移民安置、生态保护、气候变化、生物多样性和文化多元性等有关风险；在政策中明确对于过剩产能、高污染、高耗能企业或项目融资的压退要求，明晰绿色金融重点支持方向与领域，扩大绿色金融业务覆盖范围。</w:t>
      </w:r>
      <w:bookmarkEnd w:id="32"/>
      <w:bookmarkEnd w:id="33"/>
      <w:bookmarkEnd w:id="34"/>
    </w:p>
    <w:p>
      <w:pPr>
        <w:numPr>
          <w:ilvl w:val="2"/>
          <w:numId w:val="1"/>
        </w:numPr>
        <w:rPr>
          <w:rFonts w:ascii="宋体" w:hAnsi="宋体" w:eastAsia="宋体" w:cs="宋体"/>
          <w:b/>
          <w:sz w:val="28"/>
          <w:szCs w:val="28"/>
          <w:highlight w:val="none"/>
        </w:rPr>
      </w:pPr>
      <w:r>
        <w:rPr>
          <w:rFonts w:hint="eastAsia" w:ascii="宋体" w:hAnsi="宋体" w:eastAsia="宋体" w:cs="宋体"/>
          <w:b/>
          <w:sz w:val="28"/>
          <w:szCs w:val="28"/>
          <w:highlight w:val="none"/>
        </w:rPr>
        <w:t>完善制度规范</w:t>
      </w:r>
    </w:p>
    <w:p>
      <w:pPr>
        <w:ind w:firstLine="560" w:firstLineChars="200"/>
        <w:rPr>
          <w:rFonts w:ascii="宋体" w:hAnsi="宋体" w:eastAsia="宋体" w:cs="宋体"/>
          <w:bCs/>
          <w:sz w:val="28"/>
          <w:szCs w:val="28"/>
          <w:highlight w:val="none"/>
        </w:rPr>
      </w:pPr>
      <w:r>
        <w:rPr>
          <w:rFonts w:hint="eastAsia" w:ascii="宋体" w:hAnsi="宋体" w:eastAsia="宋体" w:cs="宋体"/>
          <w:bCs/>
          <w:sz w:val="28"/>
          <w:szCs w:val="28"/>
          <w:highlight w:val="none"/>
          <w:lang w:eastAsia="zh-CN"/>
        </w:rPr>
        <w:t>本行</w:t>
      </w:r>
      <w:r>
        <w:rPr>
          <w:rFonts w:hint="eastAsia" w:ascii="宋体" w:hAnsi="宋体" w:eastAsia="宋体" w:cs="宋体"/>
          <w:bCs/>
          <w:sz w:val="28"/>
          <w:szCs w:val="28"/>
          <w:highlight w:val="none"/>
        </w:rPr>
        <w:t>坚持环境评价一票否决制度，不介入“两高一剩”行业低水平重复建设项目，对“高污染、高排放”等环境敏感型行业企业，从严审查项目是否通过环评、节能审查和土地预审，对不符合环境保护规定的项目和企业，不得发放授信，并收回已发放的融资。</w:t>
      </w:r>
    </w:p>
    <w:p>
      <w:pPr>
        <w:numPr>
          <w:ilvl w:val="2"/>
          <w:numId w:val="1"/>
        </w:numPr>
        <w:rPr>
          <w:rFonts w:ascii="宋体" w:hAnsi="宋体" w:eastAsia="宋体" w:cs="宋体"/>
          <w:b/>
          <w:sz w:val="28"/>
          <w:szCs w:val="28"/>
          <w:highlight w:val="none"/>
        </w:rPr>
      </w:pPr>
      <w:r>
        <w:rPr>
          <w:rFonts w:ascii="宋体" w:hAnsi="宋体" w:eastAsia="宋体" w:cs="宋体"/>
          <w:b/>
          <w:sz w:val="28"/>
          <w:szCs w:val="28"/>
          <w:highlight w:val="none"/>
        </w:rPr>
        <w:t>强化业务系统管控</w:t>
      </w:r>
    </w:p>
    <w:p>
      <w:pPr>
        <w:ind w:firstLine="560" w:firstLineChars="200"/>
        <w:rPr>
          <w:rFonts w:ascii="宋体" w:hAnsi="宋体" w:eastAsia="宋体" w:cs="宋体"/>
          <w:bCs/>
          <w:sz w:val="28"/>
          <w:szCs w:val="28"/>
          <w:highlight w:val="none"/>
        </w:rPr>
      </w:pPr>
      <w:r>
        <w:rPr>
          <w:rFonts w:ascii="宋体" w:hAnsi="宋体" w:eastAsia="宋体" w:cs="宋体"/>
          <w:bCs/>
          <w:sz w:val="28"/>
          <w:szCs w:val="28"/>
          <w:highlight w:val="none"/>
        </w:rPr>
        <w:t>为满足人民银行和银保监会绿色贷款专项统计要求和</w:t>
      </w:r>
      <w:r>
        <w:rPr>
          <w:rFonts w:hint="eastAsia" w:ascii="宋体" w:hAnsi="宋体" w:eastAsia="宋体" w:cs="宋体"/>
          <w:bCs/>
          <w:sz w:val="28"/>
          <w:szCs w:val="28"/>
          <w:highlight w:val="none"/>
          <w:lang w:eastAsia="zh-CN"/>
        </w:rPr>
        <w:t>本行</w:t>
      </w:r>
      <w:r>
        <w:rPr>
          <w:rFonts w:ascii="宋体" w:hAnsi="宋体" w:eastAsia="宋体" w:cs="宋体"/>
          <w:bCs/>
          <w:sz w:val="28"/>
          <w:szCs w:val="28"/>
          <w:highlight w:val="none"/>
        </w:rPr>
        <w:t>绿色信贷管理需要，</w:t>
      </w:r>
      <w:r>
        <w:rPr>
          <w:rFonts w:hint="eastAsia" w:ascii="宋体" w:hAnsi="宋体" w:eastAsia="宋体" w:cs="宋体"/>
          <w:bCs/>
          <w:sz w:val="28"/>
          <w:szCs w:val="28"/>
          <w:highlight w:val="none"/>
          <w:lang w:eastAsia="zh-CN"/>
        </w:rPr>
        <w:t>本行</w:t>
      </w:r>
      <w:r>
        <w:rPr>
          <w:rFonts w:ascii="宋体" w:hAnsi="宋体" w:eastAsia="宋体" w:cs="宋体"/>
          <w:bCs/>
          <w:sz w:val="28"/>
          <w:szCs w:val="28"/>
          <w:highlight w:val="none"/>
        </w:rPr>
        <w:t>在信贷业务管理系统加入了绿色信贷分类标识和节能减排字段信息，并根据监管最新要求进行系统改造升级，定期统计并向人民银行、银保监</w:t>
      </w:r>
      <w:r>
        <w:rPr>
          <w:rFonts w:hint="eastAsia" w:ascii="宋体" w:hAnsi="宋体" w:eastAsia="宋体" w:cs="宋体"/>
          <w:bCs/>
          <w:sz w:val="28"/>
          <w:szCs w:val="28"/>
          <w:highlight w:val="none"/>
          <w:lang w:eastAsia="zh-CN"/>
        </w:rPr>
        <w:t>分局</w:t>
      </w:r>
      <w:r>
        <w:rPr>
          <w:rFonts w:ascii="宋体" w:hAnsi="宋体" w:eastAsia="宋体" w:cs="宋体"/>
          <w:bCs/>
          <w:sz w:val="28"/>
          <w:szCs w:val="28"/>
          <w:highlight w:val="none"/>
        </w:rPr>
        <w:t>报送全行支持绿色领域的投融资情况。在尽职调查环节，绿色分类信息为系统必录项，在后续的审查、放款等流程中，也设置为系统必须核实、修订内容，实现绿色信贷系统与流程的全流程管控。</w:t>
      </w:r>
    </w:p>
    <w:p>
      <w:pPr>
        <w:numPr>
          <w:ilvl w:val="2"/>
          <w:numId w:val="1"/>
        </w:numPr>
        <w:rPr>
          <w:rFonts w:ascii="宋体" w:hAnsi="宋体" w:eastAsia="宋体" w:cs="宋体"/>
          <w:b/>
          <w:sz w:val="28"/>
          <w:szCs w:val="28"/>
          <w:highlight w:val="none"/>
        </w:rPr>
      </w:pPr>
      <w:r>
        <w:rPr>
          <w:rFonts w:ascii="宋体" w:hAnsi="宋体" w:eastAsia="宋体" w:cs="宋体"/>
          <w:b/>
          <w:sz w:val="28"/>
          <w:szCs w:val="28"/>
          <w:highlight w:val="none"/>
        </w:rPr>
        <w:t>持续加强环境风险防控</w:t>
      </w:r>
    </w:p>
    <w:p>
      <w:pPr>
        <w:ind w:firstLine="560" w:firstLineChars="200"/>
        <w:rPr>
          <w:rFonts w:ascii="宋体" w:hAnsi="宋体" w:eastAsia="宋体" w:cs="宋体"/>
          <w:bCs/>
          <w:sz w:val="28"/>
          <w:szCs w:val="28"/>
          <w:highlight w:val="none"/>
        </w:rPr>
      </w:pPr>
      <w:r>
        <w:rPr>
          <w:rFonts w:ascii="宋体" w:hAnsi="宋体" w:eastAsia="宋体" w:cs="宋体"/>
          <w:bCs/>
          <w:sz w:val="28"/>
          <w:szCs w:val="28"/>
          <w:highlight w:val="none"/>
        </w:rPr>
        <w:t>在贷后管理环节，</w:t>
      </w:r>
      <w:r>
        <w:rPr>
          <w:rFonts w:hint="eastAsia" w:ascii="宋体" w:hAnsi="宋体" w:eastAsia="宋体" w:cs="宋体"/>
          <w:bCs/>
          <w:sz w:val="28"/>
          <w:szCs w:val="28"/>
          <w:highlight w:val="none"/>
          <w:lang w:eastAsia="zh-CN"/>
        </w:rPr>
        <w:t>本行</w:t>
      </w:r>
      <w:r>
        <w:rPr>
          <w:rFonts w:ascii="宋体" w:hAnsi="宋体" w:eastAsia="宋体" w:cs="宋体"/>
          <w:bCs/>
          <w:sz w:val="28"/>
          <w:szCs w:val="28"/>
          <w:highlight w:val="none"/>
        </w:rPr>
        <w:t>收集质检、环保（如环保处罚、排污许可警示等方面）、法院、媒体等环境风险预警信息并进行预警提示，对有重大环境、行业风险的客户进行风险管控、制订还款计划、压缩授信等管控措施。</w:t>
      </w:r>
    </w:p>
    <w:p>
      <w:pPr>
        <w:numPr>
          <w:ilvl w:val="2"/>
          <w:numId w:val="1"/>
        </w:numPr>
        <w:rPr>
          <w:rFonts w:ascii="宋体" w:hAnsi="宋体" w:eastAsia="宋体" w:cs="宋体"/>
          <w:b/>
          <w:sz w:val="28"/>
          <w:szCs w:val="28"/>
          <w:highlight w:val="none"/>
        </w:rPr>
      </w:pPr>
      <w:r>
        <w:rPr>
          <w:rFonts w:ascii="宋体" w:hAnsi="宋体" w:eastAsia="宋体" w:cs="宋体"/>
          <w:b/>
          <w:sz w:val="28"/>
          <w:szCs w:val="28"/>
          <w:highlight w:val="none"/>
        </w:rPr>
        <w:t>积极开展内部审计，强化合规管理</w:t>
      </w:r>
    </w:p>
    <w:p>
      <w:pPr>
        <w:ind w:firstLine="560" w:firstLineChars="200"/>
        <w:rPr>
          <w:rFonts w:ascii="宋体" w:hAnsi="宋体" w:eastAsia="宋体" w:cs="宋体"/>
          <w:bCs/>
          <w:sz w:val="28"/>
          <w:szCs w:val="28"/>
          <w:highlight w:val="none"/>
        </w:rPr>
      </w:pPr>
      <w:r>
        <w:rPr>
          <w:rFonts w:hint="eastAsia" w:ascii="宋体" w:hAnsi="宋体" w:eastAsia="宋体" w:cs="宋体"/>
          <w:bCs/>
          <w:sz w:val="28"/>
          <w:szCs w:val="28"/>
          <w:highlight w:val="none"/>
          <w:lang w:eastAsia="zh-CN"/>
        </w:rPr>
        <w:t>本行</w:t>
      </w:r>
      <w:r>
        <w:rPr>
          <w:rFonts w:ascii="宋体" w:hAnsi="宋体" w:eastAsia="宋体" w:cs="宋体"/>
          <w:bCs/>
          <w:sz w:val="28"/>
          <w:szCs w:val="28"/>
          <w:highlight w:val="none"/>
        </w:rPr>
        <w:t>始终高度重视对绿色金融的内部审计工作，并将表内外资金直接或间接、借道或绕道投向“两高一剩”领域，违规为环保排放不达标、严重污染环境且整改无望的企业提供融资等情况列为</w:t>
      </w:r>
      <w:r>
        <w:rPr>
          <w:rFonts w:hint="eastAsia" w:ascii="宋体" w:hAnsi="宋体" w:eastAsia="宋体" w:cs="宋体"/>
          <w:bCs/>
          <w:sz w:val="28"/>
          <w:szCs w:val="28"/>
          <w:highlight w:val="none"/>
          <w:lang w:eastAsia="zh-CN"/>
        </w:rPr>
        <w:t>本行</w:t>
      </w:r>
      <w:r>
        <w:rPr>
          <w:rFonts w:ascii="宋体" w:hAnsi="宋体" w:eastAsia="宋体" w:cs="宋体"/>
          <w:bCs/>
          <w:sz w:val="28"/>
          <w:szCs w:val="28"/>
          <w:highlight w:val="none"/>
        </w:rPr>
        <w:t>审计重点。从2021年审计结果来看</w:t>
      </w:r>
      <w:r>
        <w:rPr>
          <w:rFonts w:hint="eastAsia" w:ascii="宋体" w:hAnsi="宋体" w:eastAsia="宋体" w:cs="宋体"/>
          <w:bCs/>
          <w:sz w:val="28"/>
          <w:szCs w:val="28"/>
          <w:highlight w:val="none"/>
          <w:lang w:eastAsia="zh-CN"/>
        </w:rPr>
        <w:t>，本行</w:t>
      </w:r>
      <w:r>
        <w:rPr>
          <w:rFonts w:ascii="宋体" w:hAnsi="宋体" w:eastAsia="宋体" w:cs="宋体"/>
          <w:bCs/>
          <w:sz w:val="28"/>
          <w:szCs w:val="28"/>
          <w:highlight w:val="none"/>
        </w:rPr>
        <w:t>绿色金融相关业务基本符合国家绿色信贷方面的规定和要求，未发现</w:t>
      </w:r>
      <w:r>
        <w:rPr>
          <w:rFonts w:hint="eastAsia" w:ascii="宋体" w:hAnsi="宋体" w:eastAsia="宋体" w:cs="宋体"/>
          <w:bCs/>
          <w:sz w:val="28"/>
          <w:szCs w:val="28"/>
          <w:highlight w:val="none"/>
          <w:lang w:eastAsia="zh-CN"/>
        </w:rPr>
        <w:t>本行</w:t>
      </w:r>
      <w:r>
        <w:rPr>
          <w:rFonts w:ascii="宋体" w:hAnsi="宋体" w:eastAsia="宋体" w:cs="宋体"/>
          <w:bCs/>
          <w:sz w:val="28"/>
          <w:szCs w:val="28"/>
          <w:highlight w:val="none"/>
        </w:rPr>
        <w:t>信贷客户发生严重的环境和社会风险等重大问题。</w:t>
      </w:r>
    </w:p>
    <w:p>
      <w:pPr>
        <w:pStyle w:val="5"/>
        <w:numPr>
          <w:ilvl w:val="0"/>
          <w:numId w:val="1"/>
        </w:numPr>
        <w:spacing w:after="120" w:line="579" w:lineRule="auto"/>
        <w:rPr>
          <w:highlight w:val="none"/>
        </w:rPr>
      </w:pPr>
      <w:bookmarkStart w:id="35" w:name="_Toc31004"/>
      <w:r>
        <w:rPr>
          <w:rFonts w:hint="eastAsia"/>
          <w:highlight w:val="none"/>
        </w:rPr>
        <w:t>环境因素对金融机构的影响</w:t>
      </w:r>
      <w:bookmarkEnd w:id="35"/>
    </w:p>
    <w:p>
      <w:pPr>
        <w:spacing w:line="30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lang w:eastAsia="zh-CN"/>
        </w:rPr>
        <w:t>本行</w:t>
      </w:r>
      <w:r>
        <w:rPr>
          <w:rFonts w:hint="eastAsia" w:ascii="宋体" w:hAnsi="宋体" w:eastAsia="宋体"/>
          <w:sz w:val="28"/>
          <w:szCs w:val="28"/>
          <w:highlight w:val="none"/>
        </w:rPr>
        <w:t>结合自身业务特点对环境风险与机遇进行分析和识别。如山林种植和林间、林地养殖为主，贷款农户对于冰雹、洪涝等自然灾害遭受的损失，会对</w:t>
      </w:r>
      <w:r>
        <w:rPr>
          <w:rFonts w:hint="eastAsia" w:ascii="宋体" w:hAnsi="宋体" w:eastAsia="宋体"/>
          <w:sz w:val="28"/>
          <w:szCs w:val="28"/>
          <w:highlight w:val="none"/>
          <w:lang w:eastAsia="zh-CN"/>
        </w:rPr>
        <w:t>本行</w:t>
      </w:r>
      <w:r>
        <w:rPr>
          <w:rFonts w:hint="eastAsia" w:ascii="宋体" w:hAnsi="宋体" w:eastAsia="宋体"/>
          <w:sz w:val="28"/>
          <w:szCs w:val="28"/>
          <w:highlight w:val="none"/>
        </w:rPr>
        <w:t>造成金融风险。从机遇方面看，在“碳达峰碳中和”背景下，我国产业结构将发生重大调整变化，生态农业、新能源等行业将获得极大发展并蕴含着巨大业务机会。通过提前研究布局，积极支持上述环保行业发展，是</w:t>
      </w:r>
      <w:r>
        <w:rPr>
          <w:rFonts w:hint="eastAsia" w:ascii="宋体" w:hAnsi="宋体" w:eastAsia="宋体"/>
          <w:sz w:val="28"/>
          <w:szCs w:val="28"/>
          <w:highlight w:val="none"/>
          <w:lang w:eastAsia="zh-CN"/>
        </w:rPr>
        <w:t>本行</w:t>
      </w:r>
      <w:r>
        <w:rPr>
          <w:rFonts w:hint="eastAsia" w:ascii="宋体" w:hAnsi="宋体" w:eastAsia="宋体"/>
          <w:sz w:val="28"/>
          <w:szCs w:val="28"/>
          <w:highlight w:val="none"/>
        </w:rPr>
        <w:t>未来一段时期的重要发展机遇。</w:t>
      </w:r>
    </w:p>
    <w:p>
      <w:pPr>
        <w:spacing w:line="300" w:lineRule="auto"/>
        <w:ind w:firstLine="560" w:firstLineChars="200"/>
        <w:rPr>
          <w:rFonts w:ascii="宋体" w:hAnsi="宋体" w:eastAsia="宋体"/>
          <w:sz w:val="28"/>
          <w:szCs w:val="28"/>
          <w:highlight w:val="none"/>
        </w:rPr>
      </w:pPr>
      <w:r>
        <w:rPr>
          <w:rFonts w:hint="eastAsia" w:ascii="宋体" w:hAnsi="宋体" w:eastAsia="宋体"/>
          <w:sz w:val="28"/>
          <w:szCs w:val="28"/>
          <w:highlight w:val="none"/>
        </w:rPr>
        <w:t>同时</w:t>
      </w:r>
      <w:r>
        <w:rPr>
          <w:rFonts w:ascii="宋体" w:hAnsi="宋体" w:eastAsia="宋体"/>
          <w:sz w:val="28"/>
          <w:szCs w:val="28"/>
          <w:highlight w:val="none"/>
        </w:rPr>
        <w:t>碳达峰、碳中和等相关政策的持续推进，将为</w:t>
      </w:r>
      <w:r>
        <w:rPr>
          <w:rFonts w:hint="eastAsia" w:ascii="宋体" w:hAnsi="宋体" w:eastAsia="宋体"/>
          <w:sz w:val="28"/>
          <w:szCs w:val="28"/>
          <w:highlight w:val="none"/>
          <w:lang w:eastAsia="zh-CN"/>
        </w:rPr>
        <w:t>本行</w:t>
      </w:r>
      <w:r>
        <w:rPr>
          <w:rFonts w:ascii="宋体" w:hAnsi="宋体" w:eastAsia="宋体"/>
          <w:sz w:val="28"/>
          <w:szCs w:val="28"/>
          <w:highlight w:val="none"/>
        </w:rPr>
        <w:t>拓展绿色金融业务提供新的机遇。积极发展绿色金融，可以在避免未来损失的同时，产生正向经济收益以及额外的环境和社会收益，政策发生重大调整变化，新能源、资源循环利用、绿色建筑、污染防治</w:t>
      </w:r>
      <w:r>
        <w:rPr>
          <w:rFonts w:hint="eastAsia" w:ascii="宋体" w:hAnsi="宋体" w:eastAsia="宋体"/>
          <w:sz w:val="28"/>
          <w:szCs w:val="28"/>
          <w:highlight w:val="none"/>
        </w:rPr>
        <w:t>等行业将获得极大发展。针对此类行业的</w:t>
      </w:r>
      <w:r>
        <w:rPr>
          <w:rFonts w:ascii="宋体" w:hAnsi="宋体" w:eastAsia="宋体"/>
          <w:sz w:val="28"/>
          <w:szCs w:val="28"/>
          <w:highlight w:val="none"/>
        </w:rPr>
        <w:t>绿色</w:t>
      </w:r>
      <w:r>
        <w:rPr>
          <w:rFonts w:hint="eastAsia" w:ascii="宋体" w:hAnsi="宋体" w:eastAsia="宋体"/>
          <w:sz w:val="28"/>
          <w:szCs w:val="28"/>
          <w:highlight w:val="none"/>
        </w:rPr>
        <w:t>金融</w:t>
      </w:r>
      <w:r>
        <w:rPr>
          <w:rFonts w:ascii="宋体" w:hAnsi="宋体" w:eastAsia="宋体"/>
          <w:sz w:val="28"/>
          <w:szCs w:val="28"/>
          <w:highlight w:val="none"/>
        </w:rPr>
        <w:t>产品开发，将有利于发挥金融支持绿色发展的功能，以资金配置引导产业结构、能源结构向绿色低碳转型，促进</w:t>
      </w:r>
      <w:r>
        <w:rPr>
          <w:rFonts w:hint="eastAsia" w:ascii="宋体" w:hAnsi="宋体" w:eastAsia="宋体"/>
          <w:sz w:val="28"/>
          <w:szCs w:val="28"/>
          <w:highlight w:val="none"/>
          <w:lang w:eastAsia="zh-CN"/>
        </w:rPr>
        <w:t>本行</w:t>
      </w:r>
      <w:r>
        <w:rPr>
          <w:rFonts w:ascii="宋体" w:hAnsi="宋体" w:eastAsia="宋体"/>
          <w:sz w:val="28"/>
          <w:szCs w:val="28"/>
          <w:highlight w:val="none"/>
        </w:rPr>
        <w:t>绿色金融标准与全国接轨，吸引其他地区绿色投资人，促进地方绿色发展。同时在运营过程中践行低碳原则，积极使用节能减排技术，可以降低</w:t>
      </w:r>
      <w:r>
        <w:rPr>
          <w:rFonts w:hint="eastAsia" w:ascii="宋体" w:hAnsi="宋体" w:eastAsia="宋体"/>
          <w:sz w:val="28"/>
          <w:szCs w:val="28"/>
          <w:highlight w:val="none"/>
          <w:lang w:eastAsia="zh-CN"/>
        </w:rPr>
        <w:t>本行</w:t>
      </w:r>
      <w:r>
        <w:rPr>
          <w:rFonts w:ascii="宋体" w:hAnsi="宋体" w:eastAsia="宋体"/>
          <w:sz w:val="28"/>
          <w:szCs w:val="28"/>
          <w:highlight w:val="none"/>
        </w:rPr>
        <w:t>温室气体排放风险和运营成本。</w:t>
      </w:r>
    </w:p>
    <w:p>
      <w:pPr>
        <w:pStyle w:val="5"/>
        <w:numPr>
          <w:ilvl w:val="0"/>
          <w:numId w:val="1"/>
        </w:numPr>
        <w:spacing w:after="120" w:line="579" w:lineRule="auto"/>
        <w:rPr>
          <w:highlight w:val="none"/>
        </w:rPr>
      </w:pPr>
      <w:bookmarkStart w:id="36" w:name="_Toc26262"/>
      <w:r>
        <w:rPr>
          <w:rFonts w:hint="eastAsia"/>
          <w:highlight w:val="none"/>
        </w:rPr>
        <w:t>金融机构投融资活动的环境影响</w:t>
      </w:r>
      <w:bookmarkEnd w:id="36"/>
    </w:p>
    <w:p>
      <w:pPr>
        <w:pStyle w:val="6"/>
        <w:ind w:firstLine="643" w:firstLineChars="200"/>
        <w:rPr>
          <w:rFonts w:ascii="宋体" w:hAnsi="宋体" w:eastAsia="宋体" w:cs="宋体"/>
          <w:sz w:val="28"/>
          <w:szCs w:val="28"/>
          <w:highlight w:val="none"/>
        </w:rPr>
      </w:pPr>
      <w:bookmarkStart w:id="37" w:name="_Toc13454"/>
      <w:r>
        <w:rPr>
          <w:rFonts w:hint="eastAsia"/>
          <w:highlight w:val="none"/>
        </w:rPr>
        <w:t>7.1 整体投融资情况及其环境影响</w:t>
      </w:r>
      <w:bookmarkEnd w:id="37"/>
    </w:p>
    <w:p>
      <w:pPr>
        <w:spacing w:line="560" w:lineRule="exact"/>
        <w:jc w:val="center"/>
        <w:rPr>
          <w:rFonts w:ascii="宋体" w:hAnsi="宋体" w:eastAsia="宋体" w:cs="Times New Roman"/>
          <w:b/>
          <w:bCs/>
          <w:sz w:val="28"/>
          <w:szCs w:val="28"/>
          <w:highlight w:val="none"/>
        </w:rPr>
      </w:pPr>
      <w:r>
        <w:rPr>
          <w:rFonts w:ascii="宋体" w:hAnsi="宋体" w:eastAsia="宋体" w:cs="Times New Roman"/>
          <w:b/>
          <w:bCs/>
          <w:sz w:val="28"/>
          <w:szCs w:val="28"/>
          <w:highlight w:val="none"/>
        </w:rPr>
        <w:t>2021年投融资活动碳排放量</w:t>
      </w:r>
    </w:p>
    <w:tbl>
      <w:tblPr>
        <w:tblStyle w:val="21"/>
        <w:tblpPr w:leftFromText="180" w:rightFromText="180" w:vertAnchor="text" w:horzAnchor="margin" w:tblpY="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5"/>
        <w:gridCol w:w="3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133" w:type="pct"/>
            <w:vAlign w:val="center"/>
          </w:tcPr>
          <w:p>
            <w:pPr>
              <w:spacing w:line="560" w:lineRule="exact"/>
              <w:jc w:val="center"/>
              <w:rPr>
                <w:rFonts w:ascii="Times New Roman" w:hAnsi="Times New Roman" w:eastAsia="宋体" w:cs="Times New Roman"/>
                <w:b/>
                <w:bCs/>
                <w:kern w:val="0"/>
                <w:sz w:val="28"/>
                <w:szCs w:val="28"/>
                <w:highlight w:val="none"/>
              </w:rPr>
            </w:pPr>
            <w:r>
              <w:rPr>
                <w:rFonts w:ascii="Times New Roman" w:hAnsi="Times New Roman" w:eastAsia="宋体" w:cs="Times New Roman"/>
                <w:b/>
                <w:bCs/>
                <w:kern w:val="0"/>
                <w:sz w:val="28"/>
                <w:szCs w:val="28"/>
                <w:highlight w:val="none"/>
                <w:lang w:bidi="ar"/>
              </w:rPr>
              <w:t>行业类别（一级行业代码及类别）</w:t>
            </w:r>
          </w:p>
        </w:tc>
        <w:tc>
          <w:tcPr>
            <w:tcW w:w="1880" w:type="pct"/>
            <w:vAlign w:val="center"/>
          </w:tcPr>
          <w:p>
            <w:pPr>
              <w:spacing w:line="560" w:lineRule="exact"/>
              <w:jc w:val="center"/>
              <w:rPr>
                <w:rFonts w:ascii="Times New Roman" w:hAnsi="Times New Roman" w:eastAsia="宋体" w:cs="Times New Roman"/>
                <w:b/>
                <w:bCs/>
                <w:kern w:val="0"/>
                <w:sz w:val="28"/>
                <w:szCs w:val="28"/>
                <w:highlight w:val="none"/>
              </w:rPr>
            </w:pPr>
            <w:r>
              <w:rPr>
                <w:rFonts w:ascii="Times New Roman" w:hAnsi="Times New Roman" w:eastAsia="宋体" w:cs="Times New Roman"/>
                <w:b/>
                <w:bCs/>
                <w:kern w:val="0"/>
                <w:sz w:val="28"/>
                <w:szCs w:val="28"/>
                <w:highlight w:val="none"/>
                <w:lang w:bidi="ar"/>
              </w:rPr>
              <w:t>行业贷款碳排放量（吨）</w:t>
            </w:r>
          </w:p>
        </w:tc>
        <w:tc>
          <w:tcPr>
            <w:tcW w:w="987" w:type="pct"/>
            <w:vAlign w:val="center"/>
          </w:tcPr>
          <w:p>
            <w:pPr>
              <w:spacing w:line="560" w:lineRule="exact"/>
              <w:jc w:val="center"/>
              <w:rPr>
                <w:rFonts w:ascii="Times New Roman" w:hAnsi="Times New Roman" w:eastAsia="宋体" w:cs="Times New Roman"/>
                <w:b/>
                <w:bCs/>
                <w:kern w:val="0"/>
                <w:sz w:val="28"/>
                <w:szCs w:val="28"/>
                <w:highlight w:val="none"/>
              </w:rPr>
            </w:pPr>
            <w:r>
              <w:rPr>
                <w:rFonts w:ascii="Times New Roman" w:hAnsi="Times New Roman" w:eastAsia="宋体" w:cs="Times New Roman"/>
                <w:b/>
                <w:bCs/>
                <w:kern w:val="0"/>
                <w:sz w:val="28"/>
                <w:szCs w:val="28"/>
                <w:highlight w:val="none"/>
                <w:lang w:bidi="ar"/>
              </w:rPr>
              <w:t>行业贷款碳排放量占比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A农、林、牧、渔业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1521.58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B采矿业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7040.78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C制造业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478.19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D电力、热力、燃气及水生产和供应业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679.57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E建筑业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3552.52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F批发和零售业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45.02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G交通运输、仓储和邮政业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20901.03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49.46%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H住宿和餐饮业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639.88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K房地产业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2101.77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L租赁和商务服务业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1711.83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N水利、环境和公共设施管理业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728.31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O居民服务、修理和其他服务业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1203.59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P教育</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407.45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b/>
                <w:bCs/>
                <w:kern w:val="0"/>
                <w:sz w:val="28"/>
                <w:szCs w:val="28"/>
                <w:highlight w:val="none"/>
              </w:rPr>
            </w:pPr>
            <w:r>
              <w:rPr>
                <w:rFonts w:ascii="Times New Roman" w:hAnsi="Times New Roman" w:eastAsia="宋体" w:cs="Times New Roman"/>
                <w:kern w:val="0"/>
                <w:sz w:val="28"/>
                <w:szCs w:val="28"/>
                <w:highlight w:val="none"/>
                <w:lang w:bidi="ar"/>
              </w:rPr>
              <w:t>Q卫生和社会工作</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44.40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rPr>
                <w:rFonts w:ascii="Times New Roman" w:hAnsi="Times New Roman" w:eastAsia="宋体" w:cs="Times New Roman"/>
                <w:kern w:val="0"/>
                <w:sz w:val="28"/>
                <w:szCs w:val="28"/>
                <w:highlight w:val="none"/>
                <w:lang w:bidi="ar"/>
              </w:rPr>
            </w:pPr>
            <w:r>
              <w:rPr>
                <w:rFonts w:ascii="Times New Roman" w:hAnsi="Times New Roman" w:eastAsia="宋体" w:cs="Times New Roman"/>
                <w:kern w:val="0"/>
                <w:sz w:val="28"/>
                <w:szCs w:val="28"/>
                <w:highlight w:val="none"/>
                <w:lang w:bidi="ar"/>
              </w:rPr>
              <w:t>R文化、体育和娱乐业</w:t>
            </w:r>
          </w:p>
        </w:tc>
        <w:tc>
          <w:tcPr>
            <w:tcW w:w="1880"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1202.80 </w:t>
            </w:r>
          </w:p>
        </w:tc>
        <w:tc>
          <w:tcPr>
            <w:tcW w:w="987" w:type="pct"/>
            <w:vAlign w:val="center"/>
          </w:tcPr>
          <w:p>
            <w:pPr>
              <w:widowControl/>
              <w:jc w:val="right"/>
              <w:textAlignment w:val="center"/>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3" w:type="pct"/>
            <w:vAlign w:val="center"/>
          </w:tcPr>
          <w:p>
            <w:pPr>
              <w:spacing w:line="560" w:lineRule="exact"/>
              <w:jc w:val="center"/>
              <w:rPr>
                <w:rFonts w:ascii="Times New Roman" w:hAnsi="Times New Roman" w:eastAsia="宋体" w:cs="Times New Roman"/>
                <w:b/>
                <w:bCs/>
                <w:kern w:val="0"/>
                <w:sz w:val="28"/>
                <w:szCs w:val="28"/>
                <w:highlight w:val="none"/>
                <w:lang w:bidi="ar"/>
              </w:rPr>
            </w:pPr>
            <w:r>
              <w:rPr>
                <w:rFonts w:ascii="Times New Roman" w:hAnsi="Times New Roman" w:eastAsia="宋体" w:cs="Times New Roman"/>
                <w:b/>
                <w:bCs/>
                <w:kern w:val="0"/>
                <w:sz w:val="28"/>
                <w:szCs w:val="28"/>
                <w:highlight w:val="none"/>
                <w:lang w:bidi="ar"/>
              </w:rPr>
              <w:t>总计</w:t>
            </w:r>
          </w:p>
        </w:tc>
        <w:tc>
          <w:tcPr>
            <w:tcW w:w="1880" w:type="pct"/>
            <w:vAlign w:val="center"/>
          </w:tcPr>
          <w:p>
            <w:pPr>
              <w:widowControl/>
              <w:jc w:val="right"/>
              <w:textAlignment w:val="center"/>
              <w:rPr>
                <w:rFonts w:ascii="Times New Roman" w:hAnsi="Times New Roman" w:eastAsia="宋体" w:cs="Times New Roman"/>
                <w:b/>
                <w:bCs/>
                <w:color w:val="000000"/>
                <w:kern w:val="0"/>
                <w:sz w:val="28"/>
                <w:szCs w:val="28"/>
                <w:highlight w:val="none"/>
                <w:lang w:bidi="ar"/>
              </w:rPr>
            </w:pPr>
            <w:r>
              <w:rPr>
                <w:rFonts w:ascii="Times New Roman" w:hAnsi="Times New Roman" w:eastAsia="宋体" w:cs="Times New Roman"/>
                <w:b/>
                <w:bCs/>
                <w:color w:val="000000"/>
                <w:kern w:val="0"/>
                <w:sz w:val="28"/>
                <w:szCs w:val="28"/>
                <w:highlight w:val="none"/>
                <w:lang w:bidi="ar"/>
              </w:rPr>
              <w:t xml:space="preserve">42258.72 </w:t>
            </w:r>
          </w:p>
        </w:tc>
        <w:tc>
          <w:tcPr>
            <w:tcW w:w="987" w:type="pct"/>
          </w:tcPr>
          <w:p>
            <w:pPr>
              <w:widowControl/>
              <w:jc w:val="right"/>
              <w:textAlignment w:val="center"/>
              <w:rPr>
                <w:rFonts w:ascii="Times New Roman" w:hAnsi="Times New Roman" w:eastAsia="宋体" w:cs="Times New Roman"/>
                <w:b/>
                <w:bCs/>
                <w:color w:val="000000"/>
                <w:kern w:val="0"/>
                <w:sz w:val="28"/>
                <w:szCs w:val="28"/>
                <w:highlight w:val="none"/>
                <w:lang w:bidi="ar"/>
              </w:rPr>
            </w:pPr>
            <w:r>
              <w:rPr>
                <w:rFonts w:ascii="Times New Roman" w:hAnsi="Times New Roman" w:eastAsia="宋体" w:cs="Times New Roman"/>
                <w:b/>
                <w:bCs/>
                <w:color w:val="000000"/>
                <w:kern w:val="0"/>
                <w:sz w:val="28"/>
                <w:szCs w:val="28"/>
                <w:highlight w:val="none"/>
                <w:lang w:bidi="ar"/>
              </w:rPr>
              <w:t>100.00%</w:t>
            </w:r>
          </w:p>
        </w:tc>
      </w:tr>
    </w:tbl>
    <w:p>
      <w:pPr>
        <w:spacing w:line="360" w:lineRule="auto"/>
        <w:rPr>
          <w:rFonts w:ascii="宋体" w:hAnsi="宋体" w:eastAsia="宋体" w:cs="Times New Roman"/>
          <w:szCs w:val="21"/>
          <w:highlight w:val="none"/>
        </w:rPr>
      </w:pPr>
      <w:r>
        <w:rPr>
          <w:rFonts w:ascii="宋体" w:hAnsi="宋体" w:eastAsia="宋体" w:cs="Times New Roman"/>
          <w:szCs w:val="21"/>
          <w:highlight w:val="none"/>
        </w:rPr>
        <w:t>注：</w:t>
      </w:r>
    </w:p>
    <w:p>
      <w:pPr>
        <w:pStyle w:val="29"/>
        <w:numPr>
          <w:ilvl w:val="0"/>
          <w:numId w:val="3"/>
        </w:numPr>
        <w:spacing w:line="360" w:lineRule="auto"/>
        <w:ind w:firstLineChars="0"/>
        <w:rPr>
          <w:rFonts w:ascii="宋体" w:hAnsi="宋体"/>
          <w:szCs w:val="21"/>
          <w:highlight w:val="none"/>
        </w:rPr>
      </w:pPr>
      <w:r>
        <w:rPr>
          <w:rFonts w:ascii="宋体" w:hAnsi="宋体"/>
          <w:szCs w:val="21"/>
          <w:highlight w:val="none"/>
        </w:rPr>
        <w:t>数据来源：主要企业/项目碳排放数据基于客户提供的碳排放数据或能耗数据计算得出，对于部分贷款企业/项目数据如客户无法提供，则主要根据企业/项目投入量/产出量等参数与同行业企业/项目类比得到；</w:t>
      </w:r>
    </w:p>
    <w:p>
      <w:pPr>
        <w:pStyle w:val="29"/>
        <w:numPr>
          <w:ilvl w:val="0"/>
          <w:numId w:val="3"/>
        </w:numPr>
        <w:spacing w:line="360" w:lineRule="auto"/>
        <w:ind w:firstLineChars="0"/>
        <w:rPr>
          <w:rFonts w:ascii="宋体" w:hAnsi="宋体"/>
          <w:szCs w:val="21"/>
          <w:highlight w:val="none"/>
        </w:rPr>
      </w:pPr>
      <w:r>
        <w:rPr>
          <w:rFonts w:ascii="宋体" w:hAnsi="宋体"/>
          <w:szCs w:val="21"/>
          <w:highlight w:val="none"/>
        </w:rPr>
        <w:t>碳排放核算方法主要依据：《金融机构碳核算技术指南（试行）》和其规范性引用文件；</w:t>
      </w:r>
    </w:p>
    <w:p>
      <w:pPr>
        <w:pStyle w:val="29"/>
        <w:numPr>
          <w:ilvl w:val="0"/>
          <w:numId w:val="3"/>
        </w:numPr>
        <w:spacing w:line="360" w:lineRule="auto"/>
        <w:ind w:firstLineChars="0"/>
        <w:rPr>
          <w:rFonts w:ascii="宋体" w:hAnsi="宋体"/>
          <w:szCs w:val="21"/>
          <w:highlight w:val="none"/>
        </w:rPr>
      </w:pPr>
      <w:r>
        <w:rPr>
          <w:rFonts w:ascii="宋体" w:hAnsi="宋体"/>
          <w:szCs w:val="21"/>
          <w:highlight w:val="none"/>
        </w:rPr>
        <w:t xml:space="preserve">项目融资业务：报告期内，运行时间不足30天的项目碳排放未纳入核算； </w:t>
      </w:r>
    </w:p>
    <w:p>
      <w:pPr>
        <w:pStyle w:val="29"/>
        <w:numPr>
          <w:ilvl w:val="0"/>
          <w:numId w:val="3"/>
        </w:numPr>
        <w:spacing w:line="360" w:lineRule="auto"/>
        <w:ind w:firstLineChars="0"/>
        <w:rPr>
          <w:rFonts w:ascii="宋体" w:hAnsi="宋体"/>
          <w:szCs w:val="21"/>
          <w:highlight w:val="none"/>
        </w:rPr>
      </w:pPr>
      <w:r>
        <w:rPr>
          <w:rFonts w:ascii="宋体" w:hAnsi="宋体"/>
          <w:szCs w:val="21"/>
          <w:highlight w:val="none"/>
        </w:rPr>
        <w:t>非项目融资业务：存续期不足30天或月均融资额少于500万元的融资主体的碳排放未纳入核算</w:t>
      </w:r>
      <w:r>
        <w:rPr>
          <w:rFonts w:hint="eastAsia" w:ascii="宋体" w:hAnsi="宋体"/>
          <w:szCs w:val="21"/>
          <w:highlight w:val="none"/>
          <w:lang w:eastAsia="zh-CN"/>
        </w:rPr>
        <w:t>，</w:t>
      </w:r>
      <w:r>
        <w:rPr>
          <w:rFonts w:ascii="宋体" w:hAnsi="宋体"/>
          <w:szCs w:val="21"/>
          <w:highlight w:val="none"/>
        </w:rPr>
        <w:t>仅统计大型和中型企业的碳排放；</w:t>
      </w:r>
    </w:p>
    <w:p>
      <w:pPr>
        <w:pStyle w:val="29"/>
        <w:numPr>
          <w:ilvl w:val="0"/>
          <w:numId w:val="3"/>
        </w:numPr>
        <w:spacing w:line="360" w:lineRule="auto"/>
        <w:ind w:firstLineChars="0"/>
        <w:rPr>
          <w:rFonts w:ascii="宋体" w:hAnsi="宋体"/>
          <w:szCs w:val="21"/>
          <w:highlight w:val="none"/>
        </w:rPr>
      </w:pPr>
      <w:r>
        <w:rPr>
          <w:rFonts w:hint="eastAsia" w:ascii="宋体" w:hAnsi="宋体"/>
          <w:szCs w:val="21"/>
          <w:highlight w:val="none"/>
          <w:lang w:eastAsia="zh-CN"/>
        </w:rPr>
        <w:t>本行</w:t>
      </w:r>
      <w:r>
        <w:rPr>
          <w:rFonts w:ascii="宋体" w:hAnsi="宋体"/>
          <w:szCs w:val="21"/>
          <w:highlight w:val="none"/>
        </w:rPr>
        <w:t>不存在境外项目和境外融资主体。</w:t>
      </w:r>
    </w:p>
    <w:p>
      <w:pPr>
        <w:spacing w:line="560" w:lineRule="exact"/>
        <w:jc w:val="center"/>
        <w:rPr>
          <w:rFonts w:ascii="宋体" w:hAnsi="宋体" w:eastAsia="宋体" w:cs="仿宋_GB2312"/>
          <w:sz w:val="28"/>
          <w:szCs w:val="28"/>
          <w:highlight w:val="none"/>
        </w:rPr>
      </w:pPr>
      <w:r>
        <w:rPr>
          <w:rFonts w:hint="eastAsia" w:ascii="宋体" w:hAnsi="宋体" w:eastAsia="宋体" w:cs="仿宋_GB2312"/>
          <w:kern w:val="0"/>
          <w:sz w:val="28"/>
          <w:szCs w:val="28"/>
          <w:highlight w:val="none"/>
        </w:rPr>
        <w:t>报告期投融资活动产生的碳排放量汇总表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13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line="560" w:lineRule="exact"/>
              <w:jc w:val="center"/>
              <w:rPr>
                <w:rFonts w:ascii="宋体" w:hAnsi="宋体" w:eastAsia="宋体" w:cs="仿宋_GB2312"/>
                <w:b/>
                <w:bCs/>
                <w:kern w:val="0"/>
                <w:sz w:val="28"/>
                <w:szCs w:val="28"/>
                <w:highlight w:val="none"/>
              </w:rPr>
            </w:pPr>
            <w:r>
              <w:rPr>
                <w:rFonts w:hint="eastAsia" w:ascii="宋体" w:hAnsi="宋体" w:eastAsia="宋体" w:cs="仿宋_GB2312"/>
                <w:b/>
                <w:bCs/>
                <w:kern w:val="0"/>
                <w:sz w:val="28"/>
                <w:szCs w:val="28"/>
                <w:highlight w:val="none"/>
              </w:rPr>
              <w:t>类别</w:t>
            </w:r>
          </w:p>
        </w:tc>
        <w:tc>
          <w:tcPr>
            <w:tcW w:w="2133" w:type="dxa"/>
            <w:vAlign w:val="center"/>
          </w:tcPr>
          <w:p>
            <w:pPr>
              <w:autoSpaceDE w:val="0"/>
              <w:autoSpaceDN w:val="0"/>
              <w:adjustRightInd w:val="0"/>
              <w:spacing w:line="560" w:lineRule="exact"/>
              <w:jc w:val="center"/>
              <w:rPr>
                <w:rFonts w:ascii="宋体" w:hAnsi="宋体" w:eastAsia="宋体" w:cs="仿宋_GB2312"/>
                <w:b/>
                <w:bCs/>
                <w:kern w:val="0"/>
                <w:sz w:val="28"/>
                <w:szCs w:val="28"/>
                <w:highlight w:val="none"/>
              </w:rPr>
            </w:pPr>
            <w:r>
              <w:rPr>
                <w:rFonts w:hint="eastAsia" w:ascii="宋体" w:hAnsi="宋体" w:eastAsia="宋体" w:cs="仿宋_GB2312"/>
                <w:b/>
                <w:bCs/>
                <w:kern w:val="0"/>
                <w:sz w:val="28"/>
                <w:szCs w:val="28"/>
                <w:highlight w:val="none"/>
              </w:rPr>
              <w:t>二氧化碳当量</w:t>
            </w:r>
          </w:p>
          <w:p>
            <w:pPr>
              <w:autoSpaceDE w:val="0"/>
              <w:autoSpaceDN w:val="0"/>
              <w:adjustRightInd w:val="0"/>
              <w:spacing w:line="560" w:lineRule="exact"/>
              <w:jc w:val="center"/>
              <w:rPr>
                <w:rFonts w:ascii="宋体" w:hAnsi="宋体" w:eastAsia="宋体" w:cs="仿宋_GB2312"/>
                <w:b/>
                <w:bCs/>
                <w:kern w:val="0"/>
                <w:sz w:val="28"/>
                <w:szCs w:val="28"/>
                <w:highlight w:val="none"/>
              </w:rPr>
            </w:pPr>
            <w:r>
              <w:rPr>
                <w:rFonts w:hint="eastAsia" w:ascii="宋体" w:hAnsi="宋体" w:eastAsia="宋体" w:cs="仿宋_GB2312"/>
                <w:b/>
                <w:bCs/>
                <w:kern w:val="0"/>
                <w:sz w:val="28"/>
                <w:szCs w:val="28"/>
                <w:highlight w:val="none"/>
              </w:rPr>
              <w:t>（单位：吨二氧化碳当量）</w:t>
            </w:r>
          </w:p>
        </w:tc>
        <w:tc>
          <w:tcPr>
            <w:tcW w:w="2766" w:type="dxa"/>
            <w:vAlign w:val="center"/>
          </w:tcPr>
          <w:p>
            <w:pPr>
              <w:autoSpaceDE w:val="0"/>
              <w:autoSpaceDN w:val="0"/>
              <w:adjustRightInd w:val="0"/>
              <w:spacing w:line="560" w:lineRule="exact"/>
              <w:jc w:val="center"/>
              <w:rPr>
                <w:rFonts w:ascii="宋体" w:hAnsi="宋体" w:eastAsia="宋体" w:cs="仿宋_GB2312"/>
                <w:b/>
                <w:bCs/>
                <w:kern w:val="0"/>
                <w:sz w:val="28"/>
                <w:szCs w:val="28"/>
                <w:highlight w:val="none"/>
              </w:rPr>
            </w:pPr>
            <w:r>
              <w:rPr>
                <w:rFonts w:hint="eastAsia" w:ascii="宋体" w:hAnsi="宋体" w:eastAsia="宋体" w:cs="仿宋_GB2312"/>
                <w:b/>
                <w:bCs/>
                <w:kern w:val="0"/>
                <w:sz w:val="28"/>
                <w:szCs w:val="28"/>
                <w:highlight w:val="none"/>
              </w:rPr>
              <w:t>所报告部分融资业务占该类型融资业务的比例</w:t>
            </w:r>
          </w:p>
          <w:p>
            <w:pPr>
              <w:spacing w:line="560" w:lineRule="exact"/>
              <w:jc w:val="center"/>
              <w:rPr>
                <w:rFonts w:ascii="宋体" w:hAnsi="宋体" w:eastAsia="宋体" w:cs="仿宋_GB2312"/>
                <w:b/>
                <w:bCs/>
                <w:kern w:val="0"/>
                <w:sz w:val="28"/>
                <w:szCs w:val="28"/>
                <w:highlight w:val="none"/>
              </w:rPr>
            </w:pPr>
            <w:r>
              <w:rPr>
                <w:rFonts w:hint="eastAsia" w:ascii="宋体" w:hAnsi="宋体" w:eastAsia="宋体" w:cs="仿宋_GB2312"/>
                <w:b/>
                <w:bCs/>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397" w:type="dxa"/>
            <w:vAlign w:val="center"/>
          </w:tcPr>
          <w:p>
            <w:pPr>
              <w:spacing w:line="560" w:lineRule="exact"/>
              <w:jc w:val="center"/>
              <w:rPr>
                <w:rFonts w:ascii="宋体" w:hAnsi="宋体" w:eastAsia="宋体" w:cs="仿宋_GB2312"/>
                <w:kern w:val="0"/>
                <w:sz w:val="28"/>
                <w:szCs w:val="28"/>
                <w:highlight w:val="none"/>
              </w:rPr>
            </w:pPr>
            <w:r>
              <w:rPr>
                <w:rFonts w:hint="eastAsia" w:ascii="宋体" w:hAnsi="宋体" w:eastAsia="宋体" w:cs="仿宋_GB2312"/>
                <w:kern w:val="0"/>
                <w:sz w:val="28"/>
                <w:szCs w:val="28"/>
                <w:highlight w:val="none"/>
              </w:rPr>
              <w:t>项目融资业务碳排放量</w:t>
            </w:r>
          </w:p>
        </w:tc>
        <w:tc>
          <w:tcPr>
            <w:tcW w:w="2133" w:type="dxa"/>
            <w:vAlign w:val="center"/>
          </w:tcPr>
          <w:p>
            <w:pPr>
              <w:widowControl/>
              <w:jc w:val="right"/>
              <w:textAlignment w:val="center"/>
              <w:rPr>
                <w:rFonts w:ascii="Times New Roman" w:hAnsi="Times New Roman" w:cs="Times New Roman"/>
                <w:sz w:val="28"/>
                <w:szCs w:val="28"/>
                <w:highlight w:val="none"/>
              </w:rPr>
            </w:pPr>
            <w:r>
              <w:rPr>
                <w:rFonts w:ascii="Times New Roman" w:hAnsi="Times New Roman" w:cs="Times New Roman"/>
                <w:sz w:val="28"/>
                <w:szCs w:val="28"/>
                <w:highlight w:val="none"/>
              </w:rPr>
              <w:t>41579.15</w:t>
            </w:r>
          </w:p>
        </w:tc>
        <w:tc>
          <w:tcPr>
            <w:tcW w:w="2766" w:type="dxa"/>
            <w:shd w:val="clear" w:color="auto" w:fill="auto"/>
            <w:vAlign w:val="center"/>
          </w:tcPr>
          <w:p>
            <w:pPr>
              <w:spacing w:line="560" w:lineRule="exact"/>
              <w:jc w:val="righ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line="560" w:lineRule="exact"/>
              <w:jc w:val="center"/>
              <w:rPr>
                <w:rFonts w:ascii="宋体" w:hAnsi="宋体" w:eastAsia="宋体" w:cs="仿宋_GB2312"/>
                <w:kern w:val="0"/>
                <w:sz w:val="28"/>
                <w:szCs w:val="28"/>
                <w:highlight w:val="none"/>
              </w:rPr>
            </w:pPr>
            <w:r>
              <w:rPr>
                <w:rFonts w:hint="eastAsia" w:ascii="宋体" w:hAnsi="宋体" w:eastAsia="宋体" w:cs="仿宋_GB2312"/>
                <w:kern w:val="0"/>
                <w:sz w:val="28"/>
                <w:szCs w:val="28"/>
                <w:highlight w:val="none"/>
              </w:rPr>
              <w:t>非项目融资业务碳排放量</w:t>
            </w:r>
          </w:p>
        </w:tc>
        <w:tc>
          <w:tcPr>
            <w:tcW w:w="2133" w:type="dxa"/>
            <w:vAlign w:val="center"/>
          </w:tcPr>
          <w:p>
            <w:pPr>
              <w:spacing w:line="560" w:lineRule="exact"/>
              <w:jc w:val="right"/>
              <w:rPr>
                <w:rFonts w:ascii="Times New Roman" w:hAnsi="Times New Roman" w:cs="Times New Roman"/>
                <w:sz w:val="28"/>
                <w:szCs w:val="28"/>
                <w:highlight w:val="none"/>
              </w:rPr>
            </w:pPr>
            <w:r>
              <w:rPr>
                <w:rFonts w:ascii="Times New Roman" w:hAnsi="Times New Roman" w:cs="Times New Roman"/>
                <w:sz w:val="28"/>
                <w:szCs w:val="28"/>
                <w:highlight w:val="none"/>
              </w:rPr>
              <w:t>679.58</w:t>
            </w:r>
          </w:p>
        </w:tc>
        <w:tc>
          <w:tcPr>
            <w:tcW w:w="2766" w:type="dxa"/>
            <w:shd w:val="clear" w:color="auto" w:fill="auto"/>
            <w:vAlign w:val="center"/>
          </w:tcPr>
          <w:p>
            <w:pPr>
              <w:spacing w:line="560" w:lineRule="exact"/>
              <w:jc w:val="right"/>
              <w:rPr>
                <w:rFonts w:ascii="Times New Roman" w:hAnsi="Times New Roman" w:eastAsia="宋体" w:cs="Times New Roman"/>
                <w:kern w:val="0"/>
                <w:sz w:val="24"/>
                <w:szCs w:val="24"/>
                <w:highlight w:val="none"/>
              </w:rPr>
            </w:pPr>
            <w:r>
              <w:rPr>
                <w:rFonts w:hint="eastAsia" w:ascii="Times New Roman" w:hAnsi="Times New Roman" w:eastAsia="宋体" w:cs="Times New Roman"/>
                <w:kern w:val="0"/>
                <w:sz w:val="24"/>
                <w:szCs w:val="24"/>
                <w:highlight w:val="none"/>
              </w:rPr>
              <w:t>0.06</w:t>
            </w:r>
          </w:p>
        </w:tc>
      </w:tr>
    </w:tbl>
    <w:p>
      <w:pPr>
        <w:spacing w:line="360" w:lineRule="auto"/>
        <w:ind w:firstLine="420" w:firstLineChars="200"/>
        <w:rPr>
          <w:rFonts w:ascii="宋体" w:hAnsi="宋体" w:eastAsia="宋体" w:cs="仿宋_GB2312"/>
          <w:szCs w:val="21"/>
          <w:highlight w:val="none"/>
        </w:rPr>
      </w:pPr>
      <w:r>
        <w:rPr>
          <w:rFonts w:hint="eastAsia" w:ascii="宋体" w:hAnsi="宋体" w:eastAsia="宋体" w:cs="仿宋_GB2312"/>
          <w:szCs w:val="21"/>
          <w:highlight w:val="none"/>
        </w:rPr>
        <w:t>注：本报告遵循“能披尽披”原则，对符合《金融机构碳核算技术指南（试行）》的全部融资业务进行了碳核算。其中，项目融资业务共60笔，该类型业务碳核算60笔，占比100%。非项目融资业务共165笔，月均融资额大于500万元且符合大型、中型企业标准的共1笔，该类型业务碳核算占比0.6%。</w:t>
      </w:r>
    </w:p>
    <w:p>
      <w:pPr>
        <w:spacing w:before="240" w:line="560" w:lineRule="exact"/>
        <w:jc w:val="center"/>
        <w:rPr>
          <w:rFonts w:cs="仿宋_GB2312" w:asciiTheme="minorEastAsia" w:hAnsiTheme="minorEastAsia"/>
          <w:sz w:val="28"/>
          <w:szCs w:val="28"/>
          <w:highlight w:val="none"/>
        </w:rPr>
      </w:pPr>
      <w:r>
        <w:rPr>
          <w:rFonts w:hint="eastAsia" w:cs="仿宋_GB2312" w:asciiTheme="minorEastAsia" w:hAnsiTheme="minorEastAsia"/>
          <w:kern w:val="0"/>
          <w:sz w:val="28"/>
          <w:szCs w:val="28"/>
          <w:highlight w:val="none"/>
        </w:rPr>
        <w:t>报告期投融资活动产生的碳减排量汇总表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133"/>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3397" w:type="dxa"/>
            <w:vAlign w:val="center"/>
          </w:tcPr>
          <w:p>
            <w:pPr>
              <w:spacing w:line="360" w:lineRule="auto"/>
              <w:jc w:val="center"/>
              <w:rPr>
                <w:rFonts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rPr>
              <w:t>类别</w:t>
            </w:r>
          </w:p>
        </w:tc>
        <w:tc>
          <w:tcPr>
            <w:tcW w:w="2133" w:type="dxa"/>
            <w:vAlign w:val="center"/>
          </w:tcPr>
          <w:p>
            <w:pPr>
              <w:spacing w:line="360" w:lineRule="auto"/>
              <w:jc w:val="center"/>
              <w:rPr>
                <w:rFonts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rPr>
              <w:t>二氧化碳当量</w:t>
            </w:r>
          </w:p>
          <w:p>
            <w:pPr>
              <w:spacing w:line="360" w:lineRule="auto"/>
              <w:jc w:val="center"/>
              <w:rPr>
                <w:rFonts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rPr>
              <w:t>（单位：吨二氧化碳当量）</w:t>
            </w:r>
          </w:p>
        </w:tc>
        <w:tc>
          <w:tcPr>
            <w:tcW w:w="2766" w:type="dxa"/>
            <w:vAlign w:val="center"/>
          </w:tcPr>
          <w:p>
            <w:pPr>
              <w:spacing w:line="360" w:lineRule="auto"/>
              <w:jc w:val="center"/>
              <w:rPr>
                <w:rFonts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rPr>
              <w:t>所报告部分融资业务占该类型融资业务的比例</w:t>
            </w:r>
          </w:p>
          <w:p>
            <w:pPr>
              <w:spacing w:line="360" w:lineRule="auto"/>
              <w:jc w:val="center"/>
              <w:rPr>
                <w:rFonts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line="360" w:lineRule="auto"/>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项目融资业务碳减排量</w:t>
            </w:r>
          </w:p>
        </w:tc>
        <w:tc>
          <w:tcPr>
            <w:tcW w:w="2133" w:type="dxa"/>
            <w:vAlign w:val="center"/>
          </w:tcPr>
          <w:p>
            <w:pPr>
              <w:spacing w:line="360" w:lineRule="auto"/>
              <w:jc w:val="right"/>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321.05</w:t>
            </w:r>
          </w:p>
        </w:tc>
        <w:tc>
          <w:tcPr>
            <w:tcW w:w="2766" w:type="dxa"/>
            <w:vAlign w:val="center"/>
          </w:tcPr>
          <w:p>
            <w:pPr>
              <w:spacing w:line="360" w:lineRule="auto"/>
              <w:jc w:val="right"/>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vAlign w:val="center"/>
          </w:tcPr>
          <w:p>
            <w:pPr>
              <w:spacing w:line="360" w:lineRule="auto"/>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非项目融资业务碳减排量</w:t>
            </w:r>
          </w:p>
        </w:tc>
        <w:tc>
          <w:tcPr>
            <w:tcW w:w="2133" w:type="dxa"/>
            <w:vAlign w:val="center"/>
          </w:tcPr>
          <w:p>
            <w:pPr>
              <w:spacing w:line="360" w:lineRule="auto"/>
              <w:jc w:val="right"/>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w:t>
            </w:r>
          </w:p>
        </w:tc>
        <w:tc>
          <w:tcPr>
            <w:tcW w:w="2766" w:type="dxa"/>
            <w:vAlign w:val="center"/>
          </w:tcPr>
          <w:p>
            <w:pPr>
              <w:spacing w:line="360" w:lineRule="auto"/>
              <w:jc w:val="right"/>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w:t>
            </w:r>
          </w:p>
        </w:tc>
      </w:tr>
    </w:tbl>
    <w:p>
      <w:pPr>
        <w:spacing w:line="360" w:lineRule="auto"/>
        <w:ind w:firstLine="420"/>
        <w:rPr>
          <w:rFonts w:ascii="Times New Roman" w:hAnsi="Times New Roman" w:cs="Times New Roman"/>
          <w:szCs w:val="21"/>
          <w:highlight w:val="none"/>
        </w:rPr>
      </w:pPr>
      <w:r>
        <w:rPr>
          <w:rFonts w:ascii="Times New Roman" w:hAnsi="Times New Roman" w:cs="Times New Roman"/>
          <w:szCs w:val="21"/>
          <w:highlight w:val="none"/>
        </w:rPr>
        <w:t>注：项目/非项目融资业务碳减排核算与碳排放核算对象保持一致。碳减排核算的报告期为2021年，基期为2020年。其中，项目融资业务的分类为符合《绿色债券支持目录》《绿色产业指导目录》等，共</w:t>
      </w:r>
      <w:r>
        <w:rPr>
          <w:rFonts w:hint="eastAsia" w:ascii="Times New Roman" w:hAnsi="Times New Roman" w:cs="Times New Roman"/>
          <w:szCs w:val="21"/>
          <w:highlight w:val="none"/>
        </w:rPr>
        <w:t>9</w:t>
      </w:r>
      <w:r>
        <w:rPr>
          <w:rFonts w:ascii="Times New Roman" w:hAnsi="Times New Roman" w:cs="Times New Roman"/>
          <w:szCs w:val="21"/>
          <w:highlight w:val="none"/>
        </w:rPr>
        <w:t>笔，碳减排核算</w:t>
      </w:r>
      <w:r>
        <w:rPr>
          <w:rFonts w:hint="eastAsia" w:ascii="Times New Roman" w:hAnsi="Times New Roman" w:cs="Times New Roman"/>
          <w:szCs w:val="21"/>
          <w:highlight w:val="none"/>
        </w:rPr>
        <w:t>1</w:t>
      </w:r>
      <w:r>
        <w:rPr>
          <w:rFonts w:ascii="Times New Roman" w:hAnsi="Times New Roman" w:cs="Times New Roman"/>
          <w:szCs w:val="21"/>
          <w:highlight w:val="none"/>
        </w:rPr>
        <w:t>笔，占比1</w:t>
      </w:r>
      <w:r>
        <w:rPr>
          <w:rFonts w:hint="eastAsia" w:ascii="Times New Roman" w:hAnsi="Times New Roman" w:cs="Times New Roman"/>
          <w:szCs w:val="21"/>
          <w:highlight w:val="none"/>
        </w:rPr>
        <w:t>1.11</w:t>
      </w:r>
      <w:r>
        <w:rPr>
          <w:rFonts w:ascii="Times New Roman" w:hAnsi="Times New Roman" w:cs="Times New Roman"/>
          <w:szCs w:val="21"/>
          <w:highlight w:val="none"/>
        </w:rPr>
        <w:t>%。非项目融资业务报告期内与基期相比未产生碳减排量。</w:t>
      </w:r>
    </w:p>
    <w:p>
      <w:pPr>
        <w:pStyle w:val="6"/>
        <w:ind w:firstLine="643" w:firstLineChars="200"/>
        <w:rPr>
          <w:highlight w:val="none"/>
        </w:rPr>
      </w:pPr>
      <w:bookmarkStart w:id="38" w:name="_Toc9850"/>
      <w:bookmarkStart w:id="39" w:name="_Toc16743"/>
      <w:bookmarkStart w:id="40" w:name="_Toc30116"/>
      <w:bookmarkStart w:id="41" w:name="_Toc153"/>
      <w:r>
        <w:rPr>
          <w:rFonts w:hint="eastAsia"/>
          <w:highlight w:val="none"/>
        </w:rPr>
        <w:t>7.2 绿色信贷及其环境影响</w:t>
      </w:r>
      <w:bookmarkEnd w:id="38"/>
      <w:bookmarkEnd w:id="39"/>
      <w:bookmarkEnd w:id="40"/>
      <w:bookmarkEnd w:id="41"/>
    </w:p>
    <w:p>
      <w:pPr>
        <w:spacing w:line="300" w:lineRule="auto"/>
        <w:ind w:firstLine="560"/>
        <w:rPr>
          <w:rFonts w:ascii="Times New Roman" w:hAnsi="Times New Roman" w:eastAsia="宋体" w:cs="Times New Roman"/>
          <w:sz w:val="28"/>
          <w:szCs w:val="28"/>
          <w:highlight w:val="none"/>
        </w:rPr>
      </w:pPr>
      <w:r>
        <w:rPr>
          <w:rFonts w:hint="eastAsia" w:ascii="Times New Roman" w:hAnsi="Times New Roman" w:eastAsia="宋体" w:cs="Times New Roman"/>
          <w:sz w:val="28"/>
          <w:szCs w:val="28"/>
          <w:highlight w:val="none"/>
        </w:rPr>
        <w:t>截至2021年末，</w:t>
      </w:r>
      <w:r>
        <w:rPr>
          <w:rFonts w:hint="eastAsia" w:ascii="Times New Roman" w:hAnsi="Times New Roman" w:eastAsia="宋体" w:cs="Times New Roman"/>
          <w:sz w:val="28"/>
          <w:szCs w:val="28"/>
          <w:highlight w:val="none"/>
          <w:lang w:eastAsia="zh-CN"/>
        </w:rPr>
        <w:t>本行</w:t>
      </w:r>
      <w:r>
        <w:rPr>
          <w:rFonts w:hint="eastAsia" w:ascii="Times New Roman" w:hAnsi="Times New Roman" w:eastAsia="宋体" w:cs="Times New Roman"/>
          <w:sz w:val="28"/>
          <w:szCs w:val="28"/>
          <w:highlight w:val="none"/>
        </w:rPr>
        <w:t>绿色贷款余额1.77亿元，主要投向节能环保产业6699万元（约占37.84%）、清洁生产产业797万元（约占4.5%）、清洁能源产业1820万元（约占10.28%）及生态环境产业390万元（约占2.2%）</w:t>
      </w:r>
      <w:r>
        <w:rPr>
          <w:rFonts w:ascii="Times New Roman" w:hAnsi="Times New Roman" w:eastAsia="宋体" w:cs="Times New Roman"/>
          <w:sz w:val="28"/>
          <w:szCs w:val="28"/>
          <w:highlight w:val="none"/>
        </w:rPr>
        <w:t>。</w:t>
      </w:r>
    </w:p>
    <w:p>
      <w:pPr>
        <w:spacing w:before="156" w:beforeLines="50" w:after="156" w:afterLines="50" w:line="300" w:lineRule="auto"/>
        <w:jc w:val="center"/>
        <w:rPr>
          <w:rFonts w:ascii="宋体" w:hAnsi="宋体" w:eastAsia="宋体" w:cs="宋体"/>
          <w:b/>
          <w:bCs/>
          <w:sz w:val="28"/>
          <w:szCs w:val="28"/>
          <w:highlight w:val="none"/>
        </w:rPr>
      </w:pPr>
      <w:r>
        <w:rPr>
          <w:rFonts w:hint="eastAsia" w:ascii="宋体" w:hAnsi="宋体" w:eastAsia="宋体" w:cs="宋体"/>
          <w:b/>
          <w:bCs/>
          <w:sz w:val="28"/>
          <w:szCs w:val="28"/>
          <w:highlight w:val="none"/>
        </w:rPr>
        <w:t>2</w:t>
      </w:r>
      <w:r>
        <w:rPr>
          <w:rFonts w:ascii="宋体" w:hAnsi="宋体" w:eastAsia="宋体" w:cs="宋体"/>
          <w:b/>
          <w:bCs/>
          <w:sz w:val="28"/>
          <w:szCs w:val="28"/>
          <w:highlight w:val="none"/>
        </w:rPr>
        <w:t>021</w:t>
      </w:r>
      <w:r>
        <w:rPr>
          <w:rFonts w:hint="eastAsia" w:ascii="宋体" w:hAnsi="宋体" w:eastAsia="宋体" w:cs="宋体"/>
          <w:b/>
          <w:bCs/>
          <w:sz w:val="28"/>
          <w:szCs w:val="28"/>
          <w:highlight w:val="none"/>
        </w:rPr>
        <w:t>年度绿色信贷情况概览</w:t>
      </w:r>
    </w:p>
    <w:tbl>
      <w:tblPr>
        <w:tblStyle w:val="20"/>
        <w:tblW w:w="4999" w:type="pct"/>
        <w:tblInd w:w="0" w:type="dxa"/>
        <w:tblLayout w:type="autofit"/>
        <w:tblCellMar>
          <w:top w:w="0" w:type="dxa"/>
          <w:left w:w="108" w:type="dxa"/>
          <w:bottom w:w="0" w:type="dxa"/>
          <w:right w:w="108" w:type="dxa"/>
        </w:tblCellMar>
      </w:tblPr>
      <w:tblGrid>
        <w:gridCol w:w="5474"/>
        <w:gridCol w:w="1761"/>
        <w:gridCol w:w="1285"/>
      </w:tblGrid>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b/>
                <w:bCs/>
                <w:color w:val="000000"/>
                <w:sz w:val="28"/>
                <w:szCs w:val="28"/>
                <w:highlight w:val="none"/>
              </w:rPr>
            </w:pPr>
            <w:r>
              <w:rPr>
                <w:rFonts w:ascii="Times New Roman" w:hAnsi="Times New Roman" w:eastAsia="宋体" w:cs="Times New Roman"/>
                <w:b/>
                <w:bCs/>
                <w:color w:val="000000"/>
                <w:kern w:val="0"/>
                <w:sz w:val="28"/>
                <w:szCs w:val="28"/>
                <w:highlight w:val="none"/>
                <w:lang w:bidi="ar"/>
              </w:rPr>
              <w:t>指标</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b/>
                <w:bCs/>
                <w:color w:val="000000"/>
                <w:sz w:val="28"/>
                <w:szCs w:val="28"/>
                <w:highlight w:val="none"/>
              </w:rPr>
            </w:pPr>
            <w:r>
              <w:rPr>
                <w:rFonts w:ascii="Times New Roman" w:hAnsi="Times New Roman" w:eastAsia="宋体" w:cs="Times New Roman"/>
                <w:b/>
                <w:bCs/>
                <w:color w:val="000000"/>
                <w:kern w:val="0"/>
                <w:sz w:val="28"/>
                <w:szCs w:val="28"/>
                <w:highlight w:val="none"/>
                <w:lang w:bidi="ar"/>
              </w:rPr>
              <w:t>数额</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b/>
                <w:bCs/>
                <w:color w:val="000000"/>
                <w:sz w:val="28"/>
                <w:szCs w:val="28"/>
                <w:highlight w:val="none"/>
              </w:rPr>
            </w:pPr>
            <w:r>
              <w:rPr>
                <w:rFonts w:ascii="Times New Roman" w:hAnsi="Times New Roman" w:eastAsia="宋体" w:cs="Times New Roman"/>
                <w:b/>
                <w:bCs/>
                <w:color w:val="000000"/>
                <w:kern w:val="0"/>
                <w:sz w:val="28"/>
                <w:szCs w:val="28"/>
                <w:highlight w:val="none"/>
                <w:lang w:bidi="ar"/>
              </w:rPr>
              <w:t>单位</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b/>
                <w:bCs/>
                <w:color w:val="000000"/>
                <w:sz w:val="28"/>
                <w:szCs w:val="28"/>
                <w:highlight w:val="none"/>
              </w:rPr>
            </w:pPr>
            <w:r>
              <w:rPr>
                <w:rFonts w:ascii="Times New Roman" w:hAnsi="Times New Roman" w:eastAsia="宋体" w:cs="Times New Roman"/>
                <w:b/>
                <w:bCs/>
                <w:color w:val="000000"/>
                <w:kern w:val="0"/>
                <w:sz w:val="28"/>
                <w:szCs w:val="28"/>
                <w:highlight w:val="none"/>
                <w:lang w:bidi="ar"/>
              </w:rPr>
              <w:t>信贷余额</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b/>
                <w:bCs/>
                <w:color w:val="000000"/>
                <w:sz w:val="28"/>
                <w:szCs w:val="28"/>
                <w:highlight w:val="none"/>
              </w:rPr>
            </w:pPr>
            <w:r>
              <w:rPr>
                <w:rFonts w:ascii="Times New Roman" w:hAnsi="Times New Roman" w:eastAsia="宋体" w:cs="Times New Roman"/>
                <w:b/>
                <w:bCs/>
                <w:color w:val="000000"/>
                <w:kern w:val="0"/>
                <w:sz w:val="28"/>
                <w:szCs w:val="28"/>
                <w:highlight w:val="none"/>
                <w:lang w:bidi="ar"/>
              </w:rPr>
              <w:t>68.18</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Style w:val="57"/>
                <w:rFonts w:hint="default" w:ascii="Times New Roman" w:hAnsi="Times New Roman" w:cs="Times New Roman"/>
                <w:sz w:val="28"/>
                <w:szCs w:val="28"/>
                <w:highlight w:val="none"/>
                <w:lang w:bidi="ar"/>
              </w:rPr>
              <w:t>亿元</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b/>
                <w:bCs/>
                <w:color w:val="000000"/>
                <w:sz w:val="28"/>
                <w:szCs w:val="28"/>
                <w:highlight w:val="none"/>
              </w:rPr>
            </w:pPr>
            <w:r>
              <w:rPr>
                <w:rFonts w:ascii="Times New Roman" w:hAnsi="Times New Roman" w:eastAsia="宋体" w:cs="Times New Roman"/>
                <w:b/>
                <w:bCs/>
                <w:color w:val="000000"/>
                <w:kern w:val="0"/>
                <w:sz w:val="28"/>
                <w:szCs w:val="28"/>
                <w:highlight w:val="none"/>
                <w:lang w:bidi="ar"/>
              </w:rPr>
              <w:t>绿色信贷余额</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b/>
                <w:bCs/>
                <w:color w:val="000000"/>
                <w:sz w:val="28"/>
                <w:szCs w:val="28"/>
                <w:highlight w:val="none"/>
              </w:rPr>
            </w:pPr>
            <w:r>
              <w:rPr>
                <w:rFonts w:ascii="Times New Roman" w:hAnsi="Times New Roman" w:eastAsia="宋体" w:cs="Times New Roman"/>
                <w:color w:val="000000"/>
                <w:kern w:val="0"/>
                <w:sz w:val="28"/>
                <w:szCs w:val="28"/>
                <w:highlight w:val="none"/>
                <w:lang w:bidi="ar"/>
              </w:rPr>
              <w:t>1.77</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Style w:val="57"/>
                <w:rFonts w:hint="default" w:ascii="Times New Roman" w:hAnsi="Times New Roman" w:cs="Times New Roman"/>
                <w:sz w:val="28"/>
                <w:szCs w:val="28"/>
                <w:highlight w:val="none"/>
                <w:lang w:bidi="ar"/>
              </w:rPr>
              <w:t>亿元</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 xml:space="preserve">  其中：绿色信贷余额占比</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2.60</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1120" w:firstLineChars="400"/>
              <w:jc w:val="lef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较年初增加额</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0.72</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亿元</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1120" w:firstLineChars="400"/>
              <w:jc w:val="lef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较年初增幅</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69.12</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1120" w:firstLineChars="400"/>
              <w:jc w:val="lef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绿色客户数量</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8</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户</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b/>
                <w:bCs/>
                <w:color w:val="000000"/>
                <w:sz w:val="28"/>
                <w:szCs w:val="28"/>
                <w:highlight w:val="none"/>
              </w:rPr>
            </w:pPr>
            <w:r>
              <w:rPr>
                <w:rFonts w:ascii="Times New Roman" w:hAnsi="Times New Roman" w:eastAsia="宋体" w:cs="Times New Roman"/>
                <w:b/>
                <w:bCs/>
                <w:color w:val="000000"/>
                <w:kern w:val="0"/>
                <w:sz w:val="28"/>
                <w:szCs w:val="28"/>
                <w:highlight w:val="none"/>
                <w:lang w:bidi="ar"/>
              </w:rPr>
              <w:t xml:space="preserve"> 对公表内信贷余额</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32.54</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Style w:val="57"/>
                <w:rFonts w:hint="default" w:ascii="Times New Roman" w:hAnsi="Times New Roman" w:cs="Times New Roman"/>
                <w:sz w:val="28"/>
                <w:szCs w:val="28"/>
                <w:highlight w:val="none"/>
                <w:lang w:bidi="ar"/>
              </w:rPr>
              <w:t>亿元</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b/>
                <w:bCs/>
                <w:color w:val="000000"/>
                <w:sz w:val="28"/>
                <w:szCs w:val="28"/>
                <w:highlight w:val="none"/>
              </w:rPr>
            </w:pPr>
            <w:r>
              <w:rPr>
                <w:rFonts w:ascii="Times New Roman" w:hAnsi="Times New Roman" w:eastAsia="宋体" w:cs="Times New Roman"/>
                <w:b/>
                <w:bCs/>
                <w:color w:val="000000"/>
                <w:kern w:val="0"/>
                <w:sz w:val="28"/>
                <w:szCs w:val="28"/>
                <w:highlight w:val="none"/>
                <w:lang w:bidi="ar"/>
              </w:rPr>
              <w:t xml:space="preserve"> 对公表内绿色信贷余额</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1.77</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Style w:val="57"/>
                <w:rFonts w:hint="default" w:ascii="Times New Roman" w:hAnsi="Times New Roman" w:cs="Times New Roman"/>
                <w:sz w:val="28"/>
                <w:szCs w:val="28"/>
                <w:highlight w:val="none"/>
                <w:lang w:bidi="ar"/>
              </w:rPr>
              <w:t>亿元</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280" w:firstLineChars="100"/>
              <w:jc w:val="lef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其中：绿色信贷余额占对公表内信贷余额占比</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5.44</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1120" w:firstLineChars="400"/>
              <w:jc w:val="lef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较年初增加额</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0.72</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亿元</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1120" w:firstLineChars="400"/>
              <w:jc w:val="lef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较年初增幅</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69.12</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ind w:firstLine="1120" w:firstLineChars="400"/>
              <w:jc w:val="lef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对公绿色客户数量</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8</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户</w:t>
            </w:r>
          </w:p>
        </w:tc>
      </w:tr>
      <w:tr>
        <w:tblPrEx>
          <w:tblCellMar>
            <w:top w:w="0" w:type="dxa"/>
            <w:left w:w="108" w:type="dxa"/>
            <w:bottom w:w="0" w:type="dxa"/>
            <w:right w:w="108" w:type="dxa"/>
          </w:tblCellMar>
        </w:tblPrEx>
        <w:trPr>
          <w:trHeight w:val="280" w:hRule="atLeast"/>
        </w:trPr>
        <w:tc>
          <w:tcPr>
            <w:tcW w:w="3212"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Times New Roman" w:hAnsi="Times New Roman" w:eastAsia="宋体" w:cs="Times New Roman"/>
                <w:b/>
                <w:bCs/>
                <w:color w:val="000000"/>
                <w:sz w:val="28"/>
                <w:szCs w:val="28"/>
                <w:highlight w:val="none"/>
              </w:rPr>
            </w:pPr>
            <w:r>
              <w:rPr>
                <w:rFonts w:ascii="Times New Roman" w:hAnsi="Times New Roman" w:eastAsia="宋体" w:cs="Times New Roman"/>
                <w:b/>
                <w:bCs/>
                <w:color w:val="000000"/>
                <w:kern w:val="0"/>
                <w:sz w:val="28"/>
                <w:szCs w:val="28"/>
                <w:highlight w:val="none"/>
                <w:lang w:bidi="ar"/>
              </w:rPr>
              <w:t xml:space="preserve"> 零售信贷余额</w:t>
            </w:r>
          </w:p>
        </w:tc>
        <w:tc>
          <w:tcPr>
            <w:tcW w:w="1033" w:type="pct"/>
            <w:tcBorders>
              <w:top w:val="single" w:color="000000" w:sz="4" w:space="0"/>
              <w:left w:val="single" w:color="000000" w:sz="4" w:space="0"/>
              <w:bottom w:val="single" w:color="000000" w:sz="4" w:space="0"/>
              <w:right w:val="single" w:color="000000" w:sz="4" w:space="0"/>
            </w:tcBorders>
            <w:shd w:val="clear" w:color="auto" w:fill="auto"/>
          </w:tcPr>
          <w:p>
            <w:pPr>
              <w:widowControl/>
              <w:jc w:val="right"/>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35.64</w:t>
            </w:r>
          </w:p>
        </w:tc>
        <w:tc>
          <w:tcPr>
            <w:tcW w:w="754"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top"/>
              <w:rPr>
                <w:rFonts w:ascii="Times New Roman" w:hAnsi="Times New Roman" w:eastAsia="宋体" w:cs="Times New Roman"/>
                <w:color w:val="000000"/>
                <w:sz w:val="28"/>
                <w:szCs w:val="28"/>
                <w:highlight w:val="none"/>
              </w:rPr>
            </w:pPr>
            <w:r>
              <w:rPr>
                <w:rFonts w:ascii="Times New Roman" w:hAnsi="Times New Roman" w:eastAsia="宋体" w:cs="Times New Roman"/>
                <w:color w:val="000000"/>
                <w:kern w:val="0"/>
                <w:sz w:val="28"/>
                <w:szCs w:val="28"/>
                <w:highlight w:val="none"/>
                <w:lang w:bidi="ar"/>
              </w:rPr>
              <w:t>亿元</w:t>
            </w:r>
          </w:p>
        </w:tc>
      </w:tr>
    </w:tbl>
    <w:p>
      <w:pPr>
        <w:spacing w:before="156" w:beforeLines="50" w:line="560" w:lineRule="exact"/>
        <w:ind w:firstLine="560"/>
        <w:rPr>
          <w:rFonts w:cs="仿宋_GB2312" w:asciiTheme="minorEastAsia" w:hAnsiTheme="minorEastAsia"/>
          <w:sz w:val="28"/>
          <w:szCs w:val="28"/>
          <w:highlight w:val="none"/>
        </w:rPr>
      </w:pPr>
      <w:r>
        <w:rPr>
          <w:rFonts w:hint="eastAsia" w:cs="仿宋_GB2312" w:asciiTheme="minorEastAsia" w:hAnsiTheme="minorEastAsia"/>
          <w:sz w:val="28"/>
          <w:szCs w:val="28"/>
          <w:highlight w:val="none"/>
          <w:lang w:eastAsia="zh-CN"/>
        </w:rPr>
        <w:t>本行</w:t>
      </w:r>
      <w:r>
        <w:rPr>
          <w:rFonts w:hint="eastAsia" w:cs="仿宋_GB2312" w:asciiTheme="minorEastAsia" w:hAnsiTheme="minorEastAsia"/>
          <w:sz w:val="28"/>
          <w:szCs w:val="28"/>
          <w:highlight w:val="none"/>
        </w:rPr>
        <w:t>依据银保监会《绿色信贷项目节能减排量测算指引》中节能减排量测算要求，对绿色信贷项目贷款所形成的环境效益进行测算。</w:t>
      </w:r>
    </w:p>
    <w:p>
      <w:pPr>
        <w:spacing w:before="156" w:beforeLines="50" w:after="156" w:afterLines="50" w:line="30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2021年绿色信贷环境效益</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2"/>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870" w:type="pct"/>
          </w:tcPr>
          <w:p>
            <w:pPr>
              <w:snapToGrid w:val="0"/>
              <w:spacing w:line="360" w:lineRule="auto"/>
              <w:jc w:val="center"/>
              <w:rPr>
                <w:rFonts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rPr>
              <w:t>环境效益</w:t>
            </w:r>
          </w:p>
        </w:tc>
        <w:tc>
          <w:tcPr>
            <w:tcW w:w="2129" w:type="pct"/>
          </w:tcPr>
          <w:p>
            <w:pPr>
              <w:snapToGrid w:val="0"/>
              <w:spacing w:line="360" w:lineRule="auto"/>
              <w:jc w:val="center"/>
              <w:rPr>
                <w:rFonts w:ascii="Times New Roman" w:hAnsi="Times New Roman" w:eastAsia="宋体" w:cs="Times New Roman"/>
                <w:b/>
                <w:bCs/>
                <w:kern w:val="0"/>
                <w:sz w:val="28"/>
                <w:szCs w:val="28"/>
                <w:highlight w:val="none"/>
              </w:rPr>
            </w:pPr>
            <w:r>
              <w:rPr>
                <w:rFonts w:hint="eastAsia" w:ascii="Times New Roman" w:hAnsi="Times New Roman" w:eastAsia="宋体" w:cs="Times New Roman"/>
                <w:b/>
                <w:bCs/>
                <w:kern w:val="0"/>
                <w:sz w:val="28"/>
                <w:szCs w:val="28"/>
                <w:highlight w:val="none"/>
              </w:rPr>
              <w:t>披露数据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70" w:type="pct"/>
            <w:vAlign w:val="center"/>
          </w:tcPr>
          <w:p>
            <w:pPr>
              <w:snapToGrid w:val="0"/>
              <w:spacing w:line="360" w:lineRule="auto"/>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节约标准煤（吨）</w:t>
            </w:r>
          </w:p>
        </w:tc>
        <w:tc>
          <w:tcPr>
            <w:tcW w:w="2129" w:type="pct"/>
            <w:vAlign w:val="center"/>
          </w:tcPr>
          <w:p>
            <w:pPr>
              <w:snapToGrid w:val="0"/>
              <w:spacing w:line="360" w:lineRule="auto"/>
              <w:jc w:val="right"/>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 xml:space="preserve">88.29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pct"/>
            <w:vAlign w:val="center"/>
          </w:tcPr>
          <w:p>
            <w:pPr>
              <w:snapToGrid w:val="0"/>
              <w:spacing w:line="360" w:lineRule="auto"/>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二氧化碳减排量（吨）</w:t>
            </w:r>
          </w:p>
        </w:tc>
        <w:tc>
          <w:tcPr>
            <w:tcW w:w="2129" w:type="pct"/>
            <w:vAlign w:val="center"/>
          </w:tcPr>
          <w:p>
            <w:pPr>
              <w:snapToGrid w:val="0"/>
              <w:spacing w:line="360" w:lineRule="auto"/>
              <w:jc w:val="right"/>
              <w:rPr>
                <w:rFonts w:ascii="Times New Roman" w:hAnsi="Times New Roman" w:eastAsia="宋体" w:cs="Times New Roman"/>
                <w:kern w:val="0"/>
                <w:sz w:val="28"/>
                <w:szCs w:val="28"/>
                <w:highlight w:val="none"/>
              </w:rPr>
            </w:pPr>
            <w:r>
              <w:rPr>
                <w:rFonts w:hint="eastAsia" w:ascii="Times New Roman" w:hAnsi="Times New Roman" w:eastAsia="宋体" w:cs="Times New Roman"/>
                <w:kern w:val="0"/>
                <w:sz w:val="28"/>
                <w:szCs w:val="28"/>
                <w:highlight w:val="none"/>
              </w:rPr>
              <w:t xml:space="preserve">321.05 </w:t>
            </w:r>
          </w:p>
        </w:tc>
      </w:tr>
    </w:tbl>
    <w:p>
      <w:pPr>
        <w:spacing w:line="560" w:lineRule="exact"/>
        <w:ind w:firstLine="420"/>
        <w:rPr>
          <w:rFonts w:hint="eastAsia" w:cs="仿宋_GB2312" w:asciiTheme="minorEastAsia" w:hAnsiTheme="minorEastAsia"/>
          <w:szCs w:val="21"/>
          <w:highlight w:val="none"/>
        </w:rPr>
      </w:pPr>
      <w:r>
        <w:rPr>
          <w:rFonts w:hint="eastAsia" w:cs="仿宋_GB2312" w:asciiTheme="minorEastAsia" w:hAnsiTheme="minorEastAsia"/>
          <w:szCs w:val="21"/>
          <w:highlight w:val="none"/>
        </w:rPr>
        <w:t>注：考虑数据可获取性和可计算性，部分无法量化的环境效益未列入其中。</w:t>
      </w:r>
    </w:p>
    <w:p>
      <w:pPr>
        <w:spacing w:before="156" w:beforeLines="50" w:after="156" w:afterLines="50" w:line="300" w:lineRule="auto"/>
        <w:jc w:val="center"/>
        <w:rPr>
          <w:rFonts w:hint="default" w:ascii="宋体" w:hAnsi="宋体" w:eastAsia="宋体" w:cs="宋体"/>
          <w:b/>
          <w:bCs/>
          <w:sz w:val="28"/>
          <w:szCs w:val="28"/>
          <w:highlight w:val="none"/>
          <w:lang w:val="en-US" w:eastAsia="zh-CN"/>
        </w:rPr>
      </w:pPr>
      <w:r>
        <w:rPr>
          <w:rFonts w:hint="eastAsia" w:ascii="宋体" w:hAnsi="宋体" w:eastAsia="宋体" w:cs="宋体"/>
          <w:b/>
          <w:bCs/>
          <w:sz w:val="28"/>
          <w:szCs w:val="28"/>
          <w:highlight w:val="none"/>
        </w:rPr>
        <w:t>2021年绿色</w:t>
      </w:r>
      <w:r>
        <w:rPr>
          <w:rFonts w:hint="eastAsia" w:ascii="宋体" w:hAnsi="宋体" w:eastAsia="宋体" w:cs="宋体"/>
          <w:b/>
          <w:bCs/>
          <w:sz w:val="28"/>
          <w:szCs w:val="28"/>
          <w:highlight w:val="none"/>
          <w:lang w:val="en-US" w:eastAsia="zh-CN"/>
        </w:rPr>
        <w:t>投融资案例</w:t>
      </w:r>
    </w:p>
    <w:p>
      <w:pPr>
        <w:spacing w:before="156" w:beforeLines="50" w:line="560" w:lineRule="exact"/>
        <w:ind w:firstLine="560"/>
        <w:rPr>
          <w:rFonts w:hint="eastAsia" w:eastAsia="宋体" w:cs="仿宋_GB2312" w:asciiTheme="minorEastAsia" w:hAnsiTheme="minorEastAsia"/>
          <w:sz w:val="28"/>
          <w:szCs w:val="28"/>
          <w:highlight w:val="none"/>
          <w:lang w:val="en-US" w:eastAsia="zh-CN"/>
        </w:rPr>
      </w:pPr>
      <w:r>
        <w:rPr>
          <w:rFonts w:hint="eastAsia" w:cs="仿宋_GB2312" w:asciiTheme="minorEastAsia" w:hAnsiTheme="minorEastAsia"/>
          <w:sz w:val="28"/>
          <w:szCs w:val="28"/>
          <w:highlight w:val="none"/>
          <w:lang w:val="en-US" w:eastAsia="zh-CN"/>
        </w:rPr>
        <w:t>本行向六盘水市公共交通有限公司发放绿色项目贷款1800万元，用于该公司购置50辆新能源公交车替换传统燃油公交车50辆，其新购置车辆设计能耗为1度电/公里，替换的传统车辆设计能耗为0.33（柴油）升/公里，实际运营中，该公司每台车平均每天运行里程数约200公里、每年运营天数约310天，按此数据计算，该绿色融资项目可实现每年节约标准煤88.29吨，减排二氧化碳</w:t>
      </w:r>
      <w:r>
        <w:rPr>
          <w:rFonts w:hint="eastAsia" w:ascii="Times New Roman" w:hAnsi="Times New Roman" w:eastAsia="宋体" w:cs="Times New Roman"/>
          <w:kern w:val="0"/>
          <w:sz w:val="28"/>
          <w:szCs w:val="28"/>
          <w:highlight w:val="none"/>
        </w:rPr>
        <w:t>321.05</w:t>
      </w:r>
      <w:r>
        <w:rPr>
          <w:rFonts w:hint="eastAsia" w:ascii="Times New Roman" w:hAnsi="Times New Roman" w:eastAsia="宋体" w:cs="Times New Roman"/>
          <w:kern w:val="0"/>
          <w:sz w:val="28"/>
          <w:szCs w:val="28"/>
          <w:highlight w:val="none"/>
          <w:lang w:val="en-US" w:eastAsia="zh-CN"/>
        </w:rPr>
        <w:t>吨。</w:t>
      </w:r>
    </w:p>
    <w:p>
      <w:pPr>
        <w:pStyle w:val="6"/>
        <w:ind w:firstLine="643" w:firstLineChars="200"/>
        <w:rPr>
          <w:rFonts w:asciiTheme="minorEastAsia" w:hAnsiTheme="minorEastAsia" w:eastAsiaTheme="minorEastAsia"/>
          <w:highlight w:val="none"/>
        </w:rPr>
      </w:pPr>
      <w:bookmarkStart w:id="42" w:name="_Toc29162"/>
      <w:bookmarkStart w:id="43" w:name="_Toc14258"/>
      <w:bookmarkStart w:id="44" w:name="_Toc9941"/>
      <w:bookmarkStart w:id="45" w:name="_Toc2598"/>
      <w:r>
        <w:rPr>
          <w:rFonts w:hint="eastAsia"/>
          <w:highlight w:val="none"/>
        </w:rPr>
        <w:t>7.3 环境风险对投融资影响的测算与表达</w:t>
      </w:r>
      <w:bookmarkEnd w:id="42"/>
      <w:bookmarkEnd w:id="43"/>
      <w:bookmarkEnd w:id="44"/>
      <w:bookmarkEnd w:id="45"/>
    </w:p>
    <w:p>
      <w:pPr>
        <w:spacing w:line="560" w:lineRule="exact"/>
        <w:ind w:firstLine="560"/>
        <w:rPr>
          <w:rFonts w:cs="仿宋_GB2312" w:asciiTheme="minorEastAsia" w:hAnsiTheme="minorEastAsia"/>
          <w:sz w:val="28"/>
          <w:szCs w:val="28"/>
          <w:highlight w:val="none"/>
        </w:rPr>
      </w:pPr>
      <w:r>
        <w:rPr>
          <w:rFonts w:hint="eastAsia" w:cs="仿宋_GB2312" w:asciiTheme="minorEastAsia" w:hAnsiTheme="minorEastAsia"/>
          <w:sz w:val="28"/>
          <w:szCs w:val="28"/>
          <w:highlight w:val="none"/>
          <w:lang w:eastAsia="zh-CN"/>
        </w:rPr>
        <w:t>本行</w:t>
      </w:r>
      <w:r>
        <w:rPr>
          <w:rFonts w:hint="eastAsia" w:cs="仿宋_GB2312" w:asciiTheme="minorEastAsia" w:hAnsiTheme="minorEastAsia"/>
          <w:sz w:val="28"/>
          <w:szCs w:val="28"/>
          <w:highlight w:val="none"/>
        </w:rPr>
        <w:t>采用的环境影响测算方法来源于《金融机构碳核算技术指南（试行）》，其中企业碳排放数据基于客户提供的碳排放数据或能耗数据计算得出，对于部分贷款企业/项目数据如客户无法提供，则主要根据企业/项目投入量/产出量等参数与同行业企业/项目类别得到。企业或项目本身的碳排放量是按照GB/T 32150及相关企业温室气体排放核算和报告标准、企业温室气体排放核算方法与报告指南（试行）等的要求，核算其报告期内的排放量。</w:t>
      </w:r>
      <w:r>
        <w:rPr>
          <w:rFonts w:hint="eastAsia" w:cs="仿宋_GB2312" w:asciiTheme="minorEastAsia" w:hAnsiTheme="minorEastAsia"/>
          <w:sz w:val="28"/>
          <w:szCs w:val="28"/>
          <w:highlight w:val="none"/>
          <w:lang w:eastAsia="zh-CN"/>
        </w:rPr>
        <w:t>本行</w:t>
      </w:r>
      <w:r>
        <w:rPr>
          <w:rFonts w:hint="eastAsia" w:cs="仿宋_GB2312" w:asciiTheme="minorEastAsia" w:hAnsiTheme="minorEastAsia"/>
          <w:sz w:val="28"/>
          <w:szCs w:val="28"/>
          <w:highlight w:val="none"/>
        </w:rPr>
        <w:t>支持企业或项目建设运营投放的信贷产生的碳排放量依据其对企业或项目的月均投资额与企业总资产或项目总投资的比例分摊折算得到，具体测算公式如下：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296" w:type="dxa"/>
            <w:vAlign w:val="center"/>
          </w:tcPr>
          <w:p>
            <w:pPr>
              <w:spacing w:line="360" w:lineRule="auto"/>
              <w:ind w:firstLine="420"/>
              <w:jc w:val="center"/>
              <w:rPr>
                <w:rFonts w:eastAsia="宋体" w:cs="仿宋_GB2312" w:asciiTheme="minorEastAsia" w:hAnsiTheme="minorEastAsia"/>
                <w:kern w:val="0"/>
                <w:szCs w:val="21"/>
                <w:highlight w:val="none"/>
              </w:rPr>
            </w:pPr>
            <m:oMathPara>
              <m:oMath>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E</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项目业务</m:t>
                    </m:r>
                    <m:ctrlPr>
                      <w:rPr>
                        <w:rFonts w:ascii="Cambria Math" w:hAnsi="Cambria Math" w:eastAsia="宋体" w:cs="仿宋_GB2312"/>
                        <w:kern w:val="0"/>
                        <w:szCs w:val="21"/>
                        <w:highlight w:val="none"/>
                      </w:rPr>
                    </m:ctrlPr>
                  </m:sub>
                </m:sSub>
                <m:r>
                  <w:rPr>
                    <w:rFonts w:hint="eastAsia" w:ascii="Cambria Math" w:hAnsi="Cambria Math" w:eastAsia="宋体" w:cs="仿宋_GB2312"/>
                    <w:kern w:val="0"/>
                    <w:szCs w:val="21"/>
                    <w:highlight w:val="none"/>
                  </w:rPr>
                  <m:t>=</m:t>
                </m:r>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E</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项目</m:t>
                    </m:r>
                    <m:ctrlPr>
                      <w:rPr>
                        <w:rFonts w:ascii="Cambria Math" w:hAnsi="Cambria Math" w:eastAsia="宋体" w:cs="仿宋_GB2312"/>
                        <w:kern w:val="0"/>
                        <w:szCs w:val="21"/>
                        <w:highlight w:val="none"/>
                      </w:rPr>
                    </m:ctrlPr>
                  </m:sub>
                </m:sSub>
                <m:r>
                  <m:rPr>
                    <m:sty m:val="p"/>
                  </m:rPr>
                  <w:rPr>
                    <w:rFonts w:hint="eastAsia" w:ascii="Cambria Math" w:hAnsi="Cambria Math" w:eastAsia="宋体" w:cs="仿宋_GB2312"/>
                    <w:kern w:val="0"/>
                    <w:szCs w:val="21"/>
                    <w:highlight w:val="none"/>
                  </w:rPr>
                  <m:t>×（</m:t>
                </m:r>
                <m:f>
                  <m:fPr>
                    <m:ctrlPr>
                      <w:rPr>
                        <w:rFonts w:hint="eastAsia" w:ascii="Cambria Math" w:hAnsi="Cambria Math" w:eastAsia="宋体" w:cs="仿宋_GB2312"/>
                        <w:iCs/>
                        <w:kern w:val="0"/>
                        <w:szCs w:val="21"/>
                        <w:highlight w:val="none"/>
                      </w:rPr>
                    </m:ctrlPr>
                  </m:fPr>
                  <m:num>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V</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投资</m:t>
                        </m:r>
                        <m:ctrlPr>
                          <w:rPr>
                            <w:rFonts w:ascii="Cambria Math" w:hAnsi="Cambria Math" w:eastAsia="宋体" w:cs="仿宋_GB2312"/>
                            <w:kern w:val="0"/>
                            <w:szCs w:val="21"/>
                            <w:highlight w:val="none"/>
                          </w:rPr>
                        </m:ctrlPr>
                      </m:sub>
                    </m:sSub>
                    <m:ctrlPr>
                      <w:rPr>
                        <w:rFonts w:hint="eastAsia" w:ascii="Cambria Math" w:hAnsi="Cambria Math" w:eastAsia="宋体" w:cs="仿宋_GB2312"/>
                        <w:iCs/>
                        <w:kern w:val="0"/>
                        <w:szCs w:val="21"/>
                        <w:highlight w:val="none"/>
                      </w:rPr>
                    </m:ctrlPr>
                  </m:num>
                  <m:den>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V</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总投资</m:t>
                        </m:r>
                        <m:ctrlPr>
                          <w:rPr>
                            <w:rFonts w:ascii="Cambria Math" w:hAnsi="Cambria Math" w:eastAsia="宋体" w:cs="仿宋_GB2312"/>
                            <w:kern w:val="0"/>
                            <w:szCs w:val="21"/>
                            <w:highlight w:val="none"/>
                          </w:rPr>
                        </m:ctrlPr>
                      </m:sub>
                    </m:sSub>
                    <m:ctrlPr>
                      <w:rPr>
                        <w:rFonts w:hint="eastAsia" w:ascii="Cambria Math" w:hAnsi="Cambria Math" w:eastAsia="宋体" w:cs="仿宋_GB2312"/>
                        <w:iCs/>
                        <w:kern w:val="0"/>
                        <w:szCs w:val="21"/>
                        <w:highlight w:val="none"/>
                      </w:rPr>
                    </m:ctrlPr>
                  </m:den>
                </m:f>
                <m:r>
                  <m:rPr>
                    <m:sty m:val="p"/>
                  </m:rPr>
                  <w:rPr>
                    <w:rFonts w:hint="eastAsia" w:ascii="Cambria Math" w:hAnsi="Cambria Math" w:eastAsia="宋体" w:cs="仿宋_GB2312"/>
                    <w:kern w:val="0"/>
                    <w:szCs w:val="21"/>
                    <w:highlight w:val="none"/>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rPr>
                <w:rFonts w:eastAsia="宋体" w:cs="仿宋_GB2312" w:asciiTheme="minorEastAsia" w:hAnsiTheme="minorEastAsia"/>
                <w:kern w:val="0"/>
                <w:szCs w:val="21"/>
                <w:highlight w:val="none"/>
              </w:rPr>
            </w:pPr>
            <w:r>
              <w:rPr>
                <w:rFonts w:hint="eastAsia" w:eastAsia="宋体" w:cs="仿宋_GB2312" w:asciiTheme="minorEastAsia" w:hAnsiTheme="minorEastAsia"/>
                <w:kern w:val="0"/>
                <w:szCs w:val="21"/>
                <w:highlight w:val="none"/>
              </w:rPr>
              <w:t xml:space="preserve">此式为项目融资业务的碳排放核算公式，式中： </w:t>
            </w:r>
          </w:p>
          <w:p>
            <w:pPr>
              <w:spacing w:line="360" w:lineRule="auto"/>
              <w:ind w:firstLine="420"/>
              <w:rPr>
                <w:rFonts w:eastAsia="宋体" w:cs="仿宋_GB2312" w:asciiTheme="minorEastAsia" w:hAnsiTheme="minorEastAsia"/>
                <w:kern w:val="0"/>
                <w:szCs w:val="21"/>
                <w:highlight w:val="none"/>
              </w:rPr>
            </w:pPr>
            <w:r>
              <w:rPr>
                <w:rFonts w:hint="eastAsia" w:eastAsia="宋体" w:cs="仿宋_GB2312" w:asciiTheme="minorEastAsia" w:hAnsiTheme="minorEastAsia"/>
                <w:i/>
                <w:iCs/>
                <w:kern w:val="0"/>
                <w:szCs w:val="21"/>
                <w:highlight w:val="none"/>
              </w:rPr>
              <w:t>E</w:t>
            </w:r>
            <w:r>
              <w:rPr>
                <w:rFonts w:hint="eastAsia" w:eastAsia="宋体" w:cs="仿宋_GB2312" w:asciiTheme="minorEastAsia" w:hAnsiTheme="minorEastAsia"/>
                <w:kern w:val="0"/>
                <w:szCs w:val="21"/>
                <w:highlight w:val="none"/>
                <w:vertAlign w:val="subscript"/>
              </w:rPr>
              <w:t>项目业务</w:t>
            </w:r>
            <w:r>
              <w:rPr>
                <w:rFonts w:hint="eastAsia" w:eastAsia="宋体" w:cs="仿宋_GB2312" w:asciiTheme="minorEastAsia" w:hAnsiTheme="minorEastAsia"/>
                <w:kern w:val="0"/>
                <w:szCs w:val="21"/>
                <w:highlight w:val="none"/>
              </w:rPr>
              <w:t>——报告期内，项目融资业务对应的碳排放量，单位为吨二氧化碳当量（tCO</w:t>
            </w:r>
            <w:r>
              <w:rPr>
                <w:rFonts w:hint="eastAsia" w:eastAsia="宋体" w:cs="仿宋_GB2312" w:asciiTheme="minorEastAsia" w:hAnsiTheme="minorEastAsia"/>
                <w:kern w:val="0"/>
                <w:szCs w:val="21"/>
                <w:highlight w:val="none"/>
                <w:vertAlign w:val="subscript"/>
              </w:rPr>
              <w:t>2</w:t>
            </w:r>
            <w:r>
              <w:rPr>
                <w:rFonts w:hint="eastAsia" w:eastAsia="宋体" w:cs="仿宋_GB2312" w:asciiTheme="minorEastAsia" w:hAnsiTheme="minorEastAsia"/>
                <w:kern w:val="0"/>
                <w:szCs w:val="21"/>
                <w:highlight w:val="none"/>
              </w:rPr>
              <w:t xml:space="preserve">e）； </w:t>
            </w:r>
          </w:p>
          <w:p>
            <w:pPr>
              <w:spacing w:line="360" w:lineRule="auto"/>
              <w:ind w:firstLine="420"/>
              <w:rPr>
                <w:rFonts w:eastAsia="宋体" w:cs="仿宋_GB2312" w:asciiTheme="minorEastAsia" w:hAnsiTheme="minorEastAsia"/>
                <w:kern w:val="0"/>
                <w:szCs w:val="21"/>
                <w:highlight w:val="none"/>
              </w:rPr>
            </w:pPr>
            <w:r>
              <w:rPr>
                <w:rFonts w:hint="eastAsia" w:eastAsia="宋体" w:cs="仿宋_GB2312" w:asciiTheme="minorEastAsia" w:hAnsiTheme="minorEastAsia"/>
                <w:i/>
                <w:iCs/>
                <w:kern w:val="0"/>
                <w:szCs w:val="21"/>
                <w:highlight w:val="none"/>
              </w:rPr>
              <w:t>E</w:t>
            </w:r>
            <w:r>
              <w:rPr>
                <w:rFonts w:hint="eastAsia" w:eastAsia="宋体" w:cs="仿宋_GB2312" w:asciiTheme="minorEastAsia" w:hAnsiTheme="minorEastAsia"/>
                <w:kern w:val="0"/>
                <w:szCs w:val="21"/>
                <w:highlight w:val="none"/>
                <w:vertAlign w:val="subscript"/>
              </w:rPr>
              <w:t>项目</w:t>
            </w:r>
            <w:r>
              <w:rPr>
                <w:rFonts w:hint="eastAsia" w:eastAsia="宋体" w:cs="仿宋_GB2312" w:asciiTheme="minorEastAsia" w:hAnsiTheme="minorEastAsia"/>
                <w:kern w:val="0"/>
                <w:szCs w:val="21"/>
                <w:highlight w:val="none"/>
              </w:rPr>
              <w:t>——报告期内，项目的碳排放量，单位为吨二氧化碳当量（tCO</w:t>
            </w:r>
            <w:r>
              <w:rPr>
                <w:rFonts w:hint="eastAsia" w:eastAsia="宋体" w:cs="仿宋_GB2312" w:asciiTheme="minorEastAsia" w:hAnsiTheme="minorEastAsia"/>
                <w:kern w:val="0"/>
                <w:szCs w:val="21"/>
                <w:highlight w:val="none"/>
                <w:vertAlign w:val="subscript"/>
              </w:rPr>
              <w:t>2</w:t>
            </w:r>
            <w:r>
              <w:rPr>
                <w:rFonts w:hint="eastAsia" w:eastAsia="宋体" w:cs="仿宋_GB2312" w:asciiTheme="minorEastAsia" w:hAnsiTheme="minorEastAsia"/>
                <w:kern w:val="0"/>
                <w:szCs w:val="21"/>
                <w:highlight w:val="none"/>
              </w:rPr>
              <w:t xml:space="preserve">e）； </w:t>
            </w:r>
          </w:p>
          <w:p>
            <w:pPr>
              <w:spacing w:line="360" w:lineRule="auto"/>
              <w:ind w:firstLine="420"/>
              <w:rPr>
                <w:rFonts w:eastAsia="宋体" w:cs="仿宋_GB2312" w:asciiTheme="minorEastAsia" w:hAnsiTheme="minorEastAsia"/>
                <w:kern w:val="0"/>
                <w:szCs w:val="21"/>
                <w:highlight w:val="none"/>
              </w:rPr>
            </w:pPr>
            <w:r>
              <w:rPr>
                <w:rFonts w:hint="eastAsia" w:eastAsia="宋体" w:cs="仿宋_GB2312" w:asciiTheme="minorEastAsia" w:hAnsiTheme="minorEastAsia"/>
                <w:i/>
                <w:iCs/>
                <w:kern w:val="0"/>
                <w:szCs w:val="21"/>
                <w:highlight w:val="none"/>
              </w:rPr>
              <w:t>V</w:t>
            </w:r>
            <w:r>
              <w:rPr>
                <w:rFonts w:hint="eastAsia" w:eastAsia="宋体" w:cs="仿宋_GB2312" w:asciiTheme="minorEastAsia" w:hAnsiTheme="minorEastAsia"/>
                <w:kern w:val="0"/>
                <w:szCs w:val="21"/>
                <w:highlight w:val="none"/>
                <w:vertAlign w:val="subscript"/>
              </w:rPr>
              <w:t>投资</w:t>
            </w:r>
            <w:r>
              <w:rPr>
                <w:rFonts w:hint="eastAsia" w:eastAsia="宋体" w:cs="仿宋_GB2312" w:asciiTheme="minorEastAsia" w:hAnsiTheme="minorEastAsia"/>
                <w:kern w:val="0"/>
                <w:szCs w:val="21"/>
                <w:highlight w:val="none"/>
              </w:rPr>
              <w:t xml:space="preserve">——报告期内，金融机构对项目的月均投资额，单位为万元； </w:t>
            </w:r>
          </w:p>
          <w:p>
            <w:pPr>
              <w:spacing w:line="360" w:lineRule="auto"/>
              <w:ind w:firstLine="420"/>
              <w:rPr>
                <w:rFonts w:eastAsia="宋体" w:cs="仿宋_GB2312" w:asciiTheme="minorEastAsia" w:hAnsiTheme="minorEastAsia"/>
                <w:kern w:val="0"/>
                <w:szCs w:val="21"/>
                <w:highlight w:val="none"/>
              </w:rPr>
            </w:pPr>
            <w:r>
              <w:rPr>
                <w:rFonts w:hint="eastAsia" w:eastAsia="宋体" w:cs="仿宋_GB2312" w:asciiTheme="minorEastAsia" w:hAnsiTheme="minorEastAsia"/>
                <w:i/>
                <w:iCs/>
                <w:kern w:val="0"/>
                <w:szCs w:val="21"/>
                <w:highlight w:val="none"/>
              </w:rPr>
              <w:t>V</w:t>
            </w:r>
            <w:r>
              <w:rPr>
                <w:rFonts w:hint="eastAsia" w:eastAsia="宋体" w:cs="仿宋_GB2312" w:asciiTheme="minorEastAsia" w:hAnsiTheme="minorEastAsia"/>
                <w:kern w:val="0"/>
                <w:szCs w:val="21"/>
                <w:highlight w:val="none"/>
                <w:vertAlign w:val="subscript"/>
              </w:rPr>
              <w:t>总投资</w:t>
            </w:r>
            <w:r>
              <w:rPr>
                <w:rFonts w:hint="eastAsia" w:eastAsia="宋体" w:cs="仿宋_GB2312" w:asciiTheme="minorEastAsia" w:hAnsiTheme="minorEastAsia"/>
                <w:kern w:val="0"/>
                <w:szCs w:val="21"/>
                <w:highlight w:val="none"/>
              </w:rPr>
              <w:t xml:space="preserve">——报告期内，项目的总投资额，单位为万元。 </w:t>
            </w:r>
          </w:p>
          <w:p>
            <w:pPr>
              <w:spacing w:line="360" w:lineRule="auto"/>
              <w:ind w:firstLine="420"/>
              <w:rPr>
                <w:rFonts w:ascii="仿宋_GB2312" w:hAnsi="仿宋_GB2312" w:eastAsia="仿宋_GB2312" w:cs="仿宋_GB2312"/>
                <w:kern w:val="0"/>
                <w:szCs w:val="21"/>
                <w:highlight w:val="none"/>
              </w:rPr>
            </w:pPr>
            <w:r>
              <w:rPr>
                <w:rFonts w:hint="eastAsia" w:eastAsia="宋体" w:cs="仿宋_GB2312" w:asciiTheme="minorEastAsia" w:hAnsiTheme="minorEastAsia"/>
                <w:kern w:val="0"/>
                <w:szCs w:val="21"/>
                <w:highlight w:val="none"/>
              </w:rPr>
              <w:t>当</w:t>
            </w:r>
            <w:r>
              <w:rPr>
                <w:rFonts w:hint="eastAsia" w:eastAsia="宋体" w:cs="仿宋_GB2312" w:asciiTheme="minorEastAsia" w:hAnsiTheme="minorEastAsia"/>
                <w:i/>
                <w:iCs/>
                <w:kern w:val="0"/>
                <w:szCs w:val="21"/>
                <w:highlight w:val="none"/>
              </w:rPr>
              <w:t>V</w:t>
            </w:r>
            <w:r>
              <w:rPr>
                <w:rFonts w:hint="eastAsia" w:eastAsia="宋体" w:cs="仿宋_GB2312" w:asciiTheme="minorEastAsia" w:hAnsiTheme="minorEastAsia"/>
                <w:kern w:val="0"/>
                <w:szCs w:val="21"/>
                <w:highlight w:val="none"/>
                <w:vertAlign w:val="subscript"/>
              </w:rPr>
              <w:t>投资</w:t>
            </w:r>
            <w:r>
              <w:rPr>
                <w:rFonts w:hint="eastAsia" w:eastAsia="宋体" w:cs="仿宋_GB2312" w:asciiTheme="minorEastAsia" w:hAnsiTheme="minorEastAsia"/>
                <w:kern w:val="0"/>
                <w:szCs w:val="21"/>
                <w:highlight w:val="none"/>
              </w:rPr>
              <w:t>&gt;</w:t>
            </w:r>
            <w:r>
              <w:rPr>
                <w:rFonts w:hint="eastAsia" w:eastAsia="宋体" w:cs="仿宋_GB2312" w:asciiTheme="minorEastAsia" w:hAnsiTheme="minorEastAsia"/>
                <w:i/>
                <w:iCs/>
                <w:kern w:val="0"/>
                <w:szCs w:val="21"/>
                <w:highlight w:val="none"/>
              </w:rPr>
              <w:t xml:space="preserve"> V</w:t>
            </w:r>
            <w:r>
              <w:rPr>
                <w:rFonts w:hint="eastAsia" w:eastAsia="宋体" w:cs="仿宋_GB2312" w:asciiTheme="minorEastAsia" w:hAnsiTheme="minorEastAsia"/>
                <w:kern w:val="0"/>
                <w:szCs w:val="21"/>
                <w:highlight w:val="none"/>
                <w:vertAlign w:val="subscript"/>
              </w:rPr>
              <w:t>总投资</w:t>
            </w:r>
            <w:r>
              <w:rPr>
                <w:rFonts w:hint="eastAsia" w:eastAsia="宋体" w:cs="仿宋_GB2312" w:asciiTheme="minorEastAsia" w:hAnsiTheme="minorEastAsia"/>
                <w:kern w:val="0"/>
                <w:szCs w:val="21"/>
                <w:highlight w:val="none"/>
              </w:rPr>
              <w:t>时，</w:t>
            </w:r>
            <m:oMath>
              <m:r>
                <m:rPr>
                  <m:sty m:val="p"/>
                </m:rPr>
                <w:rPr>
                  <w:rFonts w:hint="eastAsia" w:ascii="Cambria Math" w:hAnsi="Cambria Math" w:eastAsia="宋体" w:cs="仿宋_GB2312"/>
                  <w:kern w:val="0"/>
                  <w:szCs w:val="21"/>
                  <w:highlight w:val="none"/>
                </w:rPr>
                <m:t>（</m:t>
              </m:r>
              <m:f>
                <m:fPr>
                  <m:ctrlPr>
                    <w:rPr>
                      <w:rFonts w:hint="eastAsia" w:ascii="Cambria Math" w:hAnsi="Cambria Math" w:eastAsia="宋体" w:cs="仿宋_GB2312"/>
                      <w:iCs/>
                      <w:kern w:val="0"/>
                      <w:szCs w:val="21"/>
                      <w:highlight w:val="none"/>
                    </w:rPr>
                  </m:ctrlPr>
                </m:fPr>
                <m:num>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V</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投资</m:t>
                      </m:r>
                      <m:ctrlPr>
                        <w:rPr>
                          <w:rFonts w:ascii="Cambria Math" w:hAnsi="Cambria Math" w:eastAsia="宋体" w:cs="仿宋_GB2312"/>
                          <w:kern w:val="0"/>
                          <w:szCs w:val="21"/>
                          <w:highlight w:val="none"/>
                        </w:rPr>
                      </m:ctrlPr>
                    </m:sub>
                  </m:sSub>
                  <m:ctrlPr>
                    <w:rPr>
                      <w:rFonts w:hint="eastAsia" w:ascii="Cambria Math" w:hAnsi="Cambria Math" w:eastAsia="宋体" w:cs="仿宋_GB2312"/>
                      <w:iCs/>
                      <w:kern w:val="0"/>
                      <w:szCs w:val="21"/>
                      <w:highlight w:val="none"/>
                    </w:rPr>
                  </m:ctrlPr>
                </m:num>
                <m:den>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V</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总投资</m:t>
                      </m:r>
                      <m:ctrlPr>
                        <w:rPr>
                          <w:rFonts w:ascii="Cambria Math" w:hAnsi="Cambria Math" w:eastAsia="宋体" w:cs="仿宋_GB2312"/>
                          <w:kern w:val="0"/>
                          <w:szCs w:val="21"/>
                          <w:highlight w:val="none"/>
                        </w:rPr>
                      </m:ctrlPr>
                    </m:sub>
                  </m:sSub>
                  <m:ctrlPr>
                    <w:rPr>
                      <w:rFonts w:hint="eastAsia" w:ascii="Cambria Math" w:hAnsi="Cambria Math" w:eastAsia="宋体" w:cs="仿宋_GB2312"/>
                      <w:iCs/>
                      <w:kern w:val="0"/>
                      <w:szCs w:val="21"/>
                      <w:highlight w:val="none"/>
                    </w:rPr>
                  </m:ctrlPr>
                </m:den>
              </m:f>
              <m:r>
                <m:rPr>
                  <m:sty m:val="p"/>
                </m:rPr>
                <w:rPr>
                  <w:rFonts w:hint="eastAsia" w:ascii="Cambria Math" w:hAnsi="Cambria Math" w:eastAsia="宋体" w:cs="仿宋_GB2312"/>
                  <w:kern w:val="0"/>
                  <w:szCs w:val="21"/>
                  <w:highlight w:val="none"/>
                </w:rPr>
                <m:t>）</m:t>
              </m:r>
            </m:oMath>
            <w:r>
              <w:rPr>
                <w:rFonts w:hint="eastAsia" w:eastAsia="宋体" w:cs="仿宋_GB2312" w:asciiTheme="minorEastAsia" w:hAnsiTheme="minorEastAsia"/>
                <w:kern w:val="0"/>
                <w:szCs w:val="21"/>
                <w:highlight w:val="none"/>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296" w:type="dxa"/>
            <w:vAlign w:val="center"/>
          </w:tcPr>
          <w:p>
            <w:pPr>
              <w:spacing w:line="360" w:lineRule="auto"/>
              <w:ind w:firstLine="420"/>
              <w:jc w:val="center"/>
              <w:rPr>
                <w:rFonts w:eastAsia="宋体" w:cs="仿宋_GB2312" w:asciiTheme="minorEastAsia" w:hAnsiTheme="minorEastAsia"/>
                <w:kern w:val="0"/>
                <w:szCs w:val="21"/>
                <w:highlight w:val="none"/>
              </w:rPr>
            </w:pPr>
            <m:oMathPara>
              <m:oMath>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E</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非项目业务</m:t>
                    </m:r>
                    <m:ctrlPr>
                      <w:rPr>
                        <w:rFonts w:ascii="Cambria Math" w:hAnsi="Cambria Math" w:eastAsia="宋体" w:cs="仿宋_GB2312"/>
                        <w:kern w:val="0"/>
                        <w:szCs w:val="21"/>
                        <w:highlight w:val="none"/>
                      </w:rPr>
                    </m:ctrlPr>
                  </m:sub>
                </m:sSub>
                <m:r>
                  <w:rPr>
                    <w:rFonts w:hint="eastAsia" w:ascii="Cambria Math" w:hAnsi="Cambria Math" w:eastAsia="宋体" w:cs="仿宋_GB2312"/>
                    <w:kern w:val="0"/>
                    <w:szCs w:val="21"/>
                    <w:highlight w:val="none"/>
                  </w:rPr>
                  <m:t>=</m:t>
                </m:r>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E</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主体</m:t>
                    </m:r>
                    <m:ctrlPr>
                      <w:rPr>
                        <w:rFonts w:ascii="Cambria Math" w:hAnsi="Cambria Math" w:eastAsia="宋体" w:cs="仿宋_GB2312"/>
                        <w:kern w:val="0"/>
                        <w:szCs w:val="21"/>
                        <w:highlight w:val="none"/>
                      </w:rPr>
                    </m:ctrlPr>
                  </m:sub>
                </m:sSub>
                <m:r>
                  <m:rPr>
                    <m:sty m:val="p"/>
                  </m:rPr>
                  <w:rPr>
                    <w:rFonts w:hint="eastAsia" w:ascii="Cambria Math" w:hAnsi="Cambria Math" w:eastAsia="宋体" w:cs="仿宋_GB2312"/>
                    <w:kern w:val="0"/>
                    <w:szCs w:val="21"/>
                    <w:highlight w:val="none"/>
                  </w:rPr>
                  <m:t>×（</m:t>
                </m:r>
                <m:f>
                  <m:fPr>
                    <m:ctrlPr>
                      <w:rPr>
                        <w:rFonts w:hint="eastAsia" w:ascii="Cambria Math" w:hAnsi="Cambria Math" w:eastAsia="宋体" w:cs="仿宋_GB2312"/>
                        <w:iCs/>
                        <w:kern w:val="0"/>
                        <w:szCs w:val="21"/>
                        <w:highlight w:val="none"/>
                      </w:rPr>
                    </m:ctrlPr>
                  </m:fPr>
                  <m:num>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V</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融资</m:t>
                        </m:r>
                        <m:ctrlPr>
                          <w:rPr>
                            <w:rFonts w:ascii="Cambria Math" w:hAnsi="Cambria Math" w:eastAsia="宋体" w:cs="仿宋_GB2312"/>
                            <w:kern w:val="0"/>
                            <w:szCs w:val="21"/>
                            <w:highlight w:val="none"/>
                          </w:rPr>
                        </m:ctrlPr>
                      </m:sub>
                    </m:sSub>
                    <m:ctrlPr>
                      <w:rPr>
                        <w:rFonts w:hint="eastAsia" w:ascii="Cambria Math" w:hAnsi="Cambria Math" w:eastAsia="宋体" w:cs="仿宋_GB2312"/>
                        <w:iCs/>
                        <w:kern w:val="0"/>
                        <w:szCs w:val="21"/>
                        <w:highlight w:val="none"/>
                      </w:rPr>
                    </m:ctrlPr>
                  </m:num>
                  <m:den>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V</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收入</m:t>
                        </m:r>
                        <m:ctrlPr>
                          <w:rPr>
                            <w:rFonts w:ascii="Cambria Math" w:hAnsi="Cambria Math" w:eastAsia="宋体" w:cs="仿宋_GB2312"/>
                            <w:kern w:val="0"/>
                            <w:szCs w:val="21"/>
                            <w:highlight w:val="none"/>
                          </w:rPr>
                        </m:ctrlPr>
                      </m:sub>
                    </m:sSub>
                    <m:ctrlPr>
                      <w:rPr>
                        <w:rFonts w:hint="eastAsia" w:ascii="Cambria Math" w:hAnsi="Cambria Math" w:eastAsia="宋体" w:cs="仿宋_GB2312"/>
                        <w:iCs/>
                        <w:kern w:val="0"/>
                        <w:szCs w:val="21"/>
                        <w:highlight w:val="none"/>
                      </w:rPr>
                    </m:ctrlPr>
                  </m:den>
                </m:f>
                <m:r>
                  <m:rPr>
                    <m:sty m:val="p"/>
                  </m:rPr>
                  <w:rPr>
                    <w:rFonts w:hint="eastAsia" w:ascii="Cambria Math" w:hAnsi="Cambria Math" w:eastAsia="宋体" w:cs="仿宋_GB2312"/>
                    <w:kern w:val="0"/>
                    <w:szCs w:val="21"/>
                    <w:highlight w:val="none"/>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8296" w:type="dxa"/>
          </w:tcPr>
          <w:p>
            <w:pPr>
              <w:spacing w:line="360" w:lineRule="auto"/>
              <w:ind w:firstLine="420"/>
              <w:rPr>
                <w:rFonts w:ascii="宋体" w:hAnsi="宋体" w:eastAsia="宋体" w:cs="仿宋_GB2312"/>
                <w:kern w:val="0"/>
                <w:szCs w:val="21"/>
                <w:highlight w:val="none"/>
              </w:rPr>
            </w:pPr>
            <w:r>
              <w:rPr>
                <w:rFonts w:hint="eastAsia" w:ascii="宋体" w:hAnsi="宋体" w:eastAsia="宋体" w:cs="仿宋_GB2312"/>
                <w:kern w:val="0"/>
                <w:szCs w:val="21"/>
                <w:highlight w:val="none"/>
              </w:rPr>
              <w:t xml:space="preserve">此式为非项目融资业务的碳排放核算公式，式中： </w:t>
            </w:r>
          </w:p>
          <w:p>
            <w:pPr>
              <w:spacing w:line="360" w:lineRule="auto"/>
              <w:ind w:firstLine="420"/>
              <w:rPr>
                <w:rFonts w:ascii="宋体" w:hAnsi="宋体" w:eastAsia="宋体" w:cs="仿宋_GB2312"/>
                <w:kern w:val="0"/>
                <w:szCs w:val="21"/>
                <w:highlight w:val="none"/>
              </w:rPr>
            </w:pPr>
            <w:r>
              <w:rPr>
                <w:rFonts w:hint="eastAsia" w:eastAsia="宋体" w:cs="仿宋_GB2312" w:asciiTheme="minorEastAsia" w:hAnsiTheme="minorEastAsia"/>
                <w:i/>
                <w:iCs/>
                <w:kern w:val="0"/>
                <w:szCs w:val="21"/>
                <w:highlight w:val="none"/>
              </w:rPr>
              <w:t>E</w:t>
            </w:r>
            <w:r>
              <w:rPr>
                <w:rFonts w:hint="eastAsia" w:eastAsia="宋体" w:cs="仿宋_GB2312" w:asciiTheme="minorEastAsia" w:hAnsiTheme="minorEastAsia"/>
                <w:kern w:val="0"/>
                <w:szCs w:val="21"/>
                <w:highlight w:val="none"/>
                <w:vertAlign w:val="subscript"/>
              </w:rPr>
              <w:t>非项目业务</w:t>
            </w:r>
            <w:r>
              <w:rPr>
                <w:rFonts w:hint="eastAsia" w:ascii="宋体" w:hAnsi="宋体" w:eastAsia="宋体" w:cs="仿宋_GB2312"/>
                <w:kern w:val="0"/>
                <w:szCs w:val="21"/>
                <w:highlight w:val="none"/>
              </w:rPr>
              <w:t>——报告期内，非项目融资业务对应的碳排放量，单位为吨二氧化碳当量（tCO</w:t>
            </w:r>
            <w:r>
              <w:rPr>
                <w:rFonts w:hint="eastAsia" w:ascii="宋体" w:hAnsi="宋体" w:eastAsia="宋体" w:cs="仿宋_GB2312"/>
                <w:kern w:val="0"/>
                <w:szCs w:val="21"/>
                <w:highlight w:val="none"/>
                <w:vertAlign w:val="subscript"/>
              </w:rPr>
              <w:t>2</w:t>
            </w:r>
            <w:r>
              <w:rPr>
                <w:rFonts w:hint="eastAsia" w:ascii="宋体" w:hAnsi="宋体" w:eastAsia="宋体" w:cs="仿宋_GB2312"/>
                <w:kern w:val="0"/>
                <w:szCs w:val="21"/>
                <w:highlight w:val="none"/>
              </w:rPr>
              <w:t xml:space="preserve">e）； </w:t>
            </w:r>
          </w:p>
          <w:p>
            <w:pPr>
              <w:spacing w:line="360" w:lineRule="auto"/>
              <w:ind w:firstLine="420"/>
              <w:rPr>
                <w:rFonts w:ascii="宋体" w:hAnsi="宋体" w:eastAsia="宋体" w:cs="仿宋_GB2312"/>
                <w:kern w:val="0"/>
                <w:szCs w:val="21"/>
                <w:highlight w:val="none"/>
              </w:rPr>
            </w:pPr>
            <w:r>
              <w:rPr>
                <w:rFonts w:hint="eastAsia" w:eastAsia="宋体" w:cs="仿宋_GB2312" w:asciiTheme="minorEastAsia" w:hAnsiTheme="minorEastAsia"/>
                <w:i/>
                <w:iCs/>
                <w:kern w:val="0"/>
                <w:szCs w:val="21"/>
                <w:highlight w:val="none"/>
              </w:rPr>
              <w:t>E</w:t>
            </w:r>
            <w:r>
              <w:rPr>
                <w:rFonts w:hint="eastAsia" w:eastAsia="宋体" w:cs="仿宋_GB2312" w:asciiTheme="minorEastAsia" w:hAnsiTheme="minorEastAsia"/>
                <w:kern w:val="0"/>
                <w:szCs w:val="21"/>
                <w:highlight w:val="none"/>
                <w:vertAlign w:val="subscript"/>
              </w:rPr>
              <w:t>主体</w:t>
            </w:r>
            <w:r>
              <w:rPr>
                <w:rFonts w:hint="eastAsia" w:ascii="宋体" w:hAnsi="宋体" w:eastAsia="宋体" w:cs="仿宋_GB2312"/>
                <w:kern w:val="0"/>
                <w:szCs w:val="21"/>
                <w:highlight w:val="none"/>
              </w:rPr>
              <w:t>——报告期内，非项目融资业务相关融资主体的碳排放量，单位为吨二氧化碳当量（tCO</w:t>
            </w:r>
            <w:r>
              <w:rPr>
                <w:rFonts w:hint="eastAsia" w:ascii="宋体" w:hAnsi="宋体" w:eastAsia="宋体" w:cs="仿宋_GB2312"/>
                <w:kern w:val="0"/>
                <w:szCs w:val="21"/>
                <w:highlight w:val="none"/>
                <w:vertAlign w:val="subscript"/>
              </w:rPr>
              <w:t>2</w:t>
            </w:r>
            <w:r>
              <w:rPr>
                <w:rFonts w:hint="eastAsia" w:ascii="宋体" w:hAnsi="宋体" w:eastAsia="宋体" w:cs="仿宋_GB2312"/>
                <w:kern w:val="0"/>
                <w:szCs w:val="21"/>
                <w:highlight w:val="none"/>
              </w:rPr>
              <w:t xml:space="preserve">e）； </w:t>
            </w:r>
          </w:p>
          <w:p>
            <w:pPr>
              <w:spacing w:line="360" w:lineRule="auto"/>
              <w:ind w:firstLine="420"/>
              <w:rPr>
                <w:rFonts w:ascii="宋体" w:hAnsi="宋体" w:eastAsia="宋体" w:cs="仿宋_GB2312"/>
                <w:kern w:val="0"/>
                <w:szCs w:val="21"/>
                <w:highlight w:val="none"/>
              </w:rPr>
            </w:pPr>
            <w:r>
              <w:rPr>
                <w:rFonts w:hint="eastAsia" w:eastAsia="宋体" w:cs="仿宋_GB2312" w:asciiTheme="minorEastAsia" w:hAnsiTheme="minorEastAsia"/>
                <w:i/>
                <w:iCs/>
                <w:kern w:val="0"/>
                <w:szCs w:val="21"/>
                <w:highlight w:val="none"/>
              </w:rPr>
              <w:t>V</w:t>
            </w:r>
            <w:r>
              <w:rPr>
                <w:rFonts w:hint="eastAsia" w:eastAsia="宋体" w:cs="仿宋_GB2312" w:asciiTheme="minorEastAsia" w:hAnsiTheme="minorEastAsia"/>
                <w:kern w:val="0"/>
                <w:szCs w:val="21"/>
                <w:highlight w:val="none"/>
                <w:vertAlign w:val="subscript"/>
              </w:rPr>
              <w:t>融资</w:t>
            </w:r>
            <w:r>
              <w:rPr>
                <w:rFonts w:hint="eastAsia" w:ascii="宋体" w:hAnsi="宋体" w:eastAsia="宋体" w:cs="仿宋_GB2312"/>
                <w:kern w:val="0"/>
                <w:szCs w:val="21"/>
                <w:highlight w:val="none"/>
              </w:rPr>
              <w:t xml:space="preserve">——报告期内，金融机构对融资主体的月均非项目融资额，单位为万元； </w:t>
            </w:r>
          </w:p>
          <w:p>
            <w:pPr>
              <w:spacing w:line="360" w:lineRule="auto"/>
              <w:ind w:firstLine="420"/>
              <w:rPr>
                <w:rFonts w:ascii="宋体" w:hAnsi="宋体" w:eastAsia="宋体" w:cs="仿宋_GB2312"/>
                <w:kern w:val="0"/>
                <w:szCs w:val="21"/>
                <w:highlight w:val="none"/>
              </w:rPr>
            </w:pPr>
            <w:r>
              <w:rPr>
                <w:rFonts w:hint="eastAsia" w:eastAsia="宋体" w:cs="仿宋_GB2312" w:asciiTheme="minorEastAsia" w:hAnsiTheme="minorEastAsia"/>
                <w:i/>
                <w:iCs/>
                <w:kern w:val="0"/>
                <w:szCs w:val="21"/>
                <w:highlight w:val="none"/>
              </w:rPr>
              <w:t>V</w:t>
            </w:r>
            <w:r>
              <w:rPr>
                <w:rFonts w:hint="eastAsia" w:eastAsia="宋体" w:cs="仿宋_GB2312" w:asciiTheme="minorEastAsia" w:hAnsiTheme="minorEastAsia"/>
                <w:kern w:val="0"/>
                <w:szCs w:val="21"/>
                <w:highlight w:val="none"/>
                <w:vertAlign w:val="subscript"/>
              </w:rPr>
              <w:t>收入</w:t>
            </w:r>
            <w:r>
              <w:rPr>
                <w:rFonts w:hint="eastAsia" w:ascii="宋体" w:hAnsi="宋体" w:eastAsia="宋体" w:cs="仿宋_GB2312"/>
                <w:kern w:val="0"/>
                <w:szCs w:val="21"/>
                <w:highlight w:val="none"/>
              </w:rPr>
              <w:t xml:space="preserve">——报告期内，融资主体的主营业务收入，单位为万元。 </w:t>
            </w:r>
          </w:p>
          <w:p>
            <w:pPr>
              <w:spacing w:line="360" w:lineRule="auto"/>
              <w:ind w:firstLine="420"/>
              <w:rPr>
                <w:rFonts w:ascii="仿宋_GB2312" w:hAnsi="仿宋_GB2312" w:eastAsia="仿宋_GB2312" w:cs="仿宋_GB2312"/>
                <w:kern w:val="0"/>
                <w:szCs w:val="21"/>
                <w:highlight w:val="none"/>
              </w:rPr>
            </w:pPr>
            <w:r>
              <w:rPr>
                <w:rFonts w:hint="eastAsia" w:ascii="宋体" w:hAnsi="宋体" w:eastAsia="宋体" w:cs="仿宋_GB2312"/>
                <w:kern w:val="0"/>
                <w:szCs w:val="21"/>
                <w:highlight w:val="none"/>
              </w:rPr>
              <w:t>当</w:t>
            </w:r>
            <w:r>
              <w:rPr>
                <w:rFonts w:hint="eastAsia" w:ascii="宋体" w:hAnsi="宋体" w:eastAsia="宋体" w:cs="仿宋_GB2312"/>
                <w:i/>
                <w:iCs/>
                <w:kern w:val="0"/>
                <w:szCs w:val="21"/>
                <w:highlight w:val="none"/>
              </w:rPr>
              <w:t>V</w:t>
            </w:r>
            <w:r>
              <w:rPr>
                <w:rFonts w:hint="eastAsia" w:ascii="宋体" w:hAnsi="宋体" w:eastAsia="宋体" w:cs="仿宋_GB2312"/>
                <w:kern w:val="0"/>
                <w:szCs w:val="21"/>
                <w:highlight w:val="none"/>
                <w:vertAlign w:val="subscript"/>
              </w:rPr>
              <w:t>融资</w:t>
            </w:r>
            <w:r>
              <w:rPr>
                <w:rFonts w:hint="eastAsia" w:ascii="宋体" w:hAnsi="宋体" w:eastAsia="宋体" w:cs="仿宋_GB2312"/>
                <w:kern w:val="0"/>
                <w:szCs w:val="21"/>
                <w:highlight w:val="none"/>
              </w:rPr>
              <w:t xml:space="preserve">&gt; </w:t>
            </w:r>
            <w:r>
              <w:rPr>
                <w:rFonts w:hint="eastAsia" w:ascii="宋体" w:hAnsi="宋体" w:eastAsia="宋体" w:cs="仿宋_GB2312"/>
                <w:i/>
                <w:iCs/>
                <w:kern w:val="0"/>
                <w:szCs w:val="21"/>
                <w:highlight w:val="none"/>
              </w:rPr>
              <w:t>V</w:t>
            </w:r>
            <w:r>
              <w:rPr>
                <w:rFonts w:hint="eastAsia" w:ascii="宋体" w:hAnsi="宋体" w:eastAsia="宋体" w:cs="仿宋_GB2312"/>
                <w:kern w:val="0"/>
                <w:szCs w:val="21"/>
                <w:highlight w:val="none"/>
                <w:vertAlign w:val="subscript"/>
              </w:rPr>
              <w:t>收入</w:t>
            </w:r>
            <w:r>
              <w:rPr>
                <w:rFonts w:hint="eastAsia" w:ascii="宋体" w:hAnsi="宋体" w:eastAsia="宋体" w:cs="仿宋_GB2312"/>
                <w:kern w:val="0"/>
                <w:szCs w:val="21"/>
                <w:highlight w:val="none"/>
              </w:rPr>
              <w:t>时，</w:t>
            </w:r>
            <m:oMath>
              <m:r>
                <m:rPr>
                  <m:sty m:val="p"/>
                </m:rPr>
                <w:rPr>
                  <w:rFonts w:hint="eastAsia" w:ascii="Cambria Math" w:hAnsi="Cambria Math" w:eastAsia="宋体" w:cs="仿宋_GB2312"/>
                  <w:kern w:val="0"/>
                  <w:szCs w:val="21"/>
                  <w:highlight w:val="none"/>
                </w:rPr>
                <m:t>（</m:t>
              </m:r>
              <m:f>
                <m:fPr>
                  <m:ctrlPr>
                    <w:rPr>
                      <w:rFonts w:hint="eastAsia" w:ascii="Cambria Math" w:hAnsi="Cambria Math" w:eastAsia="宋体" w:cs="仿宋_GB2312"/>
                      <w:iCs/>
                      <w:kern w:val="0"/>
                      <w:szCs w:val="21"/>
                      <w:highlight w:val="none"/>
                    </w:rPr>
                  </m:ctrlPr>
                </m:fPr>
                <m:num>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V</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融资</m:t>
                      </m:r>
                      <m:ctrlPr>
                        <w:rPr>
                          <w:rFonts w:ascii="Cambria Math" w:hAnsi="Cambria Math" w:eastAsia="宋体" w:cs="仿宋_GB2312"/>
                          <w:kern w:val="0"/>
                          <w:szCs w:val="21"/>
                          <w:highlight w:val="none"/>
                        </w:rPr>
                      </m:ctrlPr>
                    </m:sub>
                  </m:sSub>
                  <m:ctrlPr>
                    <w:rPr>
                      <w:rFonts w:hint="eastAsia" w:ascii="Cambria Math" w:hAnsi="Cambria Math" w:eastAsia="宋体" w:cs="仿宋_GB2312"/>
                      <w:iCs/>
                      <w:kern w:val="0"/>
                      <w:szCs w:val="21"/>
                      <w:highlight w:val="none"/>
                    </w:rPr>
                  </m:ctrlPr>
                </m:num>
                <m:den>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V</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收入</m:t>
                      </m:r>
                      <m:ctrlPr>
                        <w:rPr>
                          <w:rFonts w:ascii="Cambria Math" w:hAnsi="Cambria Math" w:eastAsia="宋体" w:cs="仿宋_GB2312"/>
                          <w:kern w:val="0"/>
                          <w:szCs w:val="21"/>
                          <w:highlight w:val="none"/>
                        </w:rPr>
                      </m:ctrlPr>
                    </m:sub>
                  </m:sSub>
                  <m:ctrlPr>
                    <w:rPr>
                      <w:rFonts w:hint="eastAsia" w:ascii="Cambria Math" w:hAnsi="Cambria Math" w:eastAsia="宋体" w:cs="仿宋_GB2312"/>
                      <w:iCs/>
                      <w:kern w:val="0"/>
                      <w:szCs w:val="21"/>
                      <w:highlight w:val="none"/>
                    </w:rPr>
                  </m:ctrlPr>
                </m:den>
              </m:f>
              <m:r>
                <m:rPr>
                  <m:sty m:val="p"/>
                </m:rPr>
                <w:rPr>
                  <w:rFonts w:hint="eastAsia" w:ascii="Cambria Math" w:hAnsi="Cambria Math" w:eastAsia="宋体" w:cs="仿宋_GB2312"/>
                  <w:kern w:val="0"/>
                  <w:szCs w:val="21"/>
                  <w:highlight w:val="none"/>
                </w:rPr>
                <m:t>）</m:t>
              </m:r>
            </m:oMath>
            <w:r>
              <w:rPr>
                <w:rFonts w:hint="eastAsia" w:ascii="宋体" w:hAnsi="宋体" w:eastAsia="宋体" w:cs="仿宋_GB2312"/>
                <w:kern w:val="0"/>
                <w:szCs w:val="21"/>
                <w:highlight w:val="none"/>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8296" w:type="dxa"/>
            <w:vAlign w:val="center"/>
          </w:tcPr>
          <w:p>
            <w:pPr>
              <w:widowControl/>
              <w:spacing w:line="360" w:lineRule="auto"/>
              <w:ind w:firstLine="420"/>
              <w:jc w:val="center"/>
              <w:rPr>
                <w:rFonts w:eastAsia="宋体" w:cs="仿宋_GB2312" w:asciiTheme="minorEastAsia" w:hAnsiTheme="minorEastAsia"/>
                <w:kern w:val="0"/>
                <w:szCs w:val="21"/>
                <w:highlight w:val="none"/>
              </w:rPr>
            </w:pPr>
            <m:oMathPara>
              <m:oMath>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R</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碳排放</m:t>
                    </m:r>
                    <m:ctrlPr>
                      <w:rPr>
                        <w:rFonts w:ascii="Cambria Math" w:hAnsi="Cambria Math" w:eastAsia="宋体" w:cs="仿宋_GB2312"/>
                        <w:kern w:val="0"/>
                        <w:szCs w:val="21"/>
                        <w:highlight w:val="none"/>
                      </w:rPr>
                    </m:ctrlPr>
                  </m:sub>
                </m:sSub>
                <m:r>
                  <w:rPr>
                    <w:rFonts w:hint="eastAsia" w:ascii="Cambria Math" w:hAnsi="Cambria Math" w:eastAsia="宋体" w:cs="仿宋_GB2312"/>
                    <w:kern w:val="0"/>
                    <w:szCs w:val="21"/>
                    <w:highlight w:val="none"/>
                  </w:rPr>
                  <m:t>=</m:t>
                </m:r>
                <m:f>
                  <m:fPr>
                    <m:ctrlPr>
                      <w:rPr>
                        <w:rFonts w:hint="eastAsia" w:ascii="Cambria Math" w:hAnsi="Cambria Math" w:eastAsia="宋体" w:cs="仿宋_GB2312"/>
                        <w:iCs/>
                        <w:kern w:val="0"/>
                        <w:szCs w:val="21"/>
                        <w:highlight w:val="none"/>
                      </w:rPr>
                    </m:ctrlPr>
                  </m:fPr>
                  <m:num>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n</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碳排放</m:t>
                        </m:r>
                        <m:ctrlPr>
                          <w:rPr>
                            <w:rFonts w:ascii="Cambria Math" w:hAnsi="Cambria Math" w:eastAsia="宋体" w:cs="仿宋_GB2312"/>
                            <w:kern w:val="0"/>
                            <w:szCs w:val="21"/>
                            <w:highlight w:val="none"/>
                          </w:rPr>
                        </m:ctrlPr>
                      </m:sub>
                    </m:sSub>
                    <m:ctrlPr>
                      <w:rPr>
                        <w:rFonts w:hint="eastAsia" w:ascii="Cambria Math" w:hAnsi="Cambria Math" w:eastAsia="宋体" w:cs="仿宋_GB2312"/>
                        <w:iCs/>
                        <w:kern w:val="0"/>
                        <w:szCs w:val="21"/>
                        <w:highlight w:val="none"/>
                      </w:rPr>
                    </m:ctrlPr>
                  </m:num>
                  <m:den>
                    <m:sSub>
                      <m:sSubPr>
                        <m:ctrlPr>
                          <w:rPr>
                            <w:rFonts w:ascii="Cambria Math" w:hAnsi="Cambria Math" w:eastAsia="宋体" w:cs="仿宋_GB2312"/>
                            <w:kern w:val="0"/>
                            <w:szCs w:val="21"/>
                            <w:highlight w:val="none"/>
                          </w:rPr>
                        </m:ctrlPr>
                      </m:sSubPr>
                      <m:e>
                        <m:r>
                          <w:rPr>
                            <w:rFonts w:hint="eastAsia" w:ascii="Cambria Math" w:hAnsi="Cambria Math" w:eastAsia="宋体" w:cs="仿宋_GB2312"/>
                            <w:kern w:val="0"/>
                            <w:szCs w:val="21"/>
                            <w:highlight w:val="none"/>
                          </w:rPr>
                          <m:t>N</m:t>
                        </m:r>
                        <m:ctrlPr>
                          <w:rPr>
                            <w:rFonts w:ascii="Cambria Math" w:hAnsi="Cambria Math" w:eastAsia="宋体" w:cs="仿宋_GB2312"/>
                            <w:kern w:val="0"/>
                            <w:szCs w:val="21"/>
                            <w:highlight w:val="none"/>
                          </w:rPr>
                        </m:ctrlPr>
                      </m:e>
                      <m:sub>
                        <m:r>
                          <m:rPr>
                            <m:sty m:val="p"/>
                          </m:rPr>
                          <w:rPr>
                            <w:rFonts w:hint="eastAsia" w:ascii="Cambria Math" w:hAnsi="Cambria Math" w:eastAsia="宋体" w:cs="仿宋_GB2312"/>
                            <w:kern w:val="0"/>
                            <w:szCs w:val="21"/>
                            <w:highlight w:val="none"/>
                          </w:rPr>
                          <m:t>总</m:t>
                        </m:r>
                        <m:ctrlPr>
                          <w:rPr>
                            <w:rFonts w:ascii="Cambria Math" w:hAnsi="Cambria Math" w:eastAsia="宋体" w:cs="仿宋_GB2312"/>
                            <w:kern w:val="0"/>
                            <w:szCs w:val="21"/>
                            <w:highlight w:val="none"/>
                          </w:rPr>
                        </m:ctrlPr>
                      </m:sub>
                    </m:sSub>
                    <m:ctrlPr>
                      <w:rPr>
                        <w:rFonts w:hint="eastAsia" w:ascii="Cambria Math" w:hAnsi="Cambria Math" w:eastAsia="宋体" w:cs="仿宋_GB2312"/>
                        <w:iCs/>
                        <w:kern w:val="0"/>
                        <w:szCs w:val="21"/>
                        <w:highlight w:val="none"/>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360" w:lineRule="auto"/>
              <w:ind w:firstLine="420"/>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此式为融资业务</w:t>
            </w:r>
            <w:r>
              <w:rPr>
                <w:rFonts w:hint="eastAsia" w:ascii="Times New Roman" w:hAnsi="Times New Roman" w:eastAsia="宋体" w:cs="Times New Roman"/>
                <w:kern w:val="0"/>
                <w:szCs w:val="21"/>
                <w:highlight w:val="none"/>
              </w:rPr>
              <w:t>占该类型融资业务比例</w:t>
            </w:r>
            <w:r>
              <w:rPr>
                <w:rFonts w:ascii="Times New Roman" w:hAnsi="Times New Roman" w:eastAsia="宋体" w:cs="Times New Roman"/>
                <w:kern w:val="0"/>
                <w:szCs w:val="21"/>
                <w:highlight w:val="none"/>
              </w:rPr>
              <w:t xml:space="preserve">的公式，式中： </w:t>
            </w:r>
          </w:p>
          <w:p>
            <w:pPr>
              <w:widowControl/>
              <w:spacing w:line="360" w:lineRule="auto"/>
              <w:ind w:firstLine="420"/>
              <w:jc w:val="left"/>
              <w:rPr>
                <w:rFonts w:ascii="宋体" w:hAnsi="宋体" w:eastAsia="宋体" w:cs="仿宋_GB2312"/>
                <w:kern w:val="0"/>
                <w:szCs w:val="21"/>
                <w:highlight w:val="none"/>
              </w:rPr>
            </w:pPr>
            <w:r>
              <w:rPr>
                <w:rFonts w:ascii="Cambria Math" w:hAnsi="Cambria Math" w:eastAsia="宋体" w:cs="Cambria Math"/>
                <w:color w:val="000000"/>
                <w:kern w:val="0"/>
                <w:szCs w:val="21"/>
                <w:highlight w:val="none"/>
              </w:rPr>
              <w:t>𝑅</w:t>
            </w:r>
            <w:r>
              <w:rPr>
                <w:rFonts w:hint="eastAsia" w:ascii="宋体" w:hAnsi="宋体" w:eastAsia="宋体" w:cs="仿宋_GB2312"/>
                <w:color w:val="000000"/>
                <w:kern w:val="0"/>
                <w:szCs w:val="21"/>
                <w:highlight w:val="none"/>
                <w:vertAlign w:val="subscript"/>
              </w:rPr>
              <w:t>碳排放</w:t>
            </w:r>
            <w:r>
              <w:rPr>
                <w:rFonts w:hint="eastAsia" w:ascii="宋体" w:hAnsi="宋体" w:eastAsia="宋体" w:cs="仿宋_GB2312"/>
                <w:color w:val="000000"/>
                <w:kern w:val="0"/>
                <w:szCs w:val="21"/>
                <w:highlight w:val="none"/>
              </w:rPr>
              <w:t xml:space="preserve">——报告期内，纳入碳排放量核算的融资业务占金融机构该类型融资业务的比例，按项目融资业务和非项目融资业务两种类型分别计算； </w:t>
            </w:r>
          </w:p>
          <w:p>
            <w:pPr>
              <w:widowControl/>
              <w:spacing w:line="360" w:lineRule="auto"/>
              <w:ind w:firstLine="420"/>
              <w:jc w:val="left"/>
              <w:rPr>
                <w:rFonts w:ascii="宋体" w:hAnsi="宋体" w:eastAsia="宋体" w:cs="仿宋_GB2312"/>
                <w:kern w:val="0"/>
                <w:szCs w:val="21"/>
                <w:highlight w:val="none"/>
              </w:rPr>
            </w:pPr>
            <w:r>
              <w:rPr>
                <w:rFonts w:ascii="Cambria Math" w:hAnsi="Cambria Math" w:eastAsia="宋体" w:cs="Cambria Math"/>
                <w:color w:val="000000"/>
                <w:kern w:val="0"/>
                <w:szCs w:val="21"/>
                <w:highlight w:val="none"/>
              </w:rPr>
              <w:t>𝑛</w:t>
            </w:r>
            <w:r>
              <w:rPr>
                <w:rFonts w:hint="eastAsia" w:ascii="宋体" w:hAnsi="宋体" w:eastAsia="宋体" w:cs="仿宋_GB2312"/>
                <w:color w:val="000000"/>
                <w:kern w:val="0"/>
                <w:szCs w:val="21"/>
                <w:highlight w:val="none"/>
                <w:vertAlign w:val="subscript"/>
              </w:rPr>
              <w:t>碳排放</w:t>
            </w:r>
            <w:r>
              <w:rPr>
                <w:rFonts w:hint="eastAsia" w:ascii="宋体" w:hAnsi="宋体" w:eastAsia="宋体" w:cs="仿宋_GB2312"/>
                <w:color w:val="000000"/>
                <w:kern w:val="0"/>
                <w:szCs w:val="21"/>
                <w:highlight w:val="none"/>
              </w:rPr>
              <w:t xml:space="preserve">——报告期内，纳入碳排放量核算的融资业务的笔数，按项目融资业务和非项目融资业务两种类型分别统计； </w:t>
            </w:r>
          </w:p>
          <w:p>
            <w:pPr>
              <w:widowControl/>
              <w:spacing w:line="360" w:lineRule="auto"/>
              <w:ind w:firstLine="420"/>
              <w:jc w:val="left"/>
              <w:rPr>
                <w:rFonts w:ascii="仿宋_GB2312" w:hAnsi="仿宋_GB2312" w:eastAsia="仿宋_GB2312" w:cs="仿宋_GB2312"/>
                <w:kern w:val="0"/>
                <w:szCs w:val="21"/>
                <w:highlight w:val="none"/>
              </w:rPr>
            </w:pPr>
            <w:r>
              <w:rPr>
                <w:rFonts w:ascii="Cambria Math" w:hAnsi="Cambria Math" w:eastAsia="宋体" w:cs="Cambria Math"/>
                <w:color w:val="000000"/>
                <w:kern w:val="0"/>
                <w:szCs w:val="21"/>
                <w:highlight w:val="none"/>
              </w:rPr>
              <w:t>𝑁</w:t>
            </w:r>
            <w:r>
              <w:rPr>
                <w:rFonts w:hint="eastAsia" w:ascii="宋体" w:hAnsi="宋体" w:eastAsia="宋体" w:cs="仿宋_GB2312"/>
                <w:color w:val="000000"/>
                <w:kern w:val="0"/>
                <w:szCs w:val="21"/>
                <w:highlight w:val="none"/>
                <w:vertAlign w:val="subscript"/>
              </w:rPr>
              <w:t>总</w:t>
            </w:r>
            <w:r>
              <w:rPr>
                <w:rFonts w:hint="eastAsia" w:ascii="宋体" w:hAnsi="宋体" w:eastAsia="宋体" w:cs="仿宋_GB2312"/>
                <w:color w:val="000000"/>
                <w:kern w:val="0"/>
                <w:szCs w:val="21"/>
                <w:highlight w:val="none"/>
              </w:rPr>
              <w:t>——报告期内，不同类型融资业务的总笔数，按项目融资业务和非项目融资业务两种类型分别统计。</w:t>
            </w:r>
          </w:p>
        </w:tc>
      </w:tr>
    </w:tbl>
    <w:p>
      <w:pPr>
        <w:spacing w:line="560" w:lineRule="exact"/>
        <w:ind w:firstLine="560"/>
        <w:rPr>
          <w:rFonts w:ascii="宋体" w:hAnsi="宋体" w:eastAsia="宋体" w:cs="仿宋_GB2312"/>
          <w:sz w:val="28"/>
          <w:szCs w:val="28"/>
          <w:highlight w:val="none"/>
        </w:rPr>
      </w:pPr>
      <w:r>
        <w:rPr>
          <w:rFonts w:hint="eastAsia" w:ascii="宋体" w:hAnsi="宋体" w:eastAsia="宋体" w:cs="仿宋_GB2312"/>
          <w:sz w:val="28"/>
          <w:szCs w:val="28"/>
          <w:highlight w:val="none"/>
        </w:rPr>
        <w:t>企业或项目本身的碳减排量参照GB/T 28750、GB/T 32045、GB/T 33760、GB/T 13234的要求，选择适用的评估方法，核算其报告期内的碳减排量。</w:t>
      </w:r>
      <w:r>
        <w:rPr>
          <w:rFonts w:hint="eastAsia" w:ascii="宋体" w:hAnsi="宋体" w:eastAsia="宋体" w:cs="仿宋_GB2312"/>
          <w:sz w:val="28"/>
          <w:szCs w:val="28"/>
          <w:highlight w:val="none"/>
          <w:lang w:eastAsia="zh-CN"/>
        </w:rPr>
        <w:t>本行</w:t>
      </w:r>
      <w:r>
        <w:rPr>
          <w:rFonts w:hint="eastAsia" w:ascii="宋体" w:hAnsi="宋体" w:eastAsia="宋体" w:cs="仿宋_GB2312"/>
          <w:sz w:val="28"/>
          <w:szCs w:val="28"/>
          <w:highlight w:val="none"/>
        </w:rPr>
        <w:t>支持企业或项目建设运营投放的信贷产生的碳减排量依据其对企业或项目的月均投资额与企业总资产或项目总投资的比例分摊折算得到，具体测算公式如下：</w:t>
      </w:r>
    </w:p>
    <w:tbl>
      <w:tblPr>
        <w:tblStyle w:val="21"/>
        <w:tblpPr w:leftFromText="180" w:rightFromText="180" w:vertAnchor="text" w:horzAnchor="page" w:tblpX="1846" w:tblpY="5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296" w:type="dxa"/>
            <w:vAlign w:val="center"/>
          </w:tcPr>
          <w:p>
            <w:pPr>
              <w:spacing w:line="360" w:lineRule="auto"/>
              <w:ind w:firstLine="420"/>
              <w:jc w:val="center"/>
              <w:rPr>
                <w:rFonts w:ascii="Times New Roman" w:hAnsi="Times New Roman" w:eastAsia="宋体" w:cs="Times New Roman"/>
                <w:kern w:val="0"/>
                <w:szCs w:val="21"/>
                <w:highlight w:val="none"/>
              </w:rPr>
            </w:pPr>
            <m:oMathPara>
              <m:oMath>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ER</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项目业务</m:t>
                    </m:r>
                    <m:ctrlPr>
                      <w:rPr>
                        <w:rFonts w:ascii="Cambria Math" w:hAnsi="Cambria Math" w:eastAsia="宋体" w:cs="Times New Roman"/>
                        <w:kern w:val="0"/>
                        <w:szCs w:val="21"/>
                        <w:highlight w:val="none"/>
                      </w:rPr>
                    </m:ctrlPr>
                  </m:sub>
                </m:sSub>
                <m:r>
                  <w:rPr>
                    <w:rFonts w:ascii="Cambria Math" w:hAnsi="Cambria Math" w:eastAsia="宋体" w:cs="Times New Roman"/>
                    <w:kern w:val="0"/>
                    <w:szCs w:val="21"/>
                    <w:highlight w:val="none"/>
                  </w:rPr>
                  <m:t>=</m:t>
                </m:r>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ER</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项目</m:t>
                    </m:r>
                    <m:ctrlPr>
                      <w:rPr>
                        <w:rFonts w:ascii="Cambria Math" w:hAnsi="Cambria Math" w:eastAsia="宋体" w:cs="Times New Roman"/>
                        <w:kern w:val="0"/>
                        <w:szCs w:val="21"/>
                        <w:highlight w:val="none"/>
                      </w:rPr>
                    </m:ctrlPr>
                  </m:sub>
                </m:sSub>
                <m:r>
                  <m:rPr>
                    <m:sty m:val="p"/>
                  </m:rPr>
                  <w:rPr>
                    <w:rFonts w:ascii="Cambria Math" w:hAnsi="Cambria Math" w:eastAsia="宋体" w:cs="Times New Roman"/>
                    <w:kern w:val="0"/>
                    <w:szCs w:val="21"/>
                    <w:highlight w:val="none"/>
                  </w:rPr>
                  <m:t>×（</m:t>
                </m:r>
                <m:f>
                  <m:fPr>
                    <m:ctrlPr>
                      <w:rPr>
                        <w:rFonts w:ascii="Cambria Math" w:hAnsi="Cambria Math" w:eastAsia="宋体" w:cs="Times New Roman"/>
                        <w:iCs/>
                        <w:kern w:val="0"/>
                        <w:szCs w:val="21"/>
                        <w:highlight w:val="none"/>
                      </w:rPr>
                    </m:ctrlPr>
                  </m:fPr>
                  <m:num>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投资</m:t>
                        </m:r>
                        <m:ctrlPr>
                          <w:rPr>
                            <w:rFonts w:ascii="Cambria Math" w:hAnsi="Cambria Math" w:eastAsia="宋体" w:cs="Times New Roman"/>
                            <w:kern w:val="0"/>
                            <w:szCs w:val="21"/>
                            <w:highlight w:val="none"/>
                          </w:rPr>
                        </m:ctrlPr>
                      </m:sub>
                    </m:sSub>
                    <m:ctrlPr>
                      <w:rPr>
                        <w:rFonts w:ascii="Cambria Math" w:hAnsi="Cambria Math" w:eastAsia="宋体" w:cs="Times New Roman"/>
                        <w:iCs/>
                        <w:kern w:val="0"/>
                        <w:szCs w:val="21"/>
                        <w:highlight w:val="none"/>
                      </w:rPr>
                    </m:ctrlPr>
                  </m:num>
                  <m:den>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总投资</m:t>
                        </m:r>
                        <m:ctrlPr>
                          <w:rPr>
                            <w:rFonts w:ascii="Cambria Math" w:hAnsi="Cambria Math" w:eastAsia="宋体" w:cs="Times New Roman"/>
                            <w:kern w:val="0"/>
                            <w:szCs w:val="21"/>
                            <w:highlight w:val="none"/>
                          </w:rPr>
                        </m:ctrlPr>
                      </m:sub>
                    </m:sSub>
                    <m:ctrlPr>
                      <w:rPr>
                        <w:rFonts w:ascii="Cambria Math" w:hAnsi="Cambria Math" w:eastAsia="宋体" w:cs="Times New Roman"/>
                        <w:iCs/>
                        <w:kern w:val="0"/>
                        <w:szCs w:val="21"/>
                        <w:highlight w:val="none"/>
                      </w:rPr>
                    </m:ctrlPr>
                  </m:den>
                </m:f>
                <m:r>
                  <m:rPr>
                    <m:sty m:val="p"/>
                  </m:rPr>
                  <w:rPr>
                    <w:rFonts w:ascii="Cambria Math" w:hAnsi="Cambria Math" w:eastAsia="宋体" w:cs="Times New Roman"/>
                    <w:kern w:val="0"/>
                    <w:szCs w:val="21"/>
                    <w:highlight w:val="none"/>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此式为项目融资业务的碳减排核算公式，式中： </w:t>
            </w:r>
          </w:p>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i/>
                <w:iCs/>
                <w:kern w:val="0"/>
                <w:szCs w:val="21"/>
                <w:highlight w:val="none"/>
              </w:rPr>
              <w:t>ER</w:t>
            </w:r>
            <w:r>
              <w:rPr>
                <w:rFonts w:ascii="Times New Roman" w:hAnsi="Times New Roman" w:eastAsia="宋体" w:cs="Times New Roman"/>
                <w:kern w:val="0"/>
                <w:szCs w:val="21"/>
                <w:highlight w:val="none"/>
                <w:vertAlign w:val="subscript"/>
              </w:rPr>
              <w:t>项目业务</w:t>
            </w:r>
            <w:r>
              <w:rPr>
                <w:rFonts w:ascii="Times New Roman" w:hAnsi="Times New Roman" w:eastAsia="宋体" w:cs="Times New Roman"/>
                <w:kern w:val="0"/>
                <w:szCs w:val="21"/>
                <w:highlight w:val="none"/>
              </w:rPr>
              <w:t>——报告期内，项目融资业务对应的碳减排量，单位为吨二氧化碳当量（tCO</w:t>
            </w:r>
            <w:r>
              <w:rPr>
                <w:rFonts w:ascii="Times New Roman" w:hAnsi="Times New Roman" w:eastAsia="宋体" w:cs="Times New Roman"/>
                <w:kern w:val="0"/>
                <w:szCs w:val="21"/>
                <w:highlight w:val="none"/>
                <w:vertAlign w:val="subscript"/>
              </w:rPr>
              <w:t>2</w:t>
            </w:r>
            <w:r>
              <w:rPr>
                <w:rFonts w:ascii="Times New Roman" w:hAnsi="Times New Roman" w:eastAsia="宋体" w:cs="Times New Roman"/>
                <w:kern w:val="0"/>
                <w:szCs w:val="21"/>
                <w:highlight w:val="none"/>
              </w:rPr>
              <w:t xml:space="preserve">e）； </w:t>
            </w:r>
          </w:p>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i/>
                <w:iCs/>
                <w:kern w:val="0"/>
                <w:szCs w:val="21"/>
                <w:highlight w:val="none"/>
              </w:rPr>
              <w:t>ER</w:t>
            </w:r>
            <w:r>
              <w:rPr>
                <w:rFonts w:ascii="Times New Roman" w:hAnsi="Times New Roman" w:eastAsia="宋体" w:cs="Times New Roman"/>
                <w:kern w:val="0"/>
                <w:szCs w:val="21"/>
                <w:highlight w:val="none"/>
                <w:vertAlign w:val="subscript"/>
              </w:rPr>
              <w:t>项目</w:t>
            </w:r>
            <w:r>
              <w:rPr>
                <w:rFonts w:ascii="Times New Roman" w:hAnsi="Times New Roman" w:eastAsia="宋体" w:cs="Times New Roman"/>
                <w:kern w:val="0"/>
                <w:szCs w:val="21"/>
                <w:highlight w:val="none"/>
              </w:rPr>
              <w:t>——报告期内，项目的碳减排量，单位为吨二氧化碳当量（tCO</w:t>
            </w:r>
            <w:r>
              <w:rPr>
                <w:rFonts w:ascii="Times New Roman" w:hAnsi="Times New Roman" w:eastAsia="宋体" w:cs="Times New Roman"/>
                <w:kern w:val="0"/>
                <w:szCs w:val="21"/>
                <w:highlight w:val="none"/>
                <w:vertAlign w:val="subscript"/>
              </w:rPr>
              <w:t>2</w:t>
            </w:r>
            <w:r>
              <w:rPr>
                <w:rFonts w:ascii="Times New Roman" w:hAnsi="Times New Roman" w:eastAsia="宋体" w:cs="Times New Roman"/>
                <w:kern w:val="0"/>
                <w:szCs w:val="21"/>
                <w:highlight w:val="none"/>
              </w:rPr>
              <w:t xml:space="preserve">e）； </w:t>
            </w:r>
          </w:p>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i/>
                <w:iCs/>
                <w:kern w:val="0"/>
                <w:szCs w:val="21"/>
                <w:highlight w:val="none"/>
              </w:rPr>
              <w:t>V</w:t>
            </w:r>
            <w:r>
              <w:rPr>
                <w:rFonts w:ascii="Times New Roman" w:hAnsi="Times New Roman" w:eastAsia="宋体" w:cs="Times New Roman"/>
                <w:kern w:val="0"/>
                <w:szCs w:val="21"/>
                <w:highlight w:val="none"/>
                <w:vertAlign w:val="subscript"/>
              </w:rPr>
              <w:t>投资</w:t>
            </w:r>
            <w:r>
              <w:rPr>
                <w:rFonts w:ascii="Times New Roman" w:hAnsi="Times New Roman" w:eastAsia="宋体" w:cs="Times New Roman"/>
                <w:kern w:val="0"/>
                <w:szCs w:val="21"/>
                <w:highlight w:val="none"/>
              </w:rPr>
              <w:t xml:space="preserve">——报告期内，金融机构对项目的月均投资额，单位为万元； </w:t>
            </w:r>
          </w:p>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i/>
                <w:iCs/>
                <w:kern w:val="0"/>
                <w:szCs w:val="21"/>
                <w:highlight w:val="none"/>
              </w:rPr>
              <w:t>V</w:t>
            </w:r>
            <w:r>
              <w:rPr>
                <w:rFonts w:ascii="Times New Roman" w:hAnsi="Times New Roman" w:eastAsia="宋体" w:cs="Times New Roman"/>
                <w:kern w:val="0"/>
                <w:szCs w:val="21"/>
                <w:highlight w:val="none"/>
                <w:vertAlign w:val="subscript"/>
              </w:rPr>
              <w:t>总投资</w:t>
            </w:r>
            <w:r>
              <w:rPr>
                <w:rFonts w:ascii="Times New Roman" w:hAnsi="Times New Roman" w:eastAsia="宋体" w:cs="Times New Roman"/>
                <w:kern w:val="0"/>
                <w:szCs w:val="21"/>
                <w:highlight w:val="none"/>
              </w:rPr>
              <w:t xml:space="preserve">——报告期内，项目的总投资额，单位为万元。 </w:t>
            </w:r>
          </w:p>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当</w:t>
            </w:r>
            <m:oMath>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投资</m:t>
                  </m:r>
                  <m:ctrlPr>
                    <w:rPr>
                      <w:rFonts w:ascii="Cambria Math" w:hAnsi="Cambria Math" w:eastAsia="宋体" w:cs="Times New Roman"/>
                      <w:kern w:val="0"/>
                      <w:szCs w:val="21"/>
                      <w:highlight w:val="none"/>
                    </w:rPr>
                  </m:ctrlPr>
                </m:sub>
              </m:sSub>
            </m:oMath>
            <w:r>
              <w:rPr>
                <w:rFonts w:ascii="Times New Roman" w:hAnsi="Times New Roman" w:eastAsia="宋体" w:cs="Times New Roman"/>
                <w:kern w:val="0"/>
                <w:szCs w:val="21"/>
                <w:highlight w:val="none"/>
              </w:rPr>
              <w:t xml:space="preserve"> &gt;</w:t>
            </w:r>
            <m:oMath>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总投资</m:t>
                  </m:r>
                  <m:ctrlPr>
                    <w:rPr>
                      <w:rFonts w:ascii="Cambria Math" w:hAnsi="Cambria Math" w:eastAsia="宋体" w:cs="Times New Roman"/>
                      <w:kern w:val="0"/>
                      <w:szCs w:val="21"/>
                      <w:highlight w:val="none"/>
                    </w:rPr>
                  </m:ctrlPr>
                </m:sub>
              </m:sSub>
            </m:oMath>
            <w:r>
              <w:rPr>
                <w:rFonts w:ascii="Times New Roman" w:hAnsi="Times New Roman" w:eastAsia="宋体" w:cs="Times New Roman"/>
                <w:kern w:val="0"/>
                <w:szCs w:val="21"/>
                <w:highlight w:val="none"/>
              </w:rPr>
              <w:t>时，</w:t>
            </w:r>
            <m:oMath>
              <m:r>
                <m:rPr>
                  <m:sty m:val="p"/>
                </m:rPr>
                <w:rPr>
                  <w:rFonts w:ascii="Cambria Math" w:hAnsi="Cambria Math" w:eastAsia="宋体" w:cs="Times New Roman"/>
                  <w:kern w:val="0"/>
                  <w:szCs w:val="21"/>
                  <w:highlight w:val="none"/>
                </w:rPr>
                <m:t>（</m:t>
              </m:r>
              <m:f>
                <m:fPr>
                  <m:ctrlPr>
                    <w:rPr>
                      <w:rFonts w:ascii="Cambria Math" w:hAnsi="Cambria Math" w:eastAsia="宋体" w:cs="Times New Roman"/>
                      <w:iCs/>
                      <w:kern w:val="0"/>
                      <w:szCs w:val="21"/>
                      <w:highlight w:val="none"/>
                    </w:rPr>
                  </m:ctrlPr>
                </m:fPr>
                <m:num>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投资</m:t>
                      </m:r>
                      <m:ctrlPr>
                        <w:rPr>
                          <w:rFonts w:ascii="Cambria Math" w:hAnsi="Cambria Math" w:eastAsia="宋体" w:cs="Times New Roman"/>
                          <w:kern w:val="0"/>
                          <w:szCs w:val="21"/>
                          <w:highlight w:val="none"/>
                        </w:rPr>
                      </m:ctrlPr>
                    </m:sub>
                  </m:sSub>
                  <m:ctrlPr>
                    <w:rPr>
                      <w:rFonts w:ascii="Cambria Math" w:hAnsi="Cambria Math" w:eastAsia="宋体" w:cs="Times New Roman"/>
                      <w:iCs/>
                      <w:kern w:val="0"/>
                      <w:szCs w:val="21"/>
                      <w:highlight w:val="none"/>
                    </w:rPr>
                  </m:ctrlPr>
                </m:num>
                <m:den>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总投资</m:t>
                      </m:r>
                      <m:ctrlPr>
                        <w:rPr>
                          <w:rFonts w:ascii="Cambria Math" w:hAnsi="Cambria Math" w:eastAsia="宋体" w:cs="Times New Roman"/>
                          <w:kern w:val="0"/>
                          <w:szCs w:val="21"/>
                          <w:highlight w:val="none"/>
                        </w:rPr>
                      </m:ctrlPr>
                    </m:sub>
                  </m:sSub>
                  <m:ctrlPr>
                    <w:rPr>
                      <w:rFonts w:ascii="Cambria Math" w:hAnsi="Cambria Math" w:eastAsia="宋体" w:cs="Times New Roman"/>
                      <w:iCs/>
                      <w:kern w:val="0"/>
                      <w:szCs w:val="21"/>
                      <w:highlight w:val="none"/>
                    </w:rPr>
                  </m:ctrlPr>
                </m:den>
              </m:f>
              <m:r>
                <m:rPr>
                  <m:sty m:val="p"/>
                </m:rPr>
                <w:rPr>
                  <w:rFonts w:ascii="Cambria Math" w:hAnsi="Cambria Math" w:eastAsia="宋体" w:cs="Times New Roman"/>
                  <w:kern w:val="0"/>
                  <w:szCs w:val="21"/>
                  <w:highlight w:val="none"/>
                </w:rPr>
                <m:t>）</m:t>
              </m:r>
            </m:oMath>
            <w:r>
              <w:rPr>
                <w:rFonts w:ascii="Times New Roman" w:hAnsi="Times New Roman" w:eastAsia="宋体" w:cs="Times New Roman"/>
                <w:kern w:val="0"/>
                <w:szCs w:val="21"/>
                <w:highlight w:val="none"/>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8296" w:type="dxa"/>
            <w:vAlign w:val="center"/>
          </w:tcPr>
          <w:p>
            <w:pPr>
              <w:spacing w:line="360" w:lineRule="auto"/>
              <w:ind w:firstLine="420"/>
              <w:jc w:val="center"/>
              <w:rPr>
                <w:rFonts w:ascii="Times New Roman" w:hAnsi="Times New Roman" w:eastAsia="宋体" w:cs="Times New Roman"/>
                <w:kern w:val="0"/>
                <w:szCs w:val="21"/>
                <w:highlight w:val="none"/>
              </w:rPr>
            </w:pPr>
            <m:oMathPara>
              <m:oMath>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ER</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非项目业务</m:t>
                    </m:r>
                    <m:ctrlPr>
                      <w:rPr>
                        <w:rFonts w:ascii="Cambria Math" w:hAnsi="Cambria Math" w:eastAsia="宋体" w:cs="Times New Roman"/>
                        <w:kern w:val="0"/>
                        <w:szCs w:val="21"/>
                        <w:highlight w:val="none"/>
                      </w:rPr>
                    </m:ctrlPr>
                  </m:sub>
                </m:sSub>
                <m:r>
                  <w:rPr>
                    <w:rFonts w:ascii="Cambria Math" w:hAnsi="Cambria Math" w:eastAsia="宋体" w:cs="Times New Roman"/>
                    <w:kern w:val="0"/>
                    <w:szCs w:val="21"/>
                    <w:highlight w:val="none"/>
                  </w:rPr>
                  <m:t>=</m:t>
                </m:r>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ER</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主体</m:t>
                    </m:r>
                    <m:ctrlPr>
                      <w:rPr>
                        <w:rFonts w:ascii="Cambria Math" w:hAnsi="Cambria Math" w:eastAsia="宋体" w:cs="Times New Roman"/>
                        <w:kern w:val="0"/>
                        <w:szCs w:val="21"/>
                        <w:highlight w:val="none"/>
                      </w:rPr>
                    </m:ctrlPr>
                  </m:sub>
                </m:sSub>
                <m:r>
                  <m:rPr>
                    <m:sty m:val="p"/>
                  </m:rPr>
                  <w:rPr>
                    <w:rFonts w:ascii="Cambria Math" w:hAnsi="Cambria Math" w:eastAsia="宋体" w:cs="Times New Roman"/>
                    <w:kern w:val="0"/>
                    <w:szCs w:val="21"/>
                    <w:highlight w:val="none"/>
                  </w:rPr>
                  <m:t>×（</m:t>
                </m:r>
                <m:f>
                  <m:fPr>
                    <m:ctrlPr>
                      <w:rPr>
                        <w:rFonts w:ascii="Cambria Math" w:hAnsi="Cambria Math" w:eastAsia="宋体" w:cs="Times New Roman"/>
                        <w:iCs/>
                        <w:kern w:val="0"/>
                        <w:szCs w:val="21"/>
                        <w:highlight w:val="none"/>
                      </w:rPr>
                    </m:ctrlPr>
                  </m:fPr>
                  <m:num>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融资</m:t>
                        </m:r>
                        <m:ctrlPr>
                          <w:rPr>
                            <w:rFonts w:ascii="Cambria Math" w:hAnsi="Cambria Math" w:eastAsia="宋体" w:cs="Times New Roman"/>
                            <w:kern w:val="0"/>
                            <w:szCs w:val="21"/>
                            <w:highlight w:val="none"/>
                          </w:rPr>
                        </m:ctrlPr>
                      </m:sub>
                    </m:sSub>
                    <m:ctrlPr>
                      <w:rPr>
                        <w:rFonts w:ascii="Cambria Math" w:hAnsi="Cambria Math" w:eastAsia="宋体" w:cs="Times New Roman"/>
                        <w:iCs/>
                        <w:kern w:val="0"/>
                        <w:szCs w:val="21"/>
                        <w:highlight w:val="none"/>
                      </w:rPr>
                    </m:ctrlPr>
                  </m:num>
                  <m:den>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收入</m:t>
                        </m:r>
                        <m:ctrlPr>
                          <w:rPr>
                            <w:rFonts w:ascii="Cambria Math" w:hAnsi="Cambria Math" w:eastAsia="宋体" w:cs="Times New Roman"/>
                            <w:kern w:val="0"/>
                            <w:szCs w:val="21"/>
                            <w:highlight w:val="none"/>
                          </w:rPr>
                        </m:ctrlPr>
                      </m:sub>
                    </m:sSub>
                    <m:ctrlPr>
                      <w:rPr>
                        <w:rFonts w:ascii="Cambria Math" w:hAnsi="Cambria Math" w:eastAsia="宋体" w:cs="Times New Roman"/>
                        <w:iCs/>
                        <w:kern w:val="0"/>
                        <w:szCs w:val="21"/>
                        <w:highlight w:val="none"/>
                      </w:rPr>
                    </m:ctrlPr>
                  </m:den>
                </m:f>
                <m:r>
                  <m:rPr>
                    <m:sty m:val="p"/>
                  </m:rPr>
                  <w:rPr>
                    <w:rFonts w:ascii="Cambria Math" w:hAnsi="Cambria Math" w:eastAsia="宋体" w:cs="Times New Roman"/>
                    <w:kern w:val="0"/>
                    <w:szCs w:val="21"/>
                    <w:highlight w:val="none"/>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 xml:space="preserve">此式为非项目融资业务的碳减排核算公式，式中： </w:t>
            </w:r>
          </w:p>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i/>
                <w:iCs/>
                <w:kern w:val="0"/>
                <w:szCs w:val="21"/>
                <w:highlight w:val="none"/>
              </w:rPr>
              <w:t>ER</w:t>
            </w:r>
            <w:r>
              <w:rPr>
                <w:rFonts w:ascii="Times New Roman" w:hAnsi="Times New Roman" w:eastAsia="宋体" w:cs="Times New Roman"/>
                <w:kern w:val="0"/>
                <w:szCs w:val="21"/>
                <w:highlight w:val="none"/>
                <w:vertAlign w:val="subscript"/>
              </w:rPr>
              <w:t>非项目业务</w:t>
            </w:r>
            <w:r>
              <w:rPr>
                <w:rFonts w:ascii="Times New Roman" w:hAnsi="Times New Roman" w:eastAsia="宋体" w:cs="Times New Roman"/>
                <w:kern w:val="0"/>
                <w:szCs w:val="21"/>
                <w:highlight w:val="none"/>
              </w:rPr>
              <w:t>——报告期内，非项目融资业务对应的碳减排量，单位为吨二氧化碳当量（tCO</w:t>
            </w:r>
            <w:r>
              <w:rPr>
                <w:rFonts w:ascii="Times New Roman" w:hAnsi="Times New Roman" w:eastAsia="宋体" w:cs="Times New Roman"/>
                <w:kern w:val="0"/>
                <w:szCs w:val="21"/>
                <w:highlight w:val="none"/>
                <w:vertAlign w:val="subscript"/>
              </w:rPr>
              <w:t>2</w:t>
            </w:r>
            <w:r>
              <w:rPr>
                <w:rFonts w:ascii="Times New Roman" w:hAnsi="Times New Roman" w:eastAsia="宋体" w:cs="Times New Roman"/>
                <w:kern w:val="0"/>
                <w:szCs w:val="21"/>
                <w:highlight w:val="none"/>
              </w:rPr>
              <w:t xml:space="preserve">e）； </w:t>
            </w:r>
          </w:p>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i/>
                <w:iCs/>
                <w:kern w:val="0"/>
                <w:szCs w:val="21"/>
                <w:highlight w:val="none"/>
              </w:rPr>
              <w:t>ER</w:t>
            </w:r>
            <w:r>
              <w:rPr>
                <w:rFonts w:ascii="Times New Roman" w:hAnsi="Times New Roman" w:eastAsia="宋体" w:cs="Times New Roman"/>
                <w:kern w:val="0"/>
                <w:szCs w:val="21"/>
                <w:highlight w:val="none"/>
                <w:vertAlign w:val="subscript"/>
              </w:rPr>
              <w:t>主体</w:t>
            </w:r>
            <w:r>
              <w:rPr>
                <w:rFonts w:ascii="Times New Roman" w:hAnsi="Times New Roman" w:eastAsia="宋体" w:cs="Times New Roman"/>
                <w:kern w:val="0"/>
                <w:szCs w:val="21"/>
                <w:highlight w:val="none"/>
              </w:rPr>
              <w:t>——报告期内，非项目融资业务相关融资主体的碳减排量，单位为吨二氧化碳当量（tCO</w:t>
            </w:r>
            <w:r>
              <w:rPr>
                <w:rFonts w:ascii="Times New Roman" w:hAnsi="Times New Roman" w:eastAsia="宋体" w:cs="Times New Roman"/>
                <w:kern w:val="0"/>
                <w:szCs w:val="21"/>
                <w:highlight w:val="none"/>
                <w:vertAlign w:val="subscript"/>
              </w:rPr>
              <w:t>2</w:t>
            </w:r>
            <w:r>
              <w:rPr>
                <w:rFonts w:ascii="Times New Roman" w:hAnsi="Times New Roman" w:eastAsia="宋体" w:cs="Times New Roman"/>
                <w:kern w:val="0"/>
                <w:szCs w:val="21"/>
                <w:highlight w:val="none"/>
              </w:rPr>
              <w:t xml:space="preserve">e）； </w:t>
            </w:r>
          </w:p>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i/>
                <w:iCs/>
                <w:kern w:val="0"/>
                <w:szCs w:val="21"/>
                <w:highlight w:val="none"/>
              </w:rPr>
              <w:t>V</w:t>
            </w:r>
            <w:r>
              <w:rPr>
                <w:rFonts w:ascii="Times New Roman" w:hAnsi="Times New Roman" w:eastAsia="宋体" w:cs="Times New Roman"/>
                <w:kern w:val="0"/>
                <w:szCs w:val="21"/>
                <w:highlight w:val="none"/>
                <w:vertAlign w:val="subscript"/>
              </w:rPr>
              <w:t>融资</w:t>
            </w:r>
            <w:r>
              <w:rPr>
                <w:rFonts w:ascii="Times New Roman" w:hAnsi="Times New Roman" w:eastAsia="宋体" w:cs="Times New Roman"/>
                <w:kern w:val="0"/>
                <w:szCs w:val="21"/>
                <w:highlight w:val="none"/>
              </w:rPr>
              <w:t xml:space="preserve">——报告期内，金融机构对融资主体的月均非项目融资额，单位为万元； </w:t>
            </w:r>
          </w:p>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i/>
                <w:iCs/>
                <w:kern w:val="0"/>
                <w:szCs w:val="21"/>
                <w:highlight w:val="none"/>
              </w:rPr>
              <w:t>V</w:t>
            </w:r>
            <w:r>
              <w:rPr>
                <w:rFonts w:ascii="Times New Roman" w:hAnsi="Times New Roman" w:eastAsia="宋体" w:cs="Times New Roman"/>
                <w:kern w:val="0"/>
                <w:szCs w:val="21"/>
                <w:highlight w:val="none"/>
                <w:vertAlign w:val="subscript"/>
              </w:rPr>
              <w:t>收入</w:t>
            </w:r>
            <w:r>
              <w:rPr>
                <w:rFonts w:ascii="Times New Roman" w:hAnsi="Times New Roman" w:eastAsia="宋体" w:cs="Times New Roman"/>
                <w:kern w:val="0"/>
                <w:szCs w:val="21"/>
                <w:highlight w:val="none"/>
              </w:rPr>
              <w:t xml:space="preserve">——报告期内，融资主体的主营业务收入，单位为万元。 </w:t>
            </w:r>
          </w:p>
          <w:p>
            <w:pPr>
              <w:spacing w:line="360" w:lineRule="auto"/>
              <w:ind w:firstLine="420"/>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当</w:t>
            </w:r>
            <m:oMath>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融资</m:t>
                  </m:r>
                  <m:ctrlPr>
                    <w:rPr>
                      <w:rFonts w:ascii="Cambria Math" w:hAnsi="Cambria Math" w:eastAsia="宋体" w:cs="Times New Roman"/>
                      <w:kern w:val="0"/>
                      <w:szCs w:val="21"/>
                      <w:highlight w:val="none"/>
                    </w:rPr>
                  </m:ctrlPr>
                </m:sub>
              </m:sSub>
            </m:oMath>
            <w:r>
              <w:rPr>
                <w:rFonts w:ascii="Times New Roman" w:hAnsi="Times New Roman" w:eastAsia="宋体" w:cs="Times New Roman"/>
                <w:kern w:val="0"/>
                <w:szCs w:val="21"/>
                <w:highlight w:val="none"/>
              </w:rPr>
              <w:t>&gt;</w:t>
            </w:r>
            <m:oMath>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收入</m:t>
                  </m:r>
                  <m:ctrlPr>
                    <w:rPr>
                      <w:rFonts w:ascii="Cambria Math" w:hAnsi="Cambria Math" w:eastAsia="宋体" w:cs="Times New Roman"/>
                      <w:kern w:val="0"/>
                      <w:szCs w:val="21"/>
                      <w:highlight w:val="none"/>
                    </w:rPr>
                  </m:ctrlPr>
                </m:sub>
              </m:sSub>
            </m:oMath>
            <w:r>
              <w:rPr>
                <w:rFonts w:ascii="Times New Roman" w:hAnsi="Times New Roman" w:eastAsia="宋体" w:cs="Times New Roman"/>
                <w:kern w:val="0"/>
                <w:szCs w:val="21"/>
                <w:highlight w:val="none"/>
              </w:rPr>
              <w:t>时，</w:t>
            </w:r>
            <m:oMath>
              <m:r>
                <m:rPr>
                  <m:sty m:val="p"/>
                </m:rPr>
                <w:rPr>
                  <w:rFonts w:ascii="Cambria Math" w:hAnsi="Cambria Math" w:eastAsia="宋体" w:cs="Times New Roman"/>
                  <w:kern w:val="0"/>
                  <w:szCs w:val="21"/>
                  <w:highlight w:val="none"/>
                </w:rPr>
                <m:t>（</m:t>
              </m:r>
              <m:f>
                <m:fPr>
                  <m:ctrlPr>
                    <w:rPr>
                      <w:rFonts w:ascii="Cambria Math" w:hAnsi="Cambria Math" w:eastAsia="宋体" w:cs="Times New Roman"/>
                      <w:iCs/>
                      <w:kern w:val="0"/>
                      <w:szCs w:val="21"/>
                      <w:highlight w:val="none"/>
                    </w:rPr>
                  </m:ctrlPr>
                </m:fPr>
                <m:num>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融资</m:t>
                      </m:r>
                      <m:ctrlPr>
                        <w:rPr>
                          <w:rFonts w:ascii="Cambria Math" w:hAnsi="Cambria Math" w:eastAsia="宋体" w:cs="Times New Roman"/>
                          <w:kern w:val="0"/>
                          <w:szCs w:val="21"/>
                          <w:highlight w:val="none"/>
                        </w:rPr>
                      </m:ctrlPr>
                    </m:sub>
                  </m:sSub>
                  <m:ctrlPr>
                    <w:rPr>
                      <w:rFonts w:ascii="Cambria Math" w:hAnsi="Cambria Math" w:eastAsia="宋体" w:cs="Times New Roman"/>
                      <w:iCs/>
                      <w:kern w:val="0"/>
                      <w:szCs w:val="21"/>
                      <w:highlight w:val="none"/>
                    </w:rPr>
                  </m:ctrlPr>
                </m:num>
                <m:den>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V</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收入</m:t>
                      </m:r>
                      <m:ctrlPr>
                        <w:rPr>
                          <w:rFonts w:ascii="Cambria Math" w:hAnsi="Cambria Math" w:eastAsia="宋体" w:cs="Times New Roman"/>
                          <w:kern w:val="0"/>
                          <w:szCs w:val="21"/>
                          <w:highlight w:val="none"/>
                        </w:rPr>
                      </m:ctrlPr>
                    </m:sub>
                  </m:sSub>
                  <m:ctrlPr>
                    <w:rPr>
                      <w:rFonts w:ascii="Cambria Math" w:hAnsi="Cambria Math" w:eastAsia="宋体" w:cs="Times New Roman"/>
                      <w:iCs/>
                      <w:kern w:val="0"/>
                      <w:szCs w:val="21"/>
                      <w:highlight w:val="none"/>
                    </w:rPr>
                  </m:ctrlPr>
                </m:den>
              </m:f>
              <m:r>
                <m:rPr>
                  <m:sty m:val="p"/>
                </m:rPr>
                <w:rPr>
                  <w:rFonts w:ascii="Cambria Math" w:hAnsi="Cambria Math" w:eastAsia="宋体" w:cs="Times New Roman"/>
                  <w:kern w:val="0"/>
                  <w:szCs w:val="21"/>
                  <w:highlight w:val="none"/>
                </w:rPr>
                <m:t>）</m:t>
              </m:r>
            </m:oMath>
            <w:r>
              <w:rPr>
                <w:rFonts w:ascii="Times New Roman" w:hAnsi="Times New Roman" w:eastAsia="宋体" w:cs="Times New Roman"/>
                <w:kern w:val="0"/>
                <w:szCs w:val="21"/>
                <w:highlight w:val="none"/>
              </w:rP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296" w:type="dxa"/>
            <w:vAlign w:val="center"/>
          </w:tcPr>
          <w:p>
            <w:pPr>
              <w:widowControl/>
              <w:spacing w:line="360" w:lineRule="auto"/>
              <w:ind w:firstLine="420"/>
              <w:jc w:val="center"/>
              <w:rPr>
                <w:rFonts w:ascii="Times New Roman" w:hAnsi="Times New Roman" w:eastAsia="宋体" w:cs="Times New Roman"/>
                <w:kern w:val="0"/>
                <w:szCs w:val="21"/>
                <w:highlight w:val="none"/>
              </w:rPr>
            </w:pPr>
            <m:oMathPara>
              <m:oMath>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R</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碳减排</m:t>
                    </m:r>
                    <m:ctrlPr>
                      <w:rPr>
                        <w:rFonts w:ascii="Cambria Math" w:hAnsi="Cambria Math" w:eastAsia="宋体" w:cs="Times New Roman"/>
                        <w:kern w:val="0"/>
                        <w:szCs w:val="21"/>
                        <w:highlight w:val="none"/>
                      </w:rPr>
                    </m:ctrlPr>
                  </m:sub>
                </m:sSub>
                <m:r>
                  <w:rPr>
                    <w:rFonts w:ascii="Cambria Math" w:hAnsi="Cambria Math" w:eastAsia="宋体" w:cs="Times New Roman"/>
                    <w:kern w:val="0"/>
                    <w:szCs w:val="21"/>
                    <w:highlight w:val="none"/>
                  </w:rPr>
                  <m:t>=</m:t>
                </m:r>
                <m:f>
                  <m:fPr>
                    <m:ctrlPr>
                      <w:rPr>
                        <w:rFonts w:ascii="Cambria Math" w:hAnsi="Cambria Math" w:eastAsia="宋体" w:cs="Times New Roman"/>
                        <w:iCs/>
                        <w:kern w:val="0"/>
                        <w:szCs w:val="21"/>
                        <w:highlight w:val="none"/>
                      </w:rPr>
                    </m:ctrlPr>
                  </m:fPr>
                  <m:num>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n</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碳减排</m:t>
                        </m:r>
                        <m:ctrlPr>
                          <w:rPr>
                            <w:rFonts w:ascii="Cambria Math" w:hAnsi="Cambria Math" w:eastAsia="宋体" w:cs="Times New Roman"/>
                            <w:kern w:val="0"/>
                            <w:szCs w:val="21"/>
                            <w:highlight w:val="none"/>
                          </w:rPr>
                        </m:ctrlPr>
                      </m:sub>
                    </m:sSub>
                    <m:ctrlPr>
                      <w:rPr>
                        <w:rFonts w:ascii="Cambria Math" w:hAnsi="Cambria Math" w:eastAsia="宋体" w:cs="Times New Roman"/>
                        <w:iCs/>
                        <w:kern w:val="0"/>
                        <w:szCs w:val="21"/>
                        <w:highlight w:val="none"/>
                      </w:rPr>
                    </m:ctrlPr>
                  </m:num>
                  <m:den>
                    <m:sSub>
                      <m:sSubPr>
                        <m:ctrlPr>
                          <w:rPr>
                            <w:rFonts w:ascii="Cambria Math" w:hAnsi="Cambria Math" w:eastAsia="宋体" w:cs="Times New Roman"/>
                            <w:kern w:val="0"/>
                            <w:szCs w:val="21"/>
                            <w:highlight w:val="none"/>
                          </w:rPr>
                        </m:ctrlPr>
                      </m:sSubPr>
                      <m:e>
                        <m:r>
                          <w:rPr>
                            <w:rFonts w:ascii="Cambria Math" w:hAnsi="Cambria Math" w:eastAsia="宋体" w:cs="Times New Roman"/>
                            <w:kern w:val="0"/>
                            <w:szCs w:val="21"/>
                            <w:highlight w:val="none"/>
                          </w:rPr>
                          <m:t>N</m:t>
                        </m:r>
                        <m:ctrlPr>
                          <w:rPr>
                            <w:rFonts w:ascii="Cambria Math" w:hAnsi="Cambria Math" w:eastAsia="宋体" w:cs="Times New Roman"/>
                            <w:kern w:val="0"/>
                            <w:szCs w:val="21"/>
                            <w:highlight w:val="none"/>
                          </w:rPr>
                        </m:ctrlPr>
                      </m:e>
                      <m:sub>
                        <m:r>
                          <m:rPr>
                            <m:sty m:val="p"/>
                          </m:rPr>
                          <w:rPr>
                            <w:rFonts w:ascii="Cambria Math" w:hAnsi="Cambria Math" w:eastAsia="宋体" w:cs="Times New Roman"/>
                            <w:kern w:val="0"/>
                            <w:szCs w:val="21"/>
                            <w:highlight w:val="none"/>
                          </w:rPr>
                          <m:t>总</m:t>
                        </m:r>
                        <m:ctrlPr>
                          <w:rPr>
                            <w:rFonts w:ascii="Cambria Math" w:hAnsi="Cambria Math" w:eastAsia="宋体" w:cs="Times New Roman"/>
                            <w:kern w:val="0"/>
                            <w:szCs w:val="21"/>
                            <w:highlight w:val="none"/>
                          </w:rPr>
                        </m:ctrlPr>
                      </m:sub>
                    </m:sSub>
                    <m:ctrlPr>
                      <w:rPr>
                        <w:rFonts w:ascii="Cambria Math" w:hAnsi="Cambria Math" w:eastAsia="宋体" w:cs="Times New Roman"/>
                        <w:iCs/>
                        <w:kern w:val="0"/>
                        <w:szCs w:val="21"/>
                        <w:highlight w:val="none"/>
                      </w:rPr>
                    </m:ctrlPr>
                  </m:den>
                </m:f>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widowControl/>
              <w:spacing w:line="360" w:lineRule="auto"/>
              <w:ind w:firstLine="420"/>
              <w:jc w:val="left"/>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此式为融资业务</w:t>
            </w:r>
            <w:r>
              <w:rPr>
                <w:rFonts w:hint="eastAsia" w:ascii="Times New Roman" w:hAnsi="Times New Roman" w:eastAsia="宋体" w:cs="Times New Roman"/>
                <w:kern w:val="0"/>
                <w:szCs w:val="21"/>
                <w:highlight w:val="none"/>
              </w:rPr>
              <w:t>占该类型融资业务比例</w:t>
            </w:r>
            <w:r>
              <w:rPr>
                <w:rFonts w:ascii="Times New Roman" w:hAnsi="Times New Roman" w:eastAsia="宋体" w:cs="Times New Roman"/>
                <w:kern w:val="0"/>
                <w:szCs w:val="21"/>
                <w:highlight w:val="none"/>
              </w:rPr>
              <w:t xml:space="preserve">的公式，式中： </w:t>
            </w:r>
          </w:p>
          <w:p>
            <w:pPr>
              <w:widowControl/>
              <w:spacing w:line="360" w:lineRule="auto"/>
              <w:ind w:firstLine="420"/>
              <w:jc w:val="left"/>
              <w:rPr>
                <w:rFonts w:ascii="Times New Roman" w:hAnsi="Times New Roman" w:eastAsia="宋体" w:cs="Times New Roman"/>
                <w:kern w:val="0"/>
                <w:szCs w:val="21"/>
                <w:highlight w:val="none"/>
              </w:rPr>
            </w:pPr>
            <w:r>
              <w:rPr>
                <w:rFonts w:ascii="Cambria Math" w:hAnsi="Cambria Math" w:eastAsia="宋体" w:cs="Cambria Math"/>
                <w:color w:val="000000"/>
                <w:kern w:val="0"/>
                <w:szCs w:val="21"/>
                <w:highlight w:val="none"/>
              </w:rPr>
              <w:t>𝑅</w:t>
            </w:r>
            <w:r>
              <w:rPr>
                <w:rFonts w:ascii="Times New Roman" w:hAnsi="Times New Roman" w:eastAsia="宋体" w:cs="Times New Roman"/>
                <w:color w:val="000000"/>
                <w:kern w:val="0"/>
                <w:szCs w:val="21"/>
                <w:highlight w:val="none"/>
                <w:vertAlign w:val="subscript"/>
              </w:rPr>
              <w:t>碳减排</w:t>
            </w:r>
            <w:r>
              <w:rPr>
                <w:rFonts w:ascii="Times New Roman" w:hAnsi="Times New Roman" w:eastAsia="宋体" w:cs="Times New Roman"/>
                <w:color w:val="000000"/>
                <w:kern w:val="0"/>
                <w:szCs w:val="21"/>
                <w:highlight w:val="none"/>
              </w:rPr>
              <w:t xml:space="preserve">——报告期内，纳入碳减排量核算的融资业务占金融机构该类型融资业务的比例，按项目融资业务和非项目融资业务两种类型分别计算； </w:t>
            </w:r>
          </w:p>
          <w:p>
            <w:pPr>
              <w:widowControl/>
              <w:spacing w:line="360" w:lineRule="auto"/>
              <w:ind w:firstLine="420"/>
              <w:jc w:val="left"/>
              <w:rPr>
                <w:rFonts w:ascii="Times New Roman" w:hAnsi="Times New Roman" w:eastAsia="宋体" w:cs="Times New Roman"/>
                <w:kern w:val="0"/>
                <w:szCs w:val="21"/>
                <w:highlight w:val="none"/>
              </w:rPr>
            </w:pPr>
            <w:r>
              <w:rPr>
                <w:rFonts w:ascii="Cambria Math" w:hAnsi="Cambria Math" w:eastAsia="宋体" w:cs="Cambria Math"/>
                <w:color w:val="000000"/>
                <w:kern w:val="0"/>
                <w:szCs w:val="21"/>
                <w:highlight w:val="none"/>
              </w:rPr>
              <w:t>𝑛</w:t>
            </w:r>
            <w:r>
              <w:rPr>
                <w:rFonts w:ascii="Times New Roman" w:hAnsi="Times New Roman" w:eastAsia="宋体" w:cs="Times New Roman"/>
                <w:color w:val="000000"/>
                <w:kern w:val="0"/>
                <w:szCs w:val="21"/>
                <w:highlight w:val="none"/>
                <w:vertAlign w:val="subscript"/>
              </w:rPr>
              <w:t>碳减排</w:t>
            </w:r>
            <w:r>
              <w:rPr>
                <w:rFonts w:ascii="Times New Roman" w:hAnsi="Times New Roman" w:eastAsia="宋体" w:cs="Times New Roman"/>
                <w:color w:val="000000"/>
                <w:kern w:val="0"/>
                <w:szCs w:val="21"/>
                <w:highlight w:val="none"/>
              </w:rPr>
              <w:t xml:space="preserve">——报告期内，纳入碳减排量核算的融资业务的笔数，按项目融资业务和非项目融资业务两种类型分别统计； </w:t>
            </w:r>
          </w:p>
          <w:p>
            <w:pPr>
              <w:widowControl/>
              <w:spacing w:line="360" w:lineRule="auto"/>
              <w:ind w:firstLine="420"/>
              <w:jc w:val="left"/>
              <w:rPr>
                <w:rFonts w:ascii="Times New Roman" w:hAnsi="Times New Roman" w:eastAsia="宋体" w:cs="Times New Roman"/>
                <w:kern w:val="0"/>
                <w:szCs w:val="21"/>
                <w:highlight w:val="none"/>
              </w:rPr>
            </w:pPr>
            <w:r>
              <w:rPr>
                <w:rFonts w:ascii="Cambria Math" w:hAnsi="Cambria Math" w:eastAsia="宋体" w:cs="Cambria Math"/>
                <w:color w:val="000000"/>
                <w:kern w:val="0"/>
                <w:szCs w:val="21"/>
                <w:highlight w:val="none"/>
              </w:rPr>
              <w:t>𝑁</w:t>
            </w:r>
            <w:r>
              <w:rPr>
                <w:rFonts w:ascii="Times New Roman" w:hAnsi="Times New Roman" w:eastAsia="宋体" w:cs="Times New Roman"/>
                <w:color w:val="000000"/>
                <w:kern w:val="0"/>
                <w:szCs w:val="21"/>
                <w:highlight w:val="none"/>
                <w:vertAlign w:val="subscript"/>
              </w:rPr>
              <w:t>总</w:t>
            </w:r>
            <w:r>
              <w:rPr>
                <w:rFonts w:ascii="Times New Roman" w:hAnsi="Times New Roman" w:eastAsia="宋体" w:cs="Times New Roman"/>
                <w:color w:val="000000"/>
                <w:kern w:val="0"/>
                <w:szCs w:val="21"/>
                <w:highlight w:val="none"/>
              </w:rPr>
              <w:t>——报告期内，不同类型融资业务的总笔数，按项目融资业务和非项目融资业务两种类型分别统计。</w:t>
            </w:r>
          </w:p>
        </w:tc>
      </w:tr>
    </w:tbl>
    <w:p>
      <w:pPr>
        <w:ind w:firstLine="560"/>
        <w:rPr>
          <w:rFonts w:ascii="宋体" w:hAnsi="宋体" w:eastAsia="宋体" w:cs="宋体"/>
          <w:sz w:val="28"/>
          <w:szCs w:val="28"/>
          <w:highlight w:val="none"/>
        </w:rPr>
      </w:pPr>
      <w:r>
        <w:rPr>
          <w:rFonts w:hint="eastAsia" w:ascii="宋体" w:hAnsi="宋体" w:eastAsia="宋体" w:cs="宋体"/>
          <w:sz w:val="28"/>
          <w:szCs w:val="28"/>
          <w:highlight w:val="none"/>
          <w:lang w:eastAsia="zh-CN"/>
        </w:rPr>
        <w:t>本行</w:t>
      </w:r>
      <w:r>
        <w:rPr>
          <w:rFonts w:hint="eastAsia" w:ascii="宋体" w:hAnsi="宋体" w:eastAsia="宋体" w:cs="宋体"/>
          <w:sz w:val="28"/>
          <w:szCs w:val="28"/>
          <w:highlight w:val="none"/>
        </w:rPr>
        <w:t>绿色信贷环境效益测算标准依据中国银保监会发布的《关于绿色融资统计制度有关工作的通知》（银保监办便函〔2020〕739号）的附件：《绿色信贷项目节能减排量测算指引》，计算所需关键数据来源于项目可研报告和项目实际投产运营参数等，计算所需相关系数或缺省值由该指引提供。</w:t>
      </w:r>
    </w:p>
    <w:p>
      <w:pPr>
        <w:ind w:firstLine="560"/>
        <w:rPr>
          <w:rFonts w:ascii="宋体" w:hAnsi="宋体" w:eastAsia="宋体" w:cs="宋体"/>
          <w:sz w:val="28"/>
          <w:szCs w:val="28"/>
          <w:highlight w:val="none"/>
        </w:rPr>
      </w:pPr>
      <w:r>
        <w:rPr>
          <w:rFonts w:hint="eastAsia" w:ascii="宋体" w:hAnsi="宋体" w:eastAsia="宋体" w:cs="宋体"/>
          <w:sz w:val="28"/>
          <w:szCs w:val="28"/>
          <w:highlight w:val="none"/>
          <w:lang w:eastAsia="zh-CN"/>
        </w:rPr>
        <w:t>本行</w:t>
      </w:r>
      <w:r>
        <w:rPr>
          <w:rFonts w:hint="eastAsia" w:ascii="宋体" w:hAnsi="宋体" w:eastAsia="宋体" w:cs="宋体"/>
          <w:sz w:val="28"/>
          <w:szCs w:val="28"/>
          <w:highlight w:val="none"/>
        </w:rPr>
        <w:t>可量化环境效益的项目类型主要为城乡公交项目，项目环境效益涉及指标如下：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widowControl/>
              <w:numPr>
                <w:ilvl w:val="0"/>
                <w:numId w:val="4"/>
              </w:numPr>
              <w:spacing w:line="360" w:lineRule="auto"/>
              <w:jc w:val="left"/>
              <w:rPr>
                <w:rFonts w:ascii="Times New Roman" w:hAnsi="Times New Roman" w:eastAsia="宋体" w:cs="Times New Roman"/>
                <w:color w:val="000000"/>
                <w:kern w:val="0"/>
                <w:szCs w:val="21"/>
                <w:highlight w:val="none"/>
              </w:rPr>
            </w:pPr>
            <w:r>
              <w:rPr>
                <w:rFonts w:ascii="Times New Roman" w:hAnsi="Times New Roman" w:eastAsia="宋体" w:cs="Times New Roman"/>
                <w:kern w:val="0"/>
                <w:szCs w:val="21"/>
                <w:highlight w:val="none"/>
              </w:rPr>
              <w:t xml:space="preserve">标准煤节约量  </w:t>
            </w:r>
            <w:r>
              <w:rPr>
                <w:rFonts w:ascii="Times New Roman" w:hAnsi="Times New Roman" w:eastAsia="宋体" w:cs="Times New Roman"/>
                <w:color w:val="000000"/>
                <w:kern w:val="0"/>
                <w:szCs w:val="21"/>
                <w:highlight w:val="none"/>
              </w:rPr>
              <w:t>E=</w:t>
            </w:r>
            <w:r>
              <w:rPr>
                <w:rFonts w:hint="eastAsia" w:ascii="Times New Roman" w:hAnsi="Times New Roman" w:eastAsia="宋体" w:cs="Times New Roman"/>
                <w:kern w:val="0"/>
                <w:szCs w:val="21"/>
                <w:highlight w:val="none"/>
              </w:rPr>
              <w:t>（</w:t>
            </w:r>
            <w:r>
              <w:rPr>
                <w:rFonts w:ascii="Times New Roman" w:hAnsi="Times New Roman" w:eastAsia="宋体" w:cs="Times New Roman"/>
                <w:kern w:val="0"/>
                <w:szCs w:val="21"/>
                <w:highlight w:val="none"/>
              </w:rPr>
              <w:t>ω</w:t>
            </w:r>
            <w:r>
              <w:rPr>
                <w:rFonts w:hint="eastAsia" w:ascii="Times New Roman" w:hAnsi="Times New Roman" w:eastAsia="宋体" w:cs="Times New Roman"/>
                <w:kern w:val="0"/>
                <w:szCs w:val="21"/>
                <w:highlight w:val="none"/>
                <w:vertAlign w:val="subscript"/>
              </w:rPr>
              <w:t>c</w:t>
            </w:r>
            <w:r>
              <w:rPr>
                <w:rFonts w:hint="eastAsia" w:ascii="Times New Roman" w:hAnsi="Times New Roman" w:eastAsia="宋体" w:cs="Times New Roman"/>
                <w:kern w:val="0"/>
                <w:szCs w:val="21"/>
                <w:highlight w:val="none"/>
              </w:rPr>
              <w:t>-</w:t>
            </w:r>
            <w:r>
              <w:rPr>
                <w:rFonts w:ascii="Times New Roman" w:hAnsi="Times New Roman" w:eastAsia="宋体" w:cs="Times New Roman"/>
                <w:kern w:val="0"/>
                <w:szCs w:val="21"/>
                <w:highlight w:val="none"/>
              </w:rPr>
              <w:t>ω</w:t>
            </w:r>
            <w:r>
              <w:rPr>
                <w:rFonts w:hint="eastAsia" w:ascii="Times New Roman" w:hAnsi="Times New Roman" w:eastAsia="宋体" w:cs="Times New Roman"/>
                <w:kern w:val="0"/>
                <w:szCs w:val="21"/>
                <w:highlight w:val="none"/>
                <w:vertAlign w:val="subscript"/>
              </w:rPr>
              <w:t>h</w:t>
            </w:r>
            <w:r>
              <w:rPr>
                <w:rFonts w:hint="eastAsia" w:ascii="Times New Roman" w:hAnsi="Times New Roman" w:eastAsia="宋体" w:cs="Times New Roman"/>
                <w:kern w:val="0"/>
                <w:szCs w:val="21"/>
                <w:highlight w:val="none"/>
              </w:rPr>
              <w:t>）</w:t>
            </w:r>
            <w:r>
              <w:rPr>
                <w:rFonts w:ascii="Times New Roman" w:hAnsi="Times New Roman" w:eastAsia="宋体" w:cs="Times New Roman"/>
                <w:color w:val="000000"/>
                <w:kern w:val="0"/>
                <w:szCs w:val="21"/>
                <w:highlight w:val="none"/>
              </w:rPr>
              <w:t>×ρ×β×</w:t>
            </w:r>
            <w:r>
              <w:rPr>
                <w:rFonts w:hint="eastAsia" w:ascii="Times New Roman" w:hAnsi="Times New Roman" w:eastAsia="宋体" w:cs="Times New Roman"/>
                <w:color w:val="000000"/>
                <w:kern w:val="0"/>
                <w:szCs w:val="21"/>
                <w:highlight w:val="none"/>
              </w:rPr>
              <w:t>N</w:t>
            </w:r>
            <w:r>
              <w:rPr>
                <w:rFonts w:ascii="Times New Roman" w:hAnsi="Times New Roman" w:eastAsia="宋体" w:cs="Times New Roman"/>
                <w:color w:val="000000"/>
                <w:kern w:val="0"/>
                <w:szCs w:val="21"/>
                <w:highlight w:val="none"/>
              </w:rPr>
              <w:t>×</w:t>
            </w:r>
            <w:r>
              <w:rPr>
                <w:rFonts w:hint="eastAsia" w:ascii="Times New Roman" w:hAnsi="Times New Roman" w:eastAsia="宋体" w:cs="Times New Roman"/>
                <w:color w:val="000000"/>
                <w:kern w:val="0"/>
                <w:szCs w:val="21"/>
                <w:highlight w:val="none"/>
              </w:rPr>
              <w:t>K</w:t>
            </w:r>
            <w:r>
              <w:rPr>
                <w:rFonts w:ascii="Times New Roman" w:hAnsi="Times New Roman" w:eastAsia="宋体" w:cs="Times New Roman"/>
                <w:color w:val="000000"/>
                <w:kern w:val="0"/>
                <w:szCs w:val="21"/>
                <w:highlight w:val="none"/>
              </w:rPr>
              <w:t>×</w:t>
            </w:r>
            <w:r>
              <w:rPr>
                <w:rFonts w:hint="eastAsia" w:ascii="Times New Roman" w:hAnsi="Times New Roman" w:eastAsia="宋体" w:cs="Times New Roman"/>
                <w:color w:val="000000"/>
                <w:kern w:val="0"/>
                <w:szCs w:val="21"/>
                <w:highlight w:val="none"/>
              </w:rPr>
              <w:t>10</w:t>
            </w:r>
            <w:r>
              <w:rPr>
                <w:rFonts w:hint="eastAsia" w:ascii="Times New Roman" w:hAnsi="Times New Roman" w:eastAsia="宋体" w:cs="Times New Roman"/>
                <w:color w:val="000000"/>
                <w:kern w:val="0"/>
                <w:szCs w:val="21"/>
                <w:highlight w:val="none"/>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tabs>
                <w:tab w:val="left" w:pos="6486"/>
              </w:tabs>
              <w:spacing w:line="360" w:lineRule="auto"/>
              <w:ind w:firstLine="422" w:firstLineChars="201"/>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E：年标准煤节约能力，单位为：吨标准煤；</w:t>
            </w:r>
            <w:r>
              <w:rPr>
                <w:rFonts w:ascii="Times New Roman" w:hAnsi="Times New Roman" w:eastAsia="宋体" w:cs="Times New Roman"/>
                <w:kern w:val="0"/>
                <w:szCs w:val="21"/>
                <w:highlight w:val="none"/>
              </w:rPr>
              <w:tab/>
            </w:r>
          </w:p>
          <w:p>
            <w:pPr>
              <w:tabs>
                <w:tab w:val="left" w:pos="6486"/>
              </w:tabs>
              <w:spacing w:line="360" w:lineRule="auto"/>
              <w:ind w:firstLine="422" w:firstLineChars="201"/>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ω</w:t>
            </w:r>
            <w:r>
              <w:rPr>
                <w:rFonts w:hint="eastAsia" w:ascii="Times New Roman" w:hAnsi="Times New Roman" w:eastAsia="宋体" w:cs="Times New Roman"/>
                <w:kern w:val="0"/>
                <w:szCs w:val="21"/>
                <w:highlight w:val="none"/>
                <w:vertAlign w:val="subscript"/>
              </w:rPr>
              <w:t>c</w:t>
            </w:r>
            <w:r>
              <w:rPr>
                <w:rFonts w:hint="eastAsia" w:ascii="Times New Roman" w:hAnsi="Times New Roman" w:eastAsia="宋体" w:cs="Times New Roman"/>
                <w:kern w:val="0"/>
                <w:szCs w:val="21"/>
                <w:highlight w:val="none"/>
              </w:rPr>
              <w:t>：车辆更新项目实施前，老旧车辆的设计油耗，单位：升/百公里；</w:t>
            </w:r>
          </w:p>
          <w:p>
            <w:pPr>
              <w:tabs>
                <w:tab w:val="left" w:pos="6486"/>
              </w:tabs>
              <w:spacing w:line="360" w:lineRule="auto"/>
              <w:ind w:firstLine="422" w:firstLineChars="201"/>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ω</w:t>
            </w:r>
            <w:r>
              <w:rPr>
                <w:rFonts w:hint="eastAsia" w:ascii="Times New Roman" w:hAnsi="Times New Roman" w:eastAsia="宋体" w:cs="Times New Roman"/>
                <w:kern w:val="0"/>
                <w:szCs w:val="21"/>
                <w:highlight w:val="none"/>
                <w:vertAlign w:val="subscript"/>
              </w:rPr>
              <w:t>h</w:t>
            </w:r>
            <w:r>
              <w:rPr>
                <w:rFonts w:hint="eastAsia" w:ascii="Times New Roman" w:hAnsi="Times New Roman" w:eastAsia="宋体" w:cs="Times New Roman"/>
                <w:kern w:val="0"/>
                <w:szCs w:val="21"/>
                <w:highlight w:val="none"/>
              </w:rPr>
              <w:t>：车辆更新项目实施后，更新购置车辆的设计油耗，单位：升/百公里；</w:t>
            </w:r>
          </w:p>
          <w:p>
            <w:pPr>
              <w:tabs>
                <w:tab w:val="left" w:pos="6486"/>
              </w:tabs>
              <w:spacing w:line="360" w:lineRule="auto"/>
              <w:ind w:firstLine="422" w:firstLineChars="201"/>
              <w:rPr>
                <w:rFonts w:ascii="Times New Roman" w:hAnsi="Times New Roman" w:eastAsia="宋体" w:cs="Times New Roman"/>
                <w:kern w:val="0"/>
                <w:szCs w:val="21"/>
                <w:highlight w:val="none"/>
              </w:rPr>
            </w:pPr>
            <w:r>
              <w:rPr>
                <w:rFonts w:ascii="Times New Roman" w:hAnsi="Times New Roman" w:eastAsia="宋体" w:cs="Times New Roman"/>
                <w:color w:val="000000"/>
                <w:kern w:val="0"/>
                <w:szCs w:val="21"/>
                <w:highlight w:val="none"/>
              </w:rPr>
              <w:t>ρ</w:t>
            </w:r>
            <w:r>
              <w:rPr>
                <w:rFonts w:hint="eastAsia" w:ascii="Times New Roman" w:hAnsi="Times New Roman" w:eastAsia="宋体" w:cs="Times New Roman"/>
                <w:color w:val="000000"/>
                <w:kern w:val="0"/>
                <w:szCs w:val="21"/>
                <w:highlight w:val="none"/>
              </w:rPr>
              <w:t>：</w:t>
            </w:r>
            <w:r>
              <w:rPr>
                <w:rFonts w:hint="eastAsia" w:ascii="Times New Roman" w:hAnsi="Times New Roman" w:eastAsia="宋体" w:cs="Times New Roman"/>
                <w:kern w:val="0"/>
                <w:szCs w:val="21"/>
                <w:highlight w:val="none"/>
              </w:rPr>
              <w:t xml:space="preserve"> 油品的体积质量转化系数，即油品的密度，单位：千克/升；</w:t>
            </w:r>
          </w:p>
          <w:p>
            <w:pPr>
              <w:tabs>
                <w:tab w:val="left" w:pos="6486"/>
              </w:tabs>
              <w:spacing w:line="360" w:lineRule="auto"/>
              <w:ind w:firstLine="422" w:firstLineChars="201"/>
              <w:rPr>
                <w:rFonts w:ascii="Times New Roman" w:hAnsi="Times New Roman" w:eastAsia="宋体" w:cs="Times New Roman"/>
                <w:kern w:val="0"/>
                <w:szCs w:val="21"/>
                <w:highlight w:val="none"/>
              </w:rPr>
            </w:pPr>
            <w:r>
              <w:rPr>
                <w:rFonts w:ascii="Times New Roman" w:hAnsi="Times New Roman" w:eastAsia="宋体" w:cs="Times New Roman"/>
                <w:color w:val="000000"/>
                <w:kern w:val="0"/>
                <w:szCs w:val="21"/>
                <w:highlight w:val="none"/>
              </w:rPr>
              <w:t>β</w:t>
            </w:r>
            <w:r>
              <w:rPr>
                <w:rFonts w:hint="eastAsia" w:ascii="Times New Roman" w:hAnsi="Times New Roman" w:eastAsia="宋体" w:cs="Times New Roman"/>
                <w:kern w:val="0"/>
                <w:szCs w:val="21"/>
                <w:highlight w:val="none"/>
              </w:rPr>
              <w:t>： 车辆燃油折标系数，单位：千克标准煤/千克；</w:t>
            </w:r>
          </w:p>
          <w:p>
            <w:pPr>
              <w:tabs>
                <w:tab w:val="left" w:pos="6486"/>
              </w:tabs>
              <w:spacing w:line="360" w:lineRule="auto"/>
              <w:ind w:firstLine="422" w:firstLineChars="201"/>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N： 更新车辆的数量，单位：辆；</w:t>
            </w:r>
          </w:p>
          <w:p>
            <w:pPr>
              <w:tabs>
                <w:tab w:val="left" w:pos="6486"/>
              </w:tabs>
              <w:spacing w:line="360" w:lineRule="auto"/>
              <w:ind w:firstLine="422" w:firstLineChars="201"/>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K： 购置车辆预计年运输工作量，单位：万公里。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vAlign w:val="center"/>
          </w:tcPr>
          <w:p>
            <w:pPr>
              <w:snapToGrid w:val="0"/>
              <w:spacing w:line="360" w:lineRule="auto"/>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（2）</w:t>
            </w:r>
            <w:r>
              <w:rPr>
                <w:rFonts w:ascii="Times New Roman" w:hAnsi="Times New Roman" w:eastAsia="宋体" w:cs="Times New Roman"/>
                <w:kern w:val="0"/>
                <w:szCs w:val="21"/>
                <w:highlight w:val="none"/>
              </w:rPr>
              <w:t>二氧化碳减排量  CO</w:t>
            </w:r>
            <w:r>
              <w:rPr>
                <w:rFonts w:ascii="Times New Roman" w:hAnsi="Times New Roman" w:eastAsia="宋体" w:cs="Times New Roman"/>
                <w:kern w:val="0"/>
                <w:szCs w:val="21"/>
                <w:highlight w:val="none"/>
                <w:vertAlign w:val="subscript"/>
              </w:rPr>
              <w:t>2</w:t>
            </w:r>
            <w:r>
              <w:rPr>
                <w:rFonts w:ascii="Times New Roman" w:hAnsi="Times New Roman" w:eastAsia="宋体" w:cs="Times New Roman"/>
                <w:kern w:val="0"/>
                <w:szCs w:val="21"/>
                <w:highlight w:val="none"/>
              </w:rPr>
              <w:t>=（ω</w:t>
            </w:r>
            <w:r>
              <w:rPr>
                <w:rFonts w:ascii="Times New Roman" w:hAnsi="Times New Roman" w:eastAsia="宋体" w:cs="Times New Roman"/>
                <w:kern w:val="0"/>
                <w:szCs w:val="21"/>
                <w:highlight w:val="none"/>
                <w:vertAlign w:val="subscript"/>
              </w:rPr>
              <w:t>c</w:t>
            </w:r>
            <w:r>
              <w:rPr>
                <w:rFonts w:ascii="Times New Roman" w:hAnsi="Times New Roman" w:eastAsia="宋体" w:cs="Times New Roman"/>
                <w:color w:val="000000"/>
                <w:kern w:val="0"/>
                <w:szCs w:val="21"/>
                <w:highlight w:val="none"/>
              </w:rPr>
              <w:t>×ρ×α</w:t>
            </w:r>
            <w:r>
              <w:rPr>
                <w:rFonts w:ascii="Times New Roman" w:hAnsi="Times New Roman" w:eastAsia="宋体" w:cs="Times New Roman"/>
                <w:color w:val="000000"/>
                <w:kern w:val="0"/>
                <w:szCs w:val="21"/>
                <w:highlight w:val="none"/>
                <w:vertAlign w:val="subscript"/>
              </w:rPr>
              <w:t>oil</w:t>
            </w:r>
            <w:r>
              <w:rPr>
                <w:rFonts w:ascii="Times New Roman" w:hAnsi="Times New Roman" w:eastAsia="宋体" w:cs="Times New Roman"/>
                <w:kern w:val="0"/>
                <w:szCs w:val="21"/>
                <w:highlight w:val="none"/>
              </w:rPr>
              <w:t>-ω</w:t>
            </w:r>
            <w:r>
              <w:rPr>
                <w:rFonts w:ascii="Times New Roman" w:hAnsi="Times New Roman" w:eastAsia="宋体" w:cs="Times New Roman"/>
                <w:kern w:val="0"/>
                <w:szCs w:val="21"/>
                <w:highlight w:val="none"/>
                <w:vertAlign w:val="subscript"/>
              </w:rPr>
              <w:t>h</w:t>
            </w:r>
            <w:r>
              <w:rPr>
                <w:rFonts w:ascii="Times New Roman" w:hAnsi="Times New Roman" w:eastAsia="宋体" w:cs="Times New Roman"/>
                <w:color w:val="000000"/>
                <w:kern w:val="0"/>
                <w:szCs w:val="21"/>
                <w:highlight w:val="none"/>
              </w:rPr>
              <w:t>×α</w:t>
            </w:r>
            <w:r>
              <w:rPr>
                <w:rFonts w:ascii="Times New Roman" w:hAnsi="Times New Roman" w:eastAsia="宋体" w:cs="Times New Roman"/>
                <w:color w:val="000000"/>
                <w:kern w:val="0"/>
                <w:szCs w:val="21"/>
                <w:highlight w:val="none"/>
                <w:vertAlign w:val="subscript"/>
              </w:rPr>
              <w:t>electricity</w:t>
            </w:r>
            <w:r>
              <w:rPr>
                <w:rFonts w:ascii="Times New Roman" w:hAnsi="Times New Roman" w:eastAsia="宋体" w:cs="Times New Roman"/>
                <w:kern w:val="0"/>
                <w:szCs w:val="21"/>
                <w:highlight w:val="none"/>
              </w:rPr>
              <w:t>）</w:t>
            </w:r>
            <w:r>
              <w:rPr>
                <w:rFonts w:ascii="Times New Roman" w:hAnsi="Times New Roman" w:eastAsia="宋体" w:cs="Times New Roman"/>
                <w:color w:val="000000"/>
                <w:kern w:val="0"/>
                <w:szCs w:val="21"/>
                <w:highlight w:val="none"/>
              </w:rPr>
              <w:t>×N×K×10</w:t>
            </w:r>
            <w:r>
              <w:rPr>
                <w:rFonts w:ascii="Times New Roman" w:hAnsi="Times New Roman" w:eastAsia="宋体" w:cs="Times New Roman"/>
                <w:color w:val="000000"/>
                <w:kern w:val="0"/>
                <w:szCs w:val="21"/>
                <w:highlight w:val="none"/>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ind w:firstLine="422" w:firstLineChars="201"/>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CO</w:t>
            </w:r>
            <w:r>
              <w:rPr>
                <w:rFonts w:ascii="Times New Roman" w:hAnsi="Times New Roman" w:eastAsia="宋体" w:cs="Times New Roman"/>
                <w:kern w:val="0"/>
                <w:szCs w:val="21"/>
                <w:highlight w:val="none"/>
                <w:vertAlign w:val="subscript"/>
              </w:rPr>
              <w:t>2</w:t>
            </w:r>
            <w:r>
              <w:rPr>
                <w:rFonts w:ascii="Times New Roman" w:hAnsi="Times New Roman" w:eastAsia="宋体" w:cs="Times New Roman"/>
                <w:kern w:val="0"/>
                <w:szCs w:val="21"/>
                <w:highlight w:val="none"/>
              </w:rPr>
              <w:t>：项目二氧化碳当量减排量，单位：吨二氧化碳</w:t>
            </w:r>
            <w:r>
              <w:rPr>
                <w:rFonts w:hint="eastAsia" w:ascii="宋体" w:hAnsi="宋体" w:eastAsia="宋体" w:cs="宋体"/>
                <w:szCs w:val="21"/>
                <w:highlight w:val="none"/>
              </w:rPr>
              <w:t>/年</w:t>
            </w:r>
            <w:r>
              <w:rPr>
                <w:rFonts w:ascii="Times New Roman" w:hAnsi="Times New Roman" w:eastAsia="宋体" w:cs="Times New Roman"/>
                <w:kern w:val="0"/>
                <w:szCs w:val="21"/>
                <w:highlight w:val="none"/>
              </w:rPr>
              <w:t>；</w:t>
            </w:r>
          </w:p>
          <w:p>
            <w:pPr>
              <w:tabs>
                <w:tab w:val="left" w:pos="6486"/>
              </w:tabs>
              <w:spacing w:line="360" w:lineRule="auto"/>
              <w:ind w:firstLine="422" w:firstLineChars="201"/>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ω</w:t>
            </w:r>
            <w:r>
              <w:rPr>
                <w:rFonts w:hint="eastAsia" w:ascii="Times New Roman" w:hAnsi="Times New Roman" w:eastAsia="宋体" w:cs="Times New Roman"/>
                <w:kern w:val="0"/>
                <w:szCs w:val="21"/>
                <w:highlight w:val="none"/>
                <w:vertAlign w:val="subscript"/>
              </w:rPr>
              <w:t>c</w:t>
            </w:r>
            <w:r>
              <w:rPr>
                <w:rFonts w:hint="eastAsia" w:ascii="Times New Roman" w:hAnsi="Times New Roman" w:eastAsia="宋体" w:cs="Times New Roman"/>
                <w:kern w:val="0"/>
                <w:szCs w:val="21"/>
                <w:highlight w:val="none"/>
              </w:rPr>
              <w:t>：车辆更新项目实施前，老旧车辆的设计油耗，单位：升/百公里；</w:t>
            </w:r>
          </w:p>
          <w:p>
            <w:pPr>
              <w:tabs>
                <w:tab w:val="left" w:pos="6486"/>
              </w:tabs>
              <w:spacing w:line="360" w:lineRule="auto"/>
              <w:ind w:firstLine="422" w:firstLineChars="201"/>
              <w:rPr>
                <w:rFonts w:ascii="Times New Roman" w:hAnsi="Times New Roman" w:eastAsia="宋体" w:cs="Times New Roman"/>
                <w:kern w:val="0"/>
                <w:szCs w:val="21"/>
                <w:highlight w:val="none"/>
              </w:rPr>
            </w:pPr>
            <w:r>
              <w:rPr>
                <w:rFonts w:ascii="Times New Roman" w:hAnsi="Times New Roman" w:eastAsia="宋体" w:cs="Times New Roman"/>
                <w:kern w:val="0"/>
                <w:szCs w:val="21"/>
                <w:highlight w:val="none"/>
              </w:rPr>
              <w:t>ω</w:t>
            </w:r>
            <w:r>
              <w:rPr>
                <w:rFonts w:hint="eastAsia" w:ascii="Times New Roman" w:hAnsi="Times New Roman" w:eastAsia="宋体" w:cs="Times New Roman"/>
                <w:kern w:val="0"/>
                <w:szCs w:val="21"/>
                <w:highlight w:val="none"/>
                <w:vertAlign w:val="subscript"/>
              </w:rPr>
              <w:t>h</w:t>
            </w:r>
            <w:r>
              <w:rPr>
                <w:rFonts w:hint="eastAsia" w:ascii="Times New Roman" w:hAnsi="Times New Roman" w:eastAsia="宋体" w:cs="Times New Roman"/>
                <w:kern w:val="0"/>
                <w:szCs w:val="21"/>
                <w:highlight w:val="none"/>
              </w:rPr>
              <w:t>：车辆更新项目实施后，更新购置车辆的设计电耗，单位：</w:t>
            </w:r>
            <w:r>
              <w:rPr>
                <w:rFonts w:hint="eastAsia" w:ascii="宋体" w:hAnsi="宋体" w:eastAsia="宋体" w:cs="宋体"/>
                <w:szCs w:val="21"/>
                <w:highlight w:val="none"/>
              </w:rPr>
              <w:t>千瓦时</w:t>
            </w:r>
            <w:r>
              <w:rPr>
                <w:rFonts w:hint="eastAsia" w:ascii="Times New Roman" w:hAnsi="Times New Roman" w:eastAsia="宋体" w:cs="Times New Roman"/>
                <w:kern w:val="0"/>
                <w:szCs w:val="21"/>
                <w:highlight w:val="none"/>
              </w:rPr>
              <w:t>/百公里；</w:t>
            </w:r>
          </w:p>
          <w:p>
            <w:pPr>
              <w:tabs>
                <w:tab w:val="left" w:pos="6486"/>
              </w:tabs>
              <w:spacing w:line="360" w:lineRule="auto"/>
              <w:ind w:firstLine="422" w:firstLineChars="201"/>
              <w:rPr>
                <w:rFonts w:ascii="Times New Roman" w:hAnsi="Times New Roman" w:eastAsia="宋体" w:cs="Times New Roman"/>
                <w:kern w:val="0"/>
                <w:szCs w:val="21"/>
                <w:highlight w:val="none"/>
              </w:rPr>
            </w:pPr>
            <w:r>
              <w:rPr>
                <w:rFonts w:ascii="Times New Roman" w:hAnsi="Times New Roman" w:eastAsia="宋体" w:cs="Times New Roman"/>
                <w:color w:val="000000"/>
                <w:kern w:val="0"/>
                <w:szCs w:val="21"/>
                <w:highlight w:val="none"/>
              </w:rPr>
              <w:t>ρ</w:t>
            </w:r>
            <w:r>
              <w:rPr>
                <w:rFonts w:hint="eastAsia" w:ascii="Times New Roman" w:hAnsi="Times New Roman" w:eastAsia="宋体" w:cs="Times New Roman"/>
                <w:color w:val="000000"/>
                <w:kern w:val="0"/>
                <w:szCs w:val="21"/>
                <w:highlight w:val="none"/>
              </w:rPr>
              <w:t>：</w:t>
            </w:r>
            <w:r>
              <w:rPr>
                <w:rFonts w:hint="eastAsia" w:ascii="Times New Roman" w:hAnsi="Times New Roman" w:eastAsia="宋体" w:cs="Times New Roman"/>
                <w:kern w:val="0"/>
                <w:szCs w:val="21"/>
                <w:highlight w:val="none"/>
              </w:rPr>
              <w:t xml:space="preserve"> 油品的体积质量转化系数，即油品的密度，单位：千克/升；</w:t>
            </w:r>
          </w:p>
          <w:p>
            <w:pPr>
              <w:spacing w:line="360" w:lineRule="auto"/>
              <w:ind w:firstLine="422" w:firstLineChars="201"/>
              <w:rPr>
                <w:rFonts w:ascii="宋体" w:hAnsi="宋体" w:eastAsia="宋体" w:cs="宋体"/>
                <w:szCs w:val="21"/>
                <w:highlight w:val="none"/>
              </w:rPr>
            </w:pPr>
            <w:r>
              <w:rPr>
                <w:rFonts w:ascii="Times New Roman" w:hAnsi="Times New Roman" w:eastAsia="宋体" w:cs="Times New Roman"/>
                <w:szCs w:val="21"/>
                <w:highlight w:val="none"/>
              </w:rPr>
              <w:t>α</w:t>
            </w:r>
            <w:r>
              <w:rPr>
                <w:rFonts w:hint="eastAsia" w:ascii="宋体" w:hAnsi="宋体" w:eastAsia="宋体" w:cs="宋体"/>
                <w:szCs w:val="21"/>
                <w:highlight w:val="none"/>
                <w:vertAlign w:val="subscript"/>
              </w:rPr>
              <w:t>oil</w:t>
            </w:r>
            <w:r>
              <w:rPr>
                <w:rFonts w:hint="eastAsia" w:ascii="Times New Roman" w:hAnsi="Times New Roman" w:eastAsia="宋体" w:cs="Times New Roman"/>
                <w:color w:val="000000"/>
                <w:kern w:val="0"/>
                <w:szCs w:val="21"/>
                <w:highlight w:val="none"/>
              </w:rPr>
              <w:t>：</w:t>
            </w:r>
            <w:r>
              <w:rPr>
                <w:rFonts w:hint="eastAsia" w:ascii="宋体" w:hAnsi="宋体" w:eastAsia="宋体" w:cs="宋体"/>
                <w:szCs w:val="21"/>
                <w:highlight w:val="none"/>
              </w:rPr>
              <w:t>动力燃油的温室气体排放系数，单位：吨二氧化碳/吨燃油；</w:t>
            </w:r>
          </w:p>
          <w:p>
            <w:pPr>
              <w:spacing w:line="360" w:lineRule="auto"/>
              <w:ind w:firstLine="422" w:firstLineChars="201"/>
              <w:rPr>
                <w:rFonts w:ascii="Times New Roman" w:hAnsi="Times New Roman" w:eastAsia="宋体" w:cs="Times New Roman"/>
                <w:kern w:val="0"/>
                <w:szCs w:val="21"/>
                <w:highlight w:val="none"/>
              </w:rPr>
            </w:pPr>
            <w:r>
              <w:rPr>
                <w:rFonts w:ascii="Times New Roman" w:hAnsi="Times New Roman" w:eastAsia="宋体" w:cs="Times New Roman"/>
                <w:color w:val="000000"/>
                <w:kern w:val="0"/>
                <w:szCs w:val="21"/>
                <w:highlight w:val="none"/>
              </w:rPr>
              <w:t>α</w:t>
            </w:r>
            <w:r>
              <w:rPr>
                <w:rFonts w:ascii="Times New Roman" w:hAnsi="Times New Roman" w:eastAsia="宋体" w:cs="Times New Roman"/>
                <w:color w:val="000000"/>
                <w:kern w:val="0"/>
                <w:szCs w:val="21"/>
                <w:highlight w:val="none"/>
                <w:vertAlign w:val="subscript"/>
              </w:rPr>
              <w:t>electricity</w:t>
            </w:r>
            <w:r>
              <w:rPr>
                <w:rFonts w:hint="eastAsia" w:ascii="Times New Roman" w:hAnsi="Times New Roman" w:eastAsia="宋体" w:cs="Times New Roman"/>
                <w:color w:val="000000"/>
                <w:kern w:val="0"/>
                <w:szCs w:val="21"/>
                <w:highlight w:val="none"/>
              </w:rPr>
              <w:t>：</w:t>
            </w:r>
            <w:r>
              <w:rPr>
                <w:rFonts w:hint="eastAsia" w:ascii="宋体" w:hAnsi="宋体" w:eastAsia="宋体" w:cs="宋体"/>
                <w:position w:val="-6"/>
                <w:szCs w:val="21"/>
                <w:highlight w:val="none"/>
              </w:rPr>
              <w:t>电力的温室气体排放系数，单位公斤二氧化碳/千瓦时；</w:t>
            </w:r>
          </w:p>
          <w:p>
            <w:pPr>
              <w:tabs>
                <w:tab w:val="left" w:pos="6486"/>
              </w:tabs>
              <w:spacing w:line="360" w:lineRule="auto"/>
              <w:ind w:firstLine="422" w:firstLineChars="201"/>
              <w:rPr>
                <w:rFonts w:ascii="Times New Roman" w:hAnsi="Times New Roman" w:eastAsia="宋体" w:cs="Times New Roman"/>
                <w:kern w:val="0"/>
                <w:szCs w:val="21"/>
                <w:highlight w:val="none"/>
              </w:rPr>
            </w:pPr>
            <w:r>
              <w:rPr>
                <w:rFonts w:hint="eastAsia" w:ascii="Times New Roman" w:hAnsi="Times New Roman" w:eastAsia="宋体" w:cs="Times New Roman"/>
                <w:kern w:val="0"/>
                <w:szCs w:val="21"/>
                <w:highlight w:val="none"/>
              </w:rPr>
              <w:t>N： 更新车辆的数量，单位：辆；</w:t>
            </w:r>
          </w:p>
          <w:p>
            <w:pPr>
              <w:spacing w:line="360" w:lineRule="auto"/>
              <w:ind w:firstLine="422" w:firstLineChars="201"/>
              <w:rPr>
                <w:rFonts w:ascii="Times New Roman" w:hAnsi="Times New Roman" w:eastAsia="宋体" w:cs="Times New Roman"/>
                <w:kern w:val="0"/>
                <w:position w:val="-28"/>
                <w:szCs w:val="21"/>
                <w:highlight w:val="none"/>
              </w:rPr>
            </w:pPr>
            <w:r>
              <w:rPr>
                <w:rFonts w:hint="eastAsia" w:ascii="Times New Roman" w:hAnsi="Times New Roman" w:eastAsia="宋体" w:cs="Times New Roman"/>
                <w:kern w:val="0"/>
                <w:szCs w:val="21"/>
                <w:highlight w:val="none"/>
              </w:rPr>
              <w:t>K： 购置车辆预计年运输工作量，单位：万公里。</w:t>
            </w:r>
          </w:p>
        </w:tc>
      </w:tr>
    </w:tbl>
    <w:p>
      <w:pPr>
        <w:rPr>
          <w:highlight w:val="none"/>
        </w:rPr>
      </w:pPr>
    </w:p>
    <w:p>
      <w:pPr>
        <w:pStyle w:val="5"/>
        <w:numPr>
          <w:ilvl w:val="0"/>
          <w:numId w:val="1"/>
        </w:numPr>
        <w:rPr>
          <w:highlight w:val="none"/>
        </w:rPr>
      </w:pPr>
      <w:bookmarkStart w:id="46" w:name="_Toc5525"/>
      <w:r>
        <w:rPr>
          <w:rFonts w:hint="eastAsia"/>
          <w:highlight w:val="none"/>
        </w:rPr>
        <w:t>金融机构经营活动的环境影响</w:t>
      </w:r>
      <w:bookmarkEnd w:id="46"/>
    </w:p>
    <w:p>
      <w:pPr>
        <w:pStyle w:val="6"/>
        <w:ind w:firstLine="643" w:firstLineChars="200"/>
        <w:rPr>
          <w:highlight w:val="none"/>
        </w:rPr>
      </w:pPr>
      <w:bookmarkStart w:id="47" w:name="_Toc25419"/>
      <w:r>
        <w:rPr>
          <w:rFonts w:hint="eastAsia"/>
          <w:highlight w:val="none"/>
        </w:rPr>
        <w:t>8.1 经营活动产生的自然资源消耗和温室气体排放</w:t>
      </w:r>
      <w:bookmarkEnd w:id="47"/>
    </w:p>
    <w:p>
      <w:pPr>
        <w:widowControl/>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2021年度经营活动产生的自然资源消耗</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2260"/>
        <w:gridCol w:w="1592"/>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031" w:type="pct"/>
            <w:gridSpan w:val="2"/>
            <w:shd w:val="clear" w:color="auto" w:fill="auto"/>
            <w:vAlign w:val="center"/>
          </w:tcPr>
          <w:p>
            <w:pPr>
              <w:widowControl/>
              <w:snapToGrid w:val="0"/>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环境指标</w:t>
            </w:r>
          </w:p>
        </w:tc>
        <w:tc>
          <w:tcPr>
            <w:tcW w:w="934" w:type="pct"/>
            <w:shd w:val="clear" w:color="auto" w:fill="auto"/>
            <w:vAlign w:val="center"/>
          </w:tcPr>
          <w:p>
            <w:pPr>
              <w:widowControl/>
              <w:snapToGrid w:val="0"/>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指标单位</w:t>
            </w:r>
          </w:p>
        </w:tc>
        <w:tc>
          <w:tcPr>
            <w:tcW w:w="1035" w:type="pct"/>
            <w:shd w:val="clear" w:color="auto" w:fill="auto"/>
            <w:vAlign w:val="center"/>
          </w:tcPr>
          <w:p>
            <w:pPr>
              <w:widowControl/>
              <w:snapToGrid w:val="0"/>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pct"/>
            <w:vMerge w:val="restar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经营活动产生的直接自然资源消耗</w:t>
            </w:r>
          </w:p>
        </w:tc>
        <w:tc>
          <w:tcPr>
            <w:tcW w:w="1326" w:type="pc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液化石油气</w:t>
            </w:r>
          </w:p>
        </w:tc>
        <w:tc>
          <w:tcPr>
            <w:tcW w:w="934" w:type="pc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千克</w:t>
            </w:r>
          </w:p>
        </w:tc>
        <w:tc>
          <w:tcPr>
            <w:tcW w:w="1035" w:type="pct"/>
            <w:shd w:val="clear" w:color="auto" w:fill="auto"/>
            <w:vAlign w:val="center"/>
          </w:tcPr>
          <w:p>
            <w:pPr>
              <w:widowControl/>
              <w:snapToGrid w:val="0"/>
              <w:jc w:val="right"/>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pct"/>
            <w:vMerge w:val="continue"/>
            <w:shd w:val="clear" w:color="auto" w:fill="auto"/>
            <w:vAlign w:val="center"/>
          </w:tcPr>
          <w:p>
            <w:pPr>
              <w:widowControl/>
              <w:snapToGrid w:val="0"/>
              <w:jc w:val="center"/>
              <w:rPr>
                <w:rFonts w:ascii="宋体" w:hAnsi="宋体" w:cs="宋体"/>
                <w:color w:val="000000"/>
                <w:kern w:val="0"/>
                <w:sz w:val="28"/>
                <w:szCs w:val="28"/>
                <w:highlight w:val="none"/>
              </w:rPr>
            </w:pPr>
          </w:p>
        </w:tc>
        <w:tc>
          <w:tcPr>
            <w:tcW w:w="1326" w:type="pc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公车用汽油</w:t>
            </w:r>
          </w:p>
        </w:tc>
        <w:tc>
          <w:tcPr>
            <w:tcW w:w="934" w:type="pc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升</w:t>
            </w:r>
          </w:p>
        </w:tc>
        <w:tc>
          <w:tcPr>
            <w:tcW w:w="1035" w:type="pct"/>
            <w:shd w:val="clear" w:color="auto" w:fill="auto"/>
            <w:vAlign w:val="center"/>
          </w:tcPr>
          <w:p>
            <w:pPr>
              <w:widowControl/>
              <w:snapToGrid w:val="0"/>
              <w:jc w:val="right"/>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9500.00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pct"/>
            <w:vMerge w:val="restar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经营活动产生的间接自然资源消耗</w:t>
            </w:r>
          </w:p>
        </w:tc>
        <w:tc>
          <w:tcPr>
            <w:tcW w:w="1326" w:type="pc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外购电力</w:t>
            </w:r>
          </w:p>
        </w:tc>
        <w:tc>
          <w:tcPr>
            <w:tcW w:w="934" w:type="pc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千瓦时</w:t>
            </w:r>
          </w:p>
        </w:tc>
        <w:tc>
          <w:tcPr>
            <w:tcW w:w="1035" w:type="pct"/>
            <w:shd w:val="clear" w:color="auto" w:fill="auto"/>
            <w:vAlign w:val="center"/>
          </w:tcPr>
          <w:p>
            <w:pPr>
              <w:widowControl/>
              <w:snapToGrid w:val="0"/>
              <w:jc w:val="right"/>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1747519.09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pct"/>
            <w:vMerge w:val="continue"/>
            <w:shd w:val="clear" w:color="auto" w:fill="auto"/>
            <w:vAlign w:val="center"/>
          </w:tcPr>
          <w:p>
            <w:pPr>
              <w:widowControl/>
              <w:snapToGrid w:val="0"/>
              <w:jc w:val="center"/>
              <w:rPr>
                <w:rFonts w:ascii="宋体" w:hAnsi="宋体" w:cs="宋体"/>
                <w:color w:val="000000"/>
                <w:kern w:val="0"/>
                <w:sz w:val="28"/>
                <w:szCs w:val="28"/>
                <w:highlight w:val="none"/>
              </w:rPr>
            </w:pPr>
          </w:p>
        </w:tc>
        <w:tc>
          <w:tcPr>
            <w:tcW w:w="1326" w:type="pc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办公用水消耗</w:t>
            </w:r>
          </w:p>
        </w:tc>
        <w:tc>
          <w:tcPr>
            <w:tcW w:w="934" w:type="pc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吨</w:t>
            </w:r>
          </w:p>
        </w:tc>
        <w:tc>
          <w:tcPr>
            <w:tcW w:w="1035" w:type="pct"/>
            <w:shd w:val="clear" w:color="auto" w:fill="auto"/>
            <w:vAlign w:val="center"/>
          </w:tcPr>
          <w:p>
            <w:pPr>
              <w:widowControl/>
              <w:snapToGrid w:val="0"/>
              <w:jc w:val="right"/>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pct"/>
            <w:vMerge w:val="continue"/>
            <w:vAlign w:val="center"/>
          </w:tcPr>
          <w:p>
            <w:pPr>
              <w:widowControl/>
              <w:snapToGrid w:val="0"/>
              <w:jc w:val="center"/>
              <w:rPr>
                <w:rFonts w:ascii="宋体" w:hAnsi="宋体" w:cs="宋体"/>
                <w:color w:val="000000"/>
                <w:kern w:val="0"/>
                <w:sz w:val="28"/>
                <w:szCs w:val="28"/>
                <w:highlight w:val="none"/>
              </w:rPr>
            </w:pPr>
          </w:p>
        </w:tc>
        <w:tc>
          <w:tcPr>
            <w:tcW w:w="1326" w:type="pc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办公用纸消耗量</w:t>
            </w:r>
          </w:p>
        </w:tc>
        <w:tc>
          <w:tcPr>
            <w:tcW w:w="934" w:type="pct"/>
            <w:shd w:val="clear" w:color="auto" w:fill="auto"/>
            <w:vAlign w:val="center"/>
          </w:tcPr>
          <w:p>
            <w:pPr>
              <w:widowControl/>
              <w:snapToGrid w:val="0"/>
              <w:jc w:val="center"/>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张</w:t>
            </w:r>
          </w:p>
        </w:tc>
        <w:tc>
          <w:tcPr>
            <w:tcW w:w="1035" w:type="pct"/>
            <w:shd w:val="clear" w:color="auto" w:fill="auto"/>
            <w:vAlign w:val="center"/>
          </w:tcPr>
          <w:p>
            <w:pPr>
              <w:widowControl/>
              <w:snapToGrid w:val="0"/>
              <w:jc w:val="right"/>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360000</w:t>
            </w:r>
          </w:p>
        </w:tc>
      </w:tr>
    </w:tbl>
    <w:p>
      <w:pPr>
        <w:snapToGrid w:val="0"/>
        <w:rPr>
          <w:sz w:val="28"/>
          <w:szCs w:val="28"/>
          <w:highlight w:val="none"/>
        </w:rPr>
      </w:pPr>
    </w:p>
    <w:p>
      <w:pPr>
        <w:widowControl/>
        <w:jc w:val="center"/>
        <w:rPr>
          <w:rFonts w:ascii="宋体" w:hAnsi="宋体" w:cs="宋体"/>
          <w:color w:val="000000"/>
          <w:kern w:val="0"/>
          <w:sz w:val="28"/>
          <w:szCs w:val="28"/>
          <w:highlight w:val="none"/>
        </w:rPr>
      </w:pPr>
      <w:r>
        <w:rPr>
          <w:rFonts w:ascii="宋体" w:hAnsi="宋体" w:cs="宋体"/>
          <w:color w:val="000000"/>
          <w:kern w:val="0"/>
          <w:sz w:val="28"/>
          <w:szCs w:val="28"/>
          <w:highlight w:val="none"/>
        </w:rPr>
        <w:t>2021年度经营活动产生的温室气体排放</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4"/>
        <w:gridCol w:w="2914"/>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1961" w:type="pct"/>
            <w:shd w:val="clear" w:color="auto" w:fill="auto"/>
            <w:vAlign w:val="center"/>
          </w:tcPr>
          <w:p>
            <w:pPr>
              <w:widowControl/>
              <w:snapToGrid w:val="0"/>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温室气体排放范围</w:t>
            </w:r>
          </w:p>
        </w:tc>
        <w:tc>
          <w:tcPr>
            <w:tcW w:w="1709" w:type="pct"/>
            <w:shd w:val="clear" w:color="auto" w:fill="auto"/>
            <w:vAlign w:val="center"/>
          </w:tcPr>
          <w:p>
            <w:pPr>
              <w:widowControl/>
              <w:snapToGrid w:val="0"/>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温室气体排放量</w:t>
            </w:r>
          </w:p>
          <w:p>
            <w:pPr>
              <w:widowControl/>
              <w:snapToGrid w:val="0"/>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（吨二氧化碳当量）</w:t>
            </w:r>
          </w:p>
        </w:tc>
        <w:tc>
          <w:tcPr>
            <w:tcW w:w="1328" w:type="pct"/>
            <w:shd w:val="clear" w:color="auto" w:fill="auto"/>
            <w:vAlign w:val="center"/>
          </w:tcPr>
          <w:p>
            <w:pPr>
              <w:widowControl/>
              <w:snapToGrid w:val="0"/>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人均排放量</w:t>
            </w:r>
          </w:p>
          <w:p>
            <w:pPr>
              <w:widowControl/>
              <w:snapToGrid w:val="0"/>
              <w:jc w:val="center"/>
              <w:rPr>
                <w:rFonts w:ascii="宋体" w:hAnsi="宋体" w:cs="宋体"/>
                <w:b/>
                <w:bCs/>
                <w:color w:val="000000"/>
                <w:kern w:val="0"/>
                <w:sz w:val="28"/>
                <w:szCs w:val="28"/>
                <w:highlight w:val="none"/>
              </w:rPr>
            </w:pPr>
            <w:r>
              <w:rPr>
                <w:rFonts w:hint="eastAsia" w:ascii="宋体" w:hAnsi="宋体" w:cs="宋体"/>
                <w:b/>
                <w:bCs/>
                <w:color w:val="000000"/>
                <w:kern w:val="0"/>
                <w:sz w:val="28"/>
                <w:szCs w:val="28"/>
                <w:highlight w:val="none"/>
              </w:rPr>
              <w:t>（吨二氧化碳当量/人）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pct"/>
            <w:shd w:val="clear" w:color="auto" w:fill="auto"/>
            <w:vAlign w:val="center"/>
          </w:tcPr>
          <w:p>
            <w:pPr>
              <w:widowControl/>
              <w:snapToGrid w:val="0"/>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范围1：直接温室气体排放量</w:t>
            </w:r>
          </w:p>
        </w:tc>
        <w:tc>
          <w:tcPr>
            <w:tcW w:w="1709" w:type="pct"/>
            <w:shd w:val="clear" w:color="auto" w:fill="auto"/>
            <w:vAlign w:val="center"/>
          </w:tcPr>
          <w:p>
            <w:pPr>
              <w:widowControl/>
              <w:snapToGrid w:val="0"/>
              <w:jc w:val="right"/>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26.57</w:t>
            </w:r>
          </w:p>
        </w:tc>
        <w:tc>
          <w:tcPr>
            <w:tcW w:w="1328" w:type="pct"/>
            <w:shd w:val="clear" w:color="auto" w:fill="auto"/>
            <w:vAlign w:val="center"/>
          </w:tcPr>
          <w:p>
            <w:pPr>
              <w:widowControl/>
              <w:snapToGrid w:val="0"/>
              <w:jc w:val="righ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pct"/>
            <w:shd w:val="clear" w:color="auto" w:fill="auto"/>
            <w:vAlign w:val="center"/>
          </w:tcPr>
          <w:p>
            <w:pPr>
              <w:widowControl/>
              <w:snapToGrid w:val="0"/>
              <w:ind w:firstLine="140" w:firstLineChars="50"/>
              <w:rPr>
                <w:rFonts w:ascii="Times New Roman" w:hAnsi="Times New Roman" w:cs="Times New Roman"/>
                <w:color w:val="000000"/>
                <w:kern w:val="0"/>
                <w:sz w:val="28"/>
                <w:szCs w:val="28"/>
                <w:highlight w:val="none"/>
              </w:rPr>
            </w:pPr>
            <w:r>
              <w:rPr>
                <w:rFonts w:hint="eastAsia" w:ascii="Times New Roman" w:hAnsi="Times New Roman" w:cs="Times New Roman"/>
                <w:color w:val="000000"/>
                <w:kern w:val="0"/>
                <w:sz w:val="28"/>
                <w:szCs w:val="28"/>
                <w:highlight w:val="none"/>
              </w:rPr>
              <w:t>其中：</w:t>
            </w:r>
            <w:r>
              <w:rPr>
                <w:rFonts w:ascii="Times New Roman" w:hAnsi="Times New Roman" w:cs="Times New Roman"/>
                <w:color w:val="000000"/>
                <w:kern w:val="0"/>
                <w:sz w:val="28"/>
                <w:szCs w:val="28"/>
                <w:highlight w:val="none"/>
              </w:rPr>
              <w:t>汽油产生的温室气体排放量</w:t>
            </w:r>
          </w:p>
        </w:tc>
        <w:tc>
          <w:tcPr>
            <w:tcW w:w="1709" w:type="pct"/>
            <w:shd w:val="clear" w:color="auto" w:fill="auto"/>
            <w:vAlign w:val="center"/>
          </w:tcPr>
          <w:p>
            <w:pPr>
              <w:widowControl/>
              <w:snapToGrid w:val="0"/>
              <w:jc w:val="right"/>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20.67</w:t>
            </w:r>
          </w:p>
        </w:tc>
        <w:tc>
          <w:tcPr>
            <w:tcW w:w="1328" w:type="pct"/>
            <w:shd w:val="clear" w:color="auto" w:fill="auto"/>
            <w:vAlign w:val="center"/>
          </w:tcPr>
          <w:p>
            <w:pPr>
              <w:widowControl/>
              <w:snapToGrid w:val="0"/>
              <w:jc w:val="righ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pct"/>
            <w:shd w:val="clear" w:color="auto" w:fill="auto"/>
            <w:vAlign w:val="center"/>
          </w:tcPr>
          <w:p>
            <w:pPr>
              <w:widowControl/>
              <w:snapToGrid w:val="0"/>
              <w:ind w:firstLine="140" w:firstLineChars="50"/>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 xml:space="preserve">      液化石油气产生的温室气体排放量</w:t>
            </w:r>
          </w:p>
        </w:tc>
        <w:tc>
          <w:tcPr>
            <w:tcW w:w="1709" w:type="pct"/>
            <w:shd w:val="clear" w:color="auto" w:fill="auto"/>
            <w:vAlign w:val="center"/>
          </w:tcPr>
          <w:p>
            <w:pPr>
              <w:widowControl/>
              <w:snapToGrid w:val="0"/>
              <w:jc w:val="right"/>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5.90</w:t>
            </w:r>
          </w:p>
        </w:tc>
        <w:tc>
          <w:tcPr>
            <w:tcW w:w="1328" w:type="pct"/>
            <w:shd w:val="clear" w:color="auto" w:fill="auto"/>
            <w:vAlign w:val="center"/>
          </w:tcPr>
          <w:p>
            <w:pPr>
              <w:widowControl/>
              <w:snapToGrid w:val="0"/>
              <w:jc w:val="righ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pct"/>
            <w:shd w:val="clear" w:color="auto" w:fill="auto"/>
            <w:vAlign w:val="center"/>
          </w:tcPr>
          <w:p>
            <w:pPr>
              <w:widowControl/>
              <w:snapToGrid w:val="0"/>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范围2：间接温室气体排放量</w:t>
            </w:r>
          </w:p>
        </w:tc>
        <w:tc>
          <w:tcPr>
            <w:tcW w:w="1709" w:type="pct"/>
            <w:shd w:val="clear" w:color="auto" w:fill="auto"/>
            <w:vAlign w:val="center"/>
          </w:tcPr>
          <w:p>
            <w:pPr>
              <w:widowControl/>
              <w:snapToGrid w:val="0"/>
              <w:jc w:val="right"/>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921.12</w:t>
            </w:r>
          </w:p>
        </w:tc>
        <w:tc>
          <w:tcPr>
            <w:tcW w:w="1328" w:type="pct"/>
            <w:shd w:val="clear" w:color="auto" w:fill="auto"/>
            <w:vAlign w:val="center"/>
          </w:tcPr>
          <w:p>
            <w:pPr>
              <w:widowControl/>
              <w:snapToGrid w:val="0"/>
              <w:jc w:val="right"/>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pct"/>
            <w:shd w:val="clear" w:color="auto" w:fill="auto"/>
            <w:vAlign w:val="center"/>
          </w:tcPr>
          <w:p>
            <w:pPr>
              <w:widowControl/>
              <w:snapToGrid w:val="0"/>
              <w:ind w:firstLine="140" w:firstLineChars="50"/>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其中：电力产生的温室气体排放量</w:t>
            </w:r>
          </w:p>
        </w:tc>
        <w:tc>
          <w:tcPr>
            <w:tcW w:w="1709" w:type="pct"/>
            <w:shd w:val="clear" w:color="auto" w:fill="auto"/>
            <w:vAlign w:val="center"/>
          </w:tcPr>
          <w:p>
            <w:pPr>
              <w:widowControl/>
              <w:snapToGrid w:val="0"/>
              <w:jc w:val="right"/>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921.12</w:t>
            </w:r>
          </w:p>
        </w:tc>
        <w:tc>
          <w:tcPr>
            <w:tcW w:w="1328" w:type="pct"/>
            <w:shd w:val="clear" w:color="auto" w:fill="auto"/>
            <w:vAlign w:val="center"/>
          </w:tcPr>
          <w:p>
            <w:pPr>
              <w:widowControl/>
              <w:snapToGrid w:val="0"/>
              <w:jc w:val="righ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pct"/>
            <w:shd w:val="clear" w:color="auto" w:fill="auto"/>
            <w:vAlign w:val="center"/>
          </w:tcPr>
          <w:p>
            <w:pPr>
              <w:widowControl/>
              <w:snapToGrid w:val="0"/>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温室气体排放总量（范围1+2）</w:t>
            </w:r>
          </w:p>
        </w:tc>
        <w:tc>
          <w:tcPr>
            <w:tcW w:w="1709" w:type="pct"/>
            <w:shd w:val="clear" w:color="auto" w:fill="auto"/>
            <w:vAlign w:val="center"/>
          </w:tcPr>
          <w:p>
            <w:pPr>
              <w:widowControl/>
              <w:snapToGrid w:val="0"/>
              <w:jc w:val="right"/>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947.68</w:t>
            </w:r>
          </w:p>
        </w:tc>
        <w:tc>
          <w:tcPr>
            <w:tcW w:w="1328" w:type="pct"/>
            <w:shd w:val="clear" w:color="auto" w:fill="auto"/>
            <w:vAlign w:val="center"/>
          </w:tcPr>
          <w:p>
            <w:pPr>
              <w:widowControl/>
              <w:snapToGrid w:val="0"/>
              <w:jc w:val="right"/>
              <w:rPr>
                <w:rFonts w:ascii="宋体" w:hAnsi="宋体" w:cs="宋体"/>
                <w:b/>
                <w:bCs/>
                <w:color w:val="000000"/>
                <w:kern w:val="0"/>
                <w:sz w:val="28"/>
                <w:szCs w:val="28"/>
                <w:highlight w:val="none"/>
              </w:rPr>
            </w:pPr>
            <w:r>
              <w:rPr>
                <w:rFonts w:hint="eastAsia" w:ascii="宋体" w:hAnsi="宋体" w:cs="宋体"/>
                <w:b/>
                <w:bCs/>
                <w:color w:val="000000"/>
                <w:kern w:val="0"/>
                <w:sz w:val="24"/>
                <w:szCs w:val="24"/>
                <w:highlight w:val="none"/>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pct"/>
            <w:shd w:val="clear" w:color="auto" w:fill="auto"/>
            <w:vAlign w:val="center"/>
          </w:tcPr>
          <w:p>
            <w:pPr>
              <w:widowControl/>
              <w:snapToGrid w:val="0"/>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范围3：其他间接温室气体排放量</w:t>
            </w:r>
          </w:p>
        </w:tc>
        <w:tc>
          <w:tcPr>
            <w:tcW w:w="1709" w:type="pct"/>
            <w:shd w:val="clear" w:color="auto" w:fill="auto"/>
            <w:vAlign w:val="center"/>
          </w:tcPr>
          <w:p>
            <w:pPr>
              <w:widowControl/>
              <w:snapToGrid w:val="0"/>
              <w:jc w:val="right"/>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42258.72</w:t>
            </w:r>
          </w:p>
        </w:tc>
        <w:tc>
          <w:tcPr>
            <w:tcW w:w="1328" w:type="pct"/>
            <w:shd w:val="clear" w:color="auto" w:fill="auto"/>
            <w:vAlign w:val="center"/>
          </w:tcPr>
          <w:p>
            <w:pPr>
              <w:widowControl/>
              <w:snapToGrid w:val="0"/>
              <w:jc w:val="righ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pct"/>
            <w:shd w:val="clear" w:color="auto" w:fill="auto"/>
            <w:vAlign w:val="center"/>
          </w:tcPr>
          <w:p>
            <w:pPr>
              <w:widowControl/>
              <w:snapToGrid w:val="0"/>
              <w:ind w:firstLine="140" w:firstLineChars="50"/>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其中：贷款产生的温室气体排放量</w:t>
            </w:r>
          </w:p>
        </w:tc>
        <w:tc>
          <w:tcPr>
            <w:tcW w:w="1709" w:type="pct"/>
            <w:shd w:val="clear" w:color="auto" w:fill="auto"/>
            <w:vAlign w:val="center"/>
          </w:tcPr>
          <w:p>
            <w:pPr>
              <w:widowControl/>
              <w:snapToGrid w:val="0"/>
              <w:jc w:val="right"/>
              <w:rPr>
                <w:rFonts w:ascii="Times New Roman" w:hAnsi="Times New Roman" w:cs="Times New Roman"/>
                <w:color w:val="000000"/>
                <w:kern w:val="0"/>
                <w:sz w:val="28"/>
                <w:szCs w:val="28"/>
                <w:highlight w:val="none"/>
              </w:rPr>
            </w:pPr>
            <w:r>
              <w:rPr>
                <w:rFonts w:ascii="Times New Roman" w:hAnsi="Times New Roman" w:cs="Times New Roman"/>
                <w:color w:val="000000"/>
                <w:kern w:val="0"/>
                <w:sz w:val="28"/>
                <w:szCs w:val="28"/>
                <w:highlight w:val="none"/>
              </w:rPr>
              <w:t>42258.72</w:t>
            </w:r>
          </w:p>
        </w:tc>
        <w:tc>
          <w:tcPr>
            <w:tcW w:w="1328" w:type="pct"/>
            <w:shd w:val="clear" w:color="auto" w:fill="auto"/>
            <w:vAlign w:val="center"/>
          </w:tcPr>
          <w:p>
            <w:pPr>
              <w:widowControl/>
              <w:snapToGrid w:val="0"/>
              <w:jc w:val="righ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pct"/>
            <w:shd w:val="clear" w:color="auto" w:fill="auto"/>
            <w:vAlign w:val="center"/>
          </w:tcPr>
          <w:p>
            <w:pPr>
              <w:widowControl/>
              <w:snapToGrid w:val="0"/>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温室气体排放总量（范围1+2+3）</w:t>
            </w:r>
          </w:p>
        </w:tc>
        <w:tc>
          <w:tcPr>
            <w:tcW w:w="1709" w:type="pct"/>
            <w:shd w:val="clear" w:color="auto" w:fill="auto"/>
            <w:vAlign w:val="center"/>
          </w:tcPr>
          <w:p>
            <w:pPr>
              <w:widowControl/>
              <w:snapToGrid w:val="0"/>
              <w:jc w:val="right"/>
              <w:rPr>
                <w:rFonts w:ascii="Times New Roman" w:hAnsi="Times New Roman" w:cs="Times New Roman"/>
                <w:b/>
                <w:bCs/>
                <w:color w:val="000000"/>
                <w:kern w:val="0"/>
                <w:sz w:val="28"/>
                <w:szCs w:val="28"/>
                <w:highlight w:val="none"/>
              </w:rPr>
            </w:pPr>
            <w:r>
              <w:rPr>
                <w:rFonts w:ascii="Times New Roman" w:hAnsi="Times New Roman" w:cs="Times New Roman"/>
                <w:b/>
                <w:bCs/>
                <w:color w:val="000000"/>
                <w:kern w:val="0"/>
                <w:sz w:val="28"/>
                <w:szCs w:val="28"/>
                <w:highlight w:val="none"/>
              </w:rPr>
              <w:t>43206.40</w:t>
            </w:r>
          </w:p>
        </w:tc>
        <w:tc>
          <w:tcPr>
            <w:tcW w:w="1328" w:type="pct"/>
            <w:shd w:val="clear" w:color="auto" w:fill="auto"/>
            <w:vAlign w:val="center"/>
          </w:tcPr>
          <w:p>
            <w:pPr>
              <w:widowControl/>
              <w:snapToGrid w:val="0"/>
              <w:jc w:val="right"/>
              <w:rPr>
                <w:rFonts w:ascii="宋体" w:hAnsi="宋体" w:cs="宋体"/>
                <w:color w:val="000000"/>
                <w:kern w:val="0"/>
                <w:sz w:val="28"/>
                <w:szCs w:val="28"/>
                <w:highlight w:val="none"/>
              </w:rPr>
            </w:pPr>
            <w:r>
              <w:rPr>
                <w:rFonts w:hint="eastAsia" w:ascii="宋体" w:hAnsi="宋体" w:cs="宋体"/>
                <w:color w:val="000000"/>
                <w:kern w:val="0"/>
                <w:sz w:val="28"/>
                <w:szCs w:val="28"/>
                <w:highlight w:val="none"/>
              </w:rPr>
              <w:t>——</w:t>
            </w:r>
          </w:p>
        </w:tc>
      </w:tr>
    </w:tbl>
    <w:p>
      <w:pPr>
        <w:spacing w:before="156" w:beforeLines="50" w:line="360" w:lineRule="auto"/>
        <w:rPr>
          <w:rFonts w:ascii="宋体" w:hAnsi="宋体" w:cs="Times New Roman"/>
          <w:szCs w:val="21"/>
          <w:highlight w:val="none"/>
        </w:rPr>
      </w:pPr>
      <w:r>
        <w:rPr>
          <w:rFonts w:hint="eastAsia" w:ascii="宋体" w:hAnsi="宋体" w:cs="Times New Roman"/>
          <w:szCs w:val="21"/>
          <w:highlight w:val="none"/>
        </w:rPr>
        <w:t>注：</w:t>
      </w:r>
    </w:p>
    <w:p>
      <w:pPr>
        <w:numPr>
          <w:ilvl w:val="0"/>
          <w:numId w:val="5"/>
        </w:numPr>
        <w:snapToGrid w:val="0"/>
        <w:spacing w:line="360" w:lineRule="auto"/>
        <w:rPr>
          <w:rFonts w:ascii="宋体" w:hAnsi="宋体" w:cs="Times New Roman"/>
          <w:szCs w:val="21"/>
          <w:highlight w:val="none"/>
        </w:rPr>
      </w:pPr>
      <w:r>
        <w:rPr>
          <w:rFonts w:ascii="宋体" w:hAnsi="宋体" w:cs="Times New Roman"/>
          <w:szCs w:val="21"/>
          <w:highlight w:val="none"/>
        </w:rPr>
        <w:t>2021年度经营活动产生的温室气体排放包括直接温室气体排放量（范围一）、间接温室气体排放量（范围二）和其他间接温室气体排放量（范围三），统计对象为六盘水农商银行；</w:t>
      </w:r>
    </w:p>
    <w:p>
      <w:pPr>
        <w:numPr>
          <w:ilvl w:val="0"/>
          <w:numId w:val="5"/>
        </w:numPr>
        <w:snapToGrid w:val="0"/>
        <w:spacing w:line="360" w:lineRule="auto"/>
        <w:rPr>
          <w:rFonts w:ascii="宋体" w:hAnsi="宋体" w:cs="Times New Roman"/>
          <w:szCs w:val="21"/>
          <w:highlight w:val="none"/>
        </w:rPr>
      </w:pPr>
      <w:r>
        <w:rPr>
          <w:rFonts w:ascii="宋体" w:hAnsi="宋体" w:cs="Times New Roman"/>
          <w:szCs w:val="21"/>
          <w:highlight w:val="none"/>
        </w:rPr>
        <w:t>人均排放量测算以六盘水农商银行正式编制员工为基准；</w:t>
      </w:r>
    </w:p>
    <w:p>
      <w:pPr>
        <w:numPr>
          <w:ilvl w:val="0"/>
          <w:numId w:val="5"/>
        </w:numPr>
        <w:snapToGrid w:val="0"/>
        <w:spacing w:line="360" w:lineRule="auto"/>
        <w:rPr>
          <w:rFonts w:ascii="宋体" w:hAnsi="宋体" w:cs="Times New Roman"/>
          <w:szCs w:val="21"/>
          <w:highlight w:val="none"/>
        </w:rPr>
      </w:pPr>
      <w:r>
        <w:rPr>
          <w:rFonts w:ascii="宋体" w:hAnsi="宋体" w:cs="Times New Roman"/>
          <w:szCs w:val="21"/>
          <w:highlight w:val="none"/>
        </w:rPr>
        <w:t>贷款产生温室气体排放情况详见本报告第七章投融资活动的环境影响部分。</w:t>
      </w:r>
    </w:p>
    <w:p>
      <w:pPr>
        <w:pStyle w:val="6"/>
        <w:ind w:firstLine="643" w:firstLineChars="200"/>
        <w:rPr>
          <w:rFonts w:hint="eastAsia"/>
          <w:highlight w:val="none"/>
        </w:rPr>
      </w:pPr>
      <w:bookmarkStart w:id="48" w:name="_Toc2426"/>
      <w:r>
        <w:rPr>
          <w:rFonts w:hint="eastAsia"/>
          <w:highlight w:val="none"/>
        </w:rPr>
        <w:t>8.2 本行环保措施所产生的效果</w:t>
      </w:r>
      <w:bookmarkEnd w:id="48"/>
    </w:p>
    <w:p>
      <w:pPr>
        <w:pStyle w:val="7"/>
        <w:bidi w:val="0"/>
        <w:ind w:firstLine="643" w:firstLineChars="200"/>
        <w:rPr>
          <w:rFonts w:hint="eastAsia"/>
          <w:highlight w:val="none"/>
          <w:lang w:eastAsia="zh-CN"/>
        </w:rPr>
      </w:pPr>
      <w:bookmarkStart w:id="49" w:name="_Toc4463"/>
      <w:bookmarkStart w:id="50" w:name="_Toc27647"/>
      <w:r>
        <w:rPr>
          <w:rFonts w:hint="eastAsia" w:ascii="Times New Roman" w:hAnsi="Times New Roman" w:cs="Times New Roman"/>
          <w:highlight w:val="none"/>
          <w:lang w:val="en-US" w:eastAsia="zh-CN"/>
        </w:rPr>
        <w:t xml:space="preserve">8.2.1 </w:t>
      </w:r>
      <w:r>
        <w:rPr>
          <w:rFonts w:hint="eastAsia"/>
          <w:highlight w:val="none"/>
          <w:lang w:eastAsia="zh-CN"/>
        </w:rPr>
        <w:t>积极推动绿色</w:t>
      </w:r>
      <w:r>
        <w:rPr>
          <w:rFonts w:hint="eastAsia"/>
          <w:highlight w:val="none"/>
          <w:lang w:val="en-US" w:eastAsia="zh-CN"/>
        </w:rPr>
        <w:t>运营</w:t>
      </w:r>
      <w:bookmarkEnd w:id="49"/>
      <w:bookmarkEnd w:id="50"/>
    </w:p>
    <w:p>
      <w:pPr>
        <w:snapToGrid w:val="0"/>
        <w:spacing w:line="360" w:lineRule="auto"/>
        <w:ind w:firstLine="560" w:firstLineChars="200"/>
        <w:rPr>
          <w:rFonts w:hint="eastAsia" w:ascii="宋体" w:hAnsi="宋体" w:cs="仿宋_GB2312" w:eastAsiaTheme="minorEastAsia"/>
          <w:kern w:val="2"/>
          <w:sz w:val="28"/>
          <w:szCs w:val="28"/>
          <w:highlight w:val="none"/>
          <w:lang w:val="en-US" w:eastAsia="zh-CN" w:bidi="ar-SA"/>
        </w:rPr>
      </w:pPr>
      <w:r>
        <w:rPr>
          <w:rFonts w:hint="eastAsia" w:ascii="宋体" w:hAnsi="宋体" w:cs="仿宋_GB2312" w:eastAsiaTheme="minorEastAsia"/>
          <w:kern w:val="2"/>
          <w:sz w:val="28"/>
          <w:szCs w:val="28"/>
          <w:highlight w:val="none"/>
          <w:lang w:val="en-US" w:eastAsia="zh-CN" w:bidi="ar-SA"/>
        </w:rPr>
        <w:t>本行致力于提升电子服务渠道功能，充分发挥金融科技优势，构建“柜台+移动展业+智能机具”深度融合服务模式，提供银企余额对账等电子信息服务，不断完善网上银行、手机银行、自助设备等电子服务渠道功能，提升电子渠道的使用替代率，努力使客户通过足不出户的低碳方式便可享受到优质的金融服务，节省了大量纸张和人工消耗，积极推动本行绿色低碳转型。</w:t>
      </w:r>
    </w:p>
    <w:p>
      <w:pPr>
        <w:pStyle w:val="7"/>
        <w:bidi w:val="0"/>
        <w:ind w:firstLine="643" w:firstLineChars="200"/>
        <w:rPr>
          <w:rFonts w:hint="eastAsia"/>
          <w:highlight w:val="none"/>
          <w:lang w:val="en-US" w:eastAsia="zh-CN"/>
        </w:rPr>
      </w:pPr>
      <w:bookmarkStart w:id="51" w:name="_Toc9557"/>
      <w:bookmarkStart w:id="52" w:name="_Toc20666"/>
      <w:r>
        <w:rPr>
          <w:rFonts w:hint="eastAsia" w:ascii="Times New Roman" w:hAnsi="Times New Roman" w:cs="Times New Roman"/>
          <w:highlight w:val="none"/>
          <w:lang w:val="en-US" w:eastAsia="zh-CN"/>
        </w:rPr>
        <w:t xml:space="preserve">8.2.2 </w:t>
      </w:r>
      <w:r>
        <w:rPr>
          <w:rFonts w:hint="eastAsia"/>
          <w:highlight w:val="none"/>
          <w:lang w:val="en-US" w:eastAsia="zh-CN"/>
        </w:rPr>
        <w:t>积极推行绿色办公</w:t>
      </w:r>
      <w:bookmarkEnd w:id="51"/>
      <w:bookmarkEnd w:id="52"/>
    </w:p>
    <w:p>
      <w:pPr>
        <w:pStyle w:val="29"/>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560" w:firstLineChars="200"/>
        <w:textAlignment w:val="auto"/>
        <w:rPr>
          <w:rFonts w:hint="eastAsia" w:ascii="宋体" w:hAnsi="宋体" w:cs="仿宋_GB2312" w:eastAsiaTheme="minorEastAsia"/>
          <w:kern w:val="2"/>
          <w:sz w:val="28"/>
          <w:szCs w:val="28"/>
          <w:highlight w:val="none"/>
          <w:lang w:val="en-US" w:eastAsia="zh-CN" w:bidi="ar-SA"/>
        </w:rPr>
      </w:pPr>
      <w:r>
        <w:rPr>
          <w:rFonts w:hint="eastAsia" w:ascii="宋体" w:hAnsi="宋体" w:cs="仿宋_GB2312" w:eastAsiaTheme="minorEastAsia"/>
          <w:kern w:val="2"/>
          <w:sz w:val="28"/>
          <w:szCs w:val="28"/>
          <w:highlight w:val="none"/>
          <w:lang w:val="en-US" w:eastAsia="zh-CN" w:bidi="ar-SA"/>
        </w:rPr>
        <w:t>本行积极推行绿色办公，对行内员工倡导绿色理念，切实履行社会责任，践行绿色、可持续发展，每年清理全行固定资产和低值易耗品，确保循环利用，减少新增。全行自觉做到节约用水、节约用电、节约粮食三个节约，不断强化节约意识。</w:t>
      </w:r>
    </w:p>
    <w:p>
      <w:pPr>
        <w:pStyle w:val="7"/>
        <w:bidi w:val="0"/>
        <w:ind w:firstLine="643" w:firstLineChars="200"/>
        <w:rPr>
          <w:rFonts w:hint="default"/>
          <w:highlight w:val="none"/>
          <w:lang w:val="en-US" w:eastAsia="zh-CN"/>
        </w:rPr>
      </w:pPr>
      <w:bookmarkStart w:id="53" w:name="_Toc17001"/>
      <w:bookmarkStart w:id="54" w:name="_Toc31049"/>
      <w:r>
        <w:rPr>
          <w:rFonts w:hint="eastAsia" w:ascii="Times New Roman" w:hAnsi="Times New Roman" w:cs="Times New Roman"/>
          <w:highlight w:val="none"/>
          <w:lang w:val="en-US" w:eastAsia="zh-CN"/>
        </w:rPr>
        <w:t xml:space="preserve">8.2.3 </w:t>
      </w:r>
      <w:r>
        <w:rPr>
          <w:rFonts w:hint="eastAsia"/>
          <w:highlight w:val="none"/>
          <w:lang w:eastAsia="zh-CN"/>
        </w:rPr>
        <w:t>积极</w:t>
      </w:r>
      <w:r>
        <w:rPr>
          <w:rFonts w:hint="eastAsia"/>
          <w:highlight w:val="none"/>
          <w:lang w:val="en-US" w:eastAsia="zh-CN"/>
        </w:rPr>
        <w:t>倡导</w:t>
      </w:r>
      <w:r>
        <w:rPr>
          <w:rFonts w:hint="eastAsia"/>
          <w:highlight w:val="none"/>
          <w:lang w:eastAsia="zh-CN"/>
        </w:rPr>
        <w:t>绿色</w:t>
      </w:r>
      <w:r>
        <w:rPr>
          <w:rFonts w:hint="eastAsia"/>
          <w:highlight w:val="none"/>
          <w:lang w:val="en-US" w:eastAsia="zh-CN"/>
        </w:rPr>
        <w:t>出行</w:t>
      </w:r>
      <w:bookmarkEnd w:id="53"/>
      <w:bookmarkEnd w:id="54"/>
    </w:p>
    <w:p>
      <w:pPr>
        <w:spacing w:line="360" w:lineRule="auto"/>
        <w:ind w:firstLine="560" w:firstLineChars="200"/>
        <w:rPr>
          <w:rFonts w:hint="eastAsia" w:ascii="宋体" w:hAnsi="宋体" w:cs="仿宋_GB2312"/>
          <w:sz w:val="28"/>
          <w:szCs w:val="28"/>
          <w:highlight w:val="none"/>
          <w:lang w:val="en-US" w:eastAsia="zh-CN"/>
        </w:rPr>
      </w:pPr>
      <w:r>
        <w:rPr>
          <w:rFonts w:hint="eastAsia" w:ascii="宋体" w:hAnsi="宋体" w:cs="仿宋_GB2312"/>
          <w:sz w:val="28"/>
          <w:szCs w:val="28"/>
          <w:highlight w:val="none"/>
          <w:lang w:val="en-US" w:eastAsia="zh-CN"/>
        </w:rPr>
        <w:t>加强公车管理，合理安排公务用车，统一调配，提高车辆使用效率，减少出车频率。积极推行绿色出行，提升员工的环境保护意识，倡导步行上下班或以公共交通方式出行，提倡员工购买使用新能源电动车。</w:t>
      </w:r>
    </w:p>
    <w:p>
      <w:pPr>
        <w:pStyle w:val="7"/>
        <w:bidi w:val="0"/>
        <w:ind w:firstLine="643" w:firstLineChars="200"/>
        <w:rPr>
          <w:rFonts w:hint="eastAsia"/>
          <w:highlight w:val="none"/>
          <w:lang w:val="en-US" w:eastAsia="zh-CN"/>
        </w:rPr>
      </w:pPr>
      <w:bookmarkStart w:id="55" w:name="_Toc31960"/>
      <w:bookmarkStart w:id="56" w:name="_Toc18552"/>
      <w:r>
        <w:rPr>
          <w:rFonts w:hint="default" w:ascii="Times New Roman" w:hAnsi="Times New Roman" w:cs="Times New Roman"/>
          <w:highlight w:val="none"/>
          <w:lang w:val="en-US" w:eastAsia="zh-CN"/>
        </w:rPr>
        <w:t>8.</w:t>
      </w:r>
      <w:r>
        <w:rPr>
          <w:rFonts w:hint="eastAsia" w:ascii="Times New Roman" w:hAnsi="Times New Roman" w:cs="Times New Roman"/>
          <w:highlight w:val="none"/>
          <w:lang w:val="en-US" w:eastAsia="zh-CN"/>
        </w:rPr>
        <w:t>2</w:t>
      </w:r>
      <w:r>
        <w:rPr>
          <w:rFonts w:hint="default" w:ascii="Times New Roman" w:hAnsi="Times New Roman" w:cs="Times New Roman"/>
          <w:highlight w:val="none"/>
          <w:lang w:val="en-US" w:eastAsia="zh-CN"/>
        </w:rPr>
        <w:t xml:space="preserve">.4 </w:t>
      </w:r>
      <w:r>
        <w:rPr>
          <w:rFonts w:hint="eastAsia"/>
          <w:highlight w:val="none"/>
          <w:lang w:val="en-US" w:eastAsia="zh-CN"/>
        </w:rPr>
        <w:t>积极开展绿色公益活动</w:t>
      </w:r>
      <w:bookmarkEnd w:id="55"/>
      <w:bookmarkEnd w:id="56"/>
    </w:p>
    <w:p>
      <w:pPr>
        <w:spacing w:line="360" w:lineRule="auto"/>
        <w:ind w:firstLine="560" w:firstLineChars="200"/>
        <w:rPr>
          <w:rFonts w:hint="eastAsia" w:ascii="宋体" w:hAnsi="宋体" w:cs="仿宋_GB2312"/>
          <w:sz w:val="28"/>
          <w:szCs w:val="28"/>
          <w:highlight w:val="none"/>
          <w:lang w:val="en-US" w:eastAsia="zh-CN"/>
        </w:rPr>
      </w:pPr>
      <w:r>
        <w:rPr>
          <w:rFonts w:hint="eastAsia" w:ascii="宋体" w:hAnsi="宋体" w:cs="仿宋_GB2312"/>
          <w:sz w:val="28"/>
          <w:szCs w:val="28"/>
          <w:highlight w:val="none"/>
          <w:lang w:val="en-US" w:eastAsia="zh-CN"/>
        </w:rPr>
        <w:t>2021年3月30日，六盘水农商银行党委、工会、团委组织全辖60余名干部职工赶赴水城县老鹰山镇中坡村开展义务植树活动，在和煦的春风中，100余颗柳杉树种成了一片“信合林”，挺拔的树苗错落有致，初绽的枝叶格外清新。六盘水农商银行组织干部职工开展义务植树活动，既牢固树立绿水青山就是金山银山的理念，也是银行员工以实际行动为打造青山常在、绿水长流、空气常新的美丽家园贡献的金融力量。</w:t>
      </w:r>
    </w:p>
    <w:p>
      <w:pPr>
        <w:rPr>
          <w:rFonts w:hint="eastAsia"/>
          <w:highlight w:val="none"/>
        </w:rPr>
      </w:pPr>
    </w:p>
    <w:p>
      <w:pPr>
        <w:pStyle w:val="6"/>
        <w:ind w:firstLine="643" w:firstLineChars="200"/>
        <w:rPr>
          <w:highlight w:val="none"/>
        </w:rPr>
      </w:pPr>
      <w:bookmarkStart w:id="57" w:name="_Toc19398"/>
      <w:r>
        <w:rPr>
          <w:rFonts w:hint="eastAsia"/>
          <w:highlight w:val="none"/>
        </w:rPr>
        <w:t>8.</w:t>
      </w:r>
      <w:r>
        <w:rPr>
          <w:rFonts w:hint="eastAsia"/>
          <w:highlight w:val="none"/>
          <w:lang w:val="en-US" w:eastAsia="zh-CN"/>
        </w:rPr>
        <w:t>3</w:t>
      </w:r>
      <w:r>
        <w:rPr>
          <w:rFonts w:hint="eastAsia"/>
          <w:highlight w:val="none"/>
        </w:rPr>
        <w:t xml:space="preserve"> 经营活动温室气体统计口径与测算方法</w:t>
      </w:r>
      <w:bookmarkEnd w:id="57"/>
    </w:p>
    <w:p>
      <w:pPr>
        <w:spacing w:line="360" w:lineRule="auto"/>
        <w:ind w:firstLine="560" w:firstLineChars="200"/>
        <w:rPr>
          <w:rFonts w:ascii="宋体" w:hAnsi="宋体" w:cs="仿宋_GB2312"/>
          <w:sz w:val="28"/>
          <w:szCs w:val="28"/>
          <w:highlight w:val="none"/>
        </w:rPr>
      </w:pPr>
      <w:r>
        <w:rPr>
          <w:rFonts w:hint="eastAsia" w:ascii="宋体" w:hAnsi="宋体" w:cs="仿宋_GB2312"/>
          <w:sz w:val="28"/>
          <w:szCs w:val="28"/>
          <w:highlight w:val="none"/>
          <w:lang w:eastAsia="zh-CN"/>
        </w:rPr>
        <w:t>本行</w:t>
      </w:r>
      <w:r>
        <w:rPr>
          <w:rFonts w:hint="eastAsia" w:ascii="宋体" w:hAnsi="宋体" w:cs="仿宋_GB2312"/>
          <w:sz w:val="28"/>
          <w:szCs w:val="28"/>
          <w:highlight w:val="none"/>
        </w:rPr>
        <w:t>基于2021年经营活动消耗的各类能源总量和相应的二氧化碳排放系数对经营活动中，直接或间接产生的温室气体排放量以及减排量进行测算。测算依据为《绿色信贷节能减排量测算指引》，基本公式如下：</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96" w:type="dxa"/>
            <w:vAlign w:val="center"/>
          </w:tcPr>
          <w:p>
            <w:pPr>
              <w:spacing w:line="360" w:lineRule="auto"/>
              <w:jc w:val="center"/>
              <w:rPr>
                <w:rFonts w:ascii="Times New Roman" w:hAnsi="Times New Roman" w:cs="Times New Roman"/>
                <w:kern w:val="0"/>
                <w:szCs w:val="21"/>
                <w:highlight w:val="none"/>
              </w:rPr>
            </w:pPr>
            <m:oMathPara>
              <m:oMath>
                <m:sSub>
                  <m:sSubPr>
                    <m:ctrlPr>
                      <w:rPr>
                        <w:rFonts w:ascii="Cambria Math" w:hAnsi="Cambria Math" w:cs="Times New Roman"/>
                        <w:kern w:val="0"/>
                        <w:szCs w:val="21"/>
                        <w:highlight w:val="none"/>
                      </w:rPr>
                    </m:ctrlPr>
                  </m:sSubPr>
                  <m:e>
                    <m:r>
                      <w:rPr>
                        <w:rFonts w:ascii="Cambria Math" w:hAnsi="Cambria Math" w:cs="Times New Roman"/>
                        <w:kern w:val="0"/>
                        <w:szCs w:val="21"/>
                        <w:highlight w:val="none"/>
                      </w:rPr>
                      <m:t>CO</m:t>
                    </m:r>
                    <m:ctrlPr>
                      <w:rPr>
                        <w:rFonts w:ascii="Cambria Math" w:hAnsi="Cambria Math" w:cs="Times New Roman"/>
                        <w:kern w:val="0"/>
                        <w:szCs w:val="21"/>
                        <w:highlight w:val="none"/>
                      </w:rPr>
                    </m:ctrlPr>
                  </m:e>
                  <m:sub>
                    <m:r>
                      <w:rPr>
                        <w:rFonts w:ascii="Cambria Math" w:hAnsi="Cambria Math" w:cs="Times New Roman"/>
                        <w:kern w:val="0"/>
                        <w:szCs w:val="21"/>
                        <w:highlight w:val="none"/>
                      </w:rPr>
                      <m:t>2</m:t>
                    </m:r>
                    <m:ctrlPr>
                      <w:rPr>
                        <w:rFonts w:ascii="Cambria Math" w:hAnsi="Cambria Math" w:cs="Times New Roman"/>
                        <w:kern w:val="0"/>
                        <w:szCs w:val="21"/>
                        <w:highlight w:val="none"/>
                      </w:rPr>
                    </m:ctrlPr>
                  </m:sub>
                </m:sSub>
                <m:r>
                  <w:rPr>
                    <w:rFonts w:ascii="Cambria Math" w:hAnsi="Cambria Math" w:cs="Times New Roman"/>
                    <w:kern w:val="0"/>
                    <w:szCs w:val="21"/>
                    <w:highlight w:val="none"/>
                  </w:rPr>
                  <m:t>=</m:t>
                </m:r>
                <m:nary>
                  <m:naryPr>
                    <m:chr m:val="∑"/>
                    <m:limLoc m:val="undOvr"/>
                    <m:ctrlPr>
                      <w:rPr>
                        <w:rFonts w:ascii="Cambria Math" w:hAnsi="Cambria Math" w:cs="Times New Roman"/>
                        <w:i/>
                        <w:kern w:val="0"/>
                        <w:szCs w:val="21"/>
                        <w:highlight w:val="none"/>
                      </w:rPr>
                    </m:ctrlPr>
                  </m:naryPr>
                  <m:sub>
                    <m:r>
                      <w:rPr>
                        <w:rFonts w:ascii="Cambria Math" w:hAnsi="Cambria Math" w:cs="Times New Roman"/>
                        <w:kern w:val="0"/>
                        <w:szCs w:val="21"/>
                        <w:highlight w:val="none"/>
                      </w:rPr>
                      <m:t>1</m:t>
                    </m:r>
                    <m:ctrlPr>
                      <w:rPr>
                        <w:rFonts w:ascii="Cambria Math" w:hAnsi="Cambria Math" w:cs="Times New Roman"/>
                        <w:i/>
                        <w:kern w:val="0"/>
                        <w:szCs w:val="21"/>
                        <w:highlight w:val="none"/>
                      </w:rPr>
                    </m:ctrlPr>
                  </m:sub>
                  <m:sup>
                    <m:r>
                      <w:rPr>
                        <w:rFonts w:ascii="Cambria Math" w:hAnsi="Cambria Math" w:cs="Times New Roman"/>
                        <w:kern w:val="0"/>
                        <w:szCs w:val="21"/>
                        <w:highlight w:val="none"/>
                      </w:rPr>
                      <m:t>n</m:t>
                    </m:r>
                    <m:ctrlPr>
                      <w:rPr>
                        <w:rFonts w:ascii="Cambria Math" w:hAnsi="Cambria Math" w:cs="Times New Roman"/>
                        <w:i/>
                        <w:kern w:val="0"/>
                        <w:szCs w:val="21"/>
                        <w:highlight w:val="none"/>
                      </w:rPr>
                    </m:ctrlPr>
                  </m:sup>
                  <m:e>
                    <m:sSub>
                      <m:sSubPr>
                        <m:ctrlPr>
                          <w:rPr>
                            <w:rFonts w:ascii="Cambria Math" w:hAnsi="Cambria Math" w:cs="Times New Roman"/>
                            <w:i/>
                            <w:kern w:val="0"/>
                            <w:szCs w:val="21"/>
                            <w:highlight w:val="none"/>
                          </w:rPr>
                        </m:ctrlPr>
                      </m:sSubPr>
                      <m:e>
                        <m:r>
                          <w:rPr>
                            <w:rFonts w:ascii="Cambria Math" w:hAnsi="Cambria Math" w:cs="Times New Roman"/>
                            <w:kern w:val="0"/>
                            <w:szCs w:val="21"/>
                            <w:highlight w:val="none"/>
                          </w:rPr>
                          <m:t>E</m:t>
                        </m:r>
                        <m:ctrlPr>
                          <w:rPr>
                            <w:rFonts w:ascii="Cambria Math" w:hAnsi="Cambria Math" w:cs="Times New Roman"/>
                            <w:i/>
                            <w:kern w:val="0"/>
                            <w:szCs w:val="21"/>
                            <w:highlight w:val="none"/>
                          </w:rPr>
                        </m:ctrlPr>
                      </m:e>
                      <m:sub>
                        <m:r>
                          <w:rPr>
                            <w:rFonts w:ascii="Cambria Math" w:hAnsi="Cambria Math" w:cs="Times New Roman"/>
                            <w:kern w:val="0"/>
                            <w:szCs w:val="21"/>
                            <w:highlight w:val="none"/>
                          </w:rPr>
                          <m:t>i</m:t>
                        </m:r>
                        <m:ctrlPr>
                          <w:rPr>
                            <w:rFonts w:ascii="Cambria Math" w:hAnsi="Cambria Math" w:cs="Times New Roman"/>
                            <w:i/>
                            <w:kern w:val="0"/>
                            <w:szCs w:val="21"/>
                            <w:highlight w:val="none"/>
                          </w:rPr>
                        </m:ctrlPr>
                      </m:sub>
                    </m:sSub>
                    <m:r>
                      <w:rPr>
                        <w:rFonts w:ascii="Cambria Math" w:hAnsi="Cambria Math" w:cs="Times New Roman"/>
                        <w:kern w:val="0"/>
                        <w:szCs w:val="21"/>
                        <w:highlight w:val="none"/>
                      </w:rPr>
                      <m:t>×</m:t>
                    </m:r>
                    <m:sSub>
                      <m:sSubPr>
                        <m:ctrlPr>
                          <w:rPr>
                            <w:rFonts w:ascii="Cambria Math" w:hAnsi="Cambria Math" w:cs="Times New Roman"/>
                            <w:i/>
                            <w:kern w:val="0"/>
                            <w:szCs w:val="21"/>
                            <w:highlight w:val="none"/>
                          </w:rPr>
                        </m:ctrlPr>
                      </m:sSubPr>
                      <m:e>
                        <m:r>
                          <w:rPr>
                            <w:rFonts w:ascii="Cambria Math" w:hAnsi="Cambria Math" w:cs="Times New Roman"/>
                            <w:kern w:val="0"/>
                            <w:szCs w:val="21"/>
                            <w:highlight w:val="none"/>
                          </w:rPr>
                          <m:t>α</m:t>
                        </m:r>
                        <m:ctrlPr>
                          <w:rPr>
                            <w:rFonts w:ascii="Cambria Math" w:hAnsi="Cambria Math" w:cs="Times New Roman"/>
                            <w:i/>
                            <w:kern w:val="0"/>
                            <w:szCs w:val="21"/>
                            <w:highlight w:val="none"/>
                          </w:rPr>
                        </m:ctrlPr>
                      </m:e>
                      <m:sub>
                        <m:r>
                          <w:rPr>
                            <w:rFonts w:ascii="Cambria Math" w:hAnsi="Cambria Math" w:cs="Times New Roman"/>
                            <w:kern w:val="0"/>
                            <w:szCs w:val="21"/>
                            <w:highlight w:val="none"/>
                          </w:rPr>
                          <m:t>i</m:t>
                        </m:r>
                        <m:ctrlPr>
                          <w:rPr>
                            <w:rFonts w:ascii="Cambria Math" w:hAnsi="Cambria Math" w:cs="Times New Roman"/>
                            <w:i/>
                            <w:kern w:val="0"/>
                            <w:szCs w:val="21"/>
                            <w:highlight w:val="none"/>
                          </w:rPr>
                        </m:ctrlPr>
                      </m:sub>
                    </m:sSub>
                    <m:ctrlPr>
                      <w:rPr>
                        <w:rFonts w:ascii="Cambria Math" w:hAnsi="Cambria Math" w:cs="Times New Roman"/>
                        <w:i/>
                        <w:kern w:val="0"/>
                        <w:szCs w:val="21"/>
                        <w:highlight w:val="none"/>
                      </w:rPr>
                    </m:ctrlPr>
                  </m:e>
                </m:nary>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auto"/>
              <w:ind w:firstLine="420" w:firstLineChars="200"/>
              <w:rPr>
                <w:rFonts w:ascii="Times New Roman" w:hAnsi="Times New Roman" w:cs="Times New Roman"/>
                <w:kern w:val="0"/>
                <w:szCs w:val="21"/>
                <w:highlight w:val="none"/>
              </w:rPr>
            </w:pPr>
            <w:r>
              <w:rPr>
                <w:rFonts w:ascii="Times New Roman" w:hAnsi="Times New Roman" w:cs="Times New Roman"/>
                <w:kern w:val="0"/>
                <w:szCs w:val="21"/>
                <w:highlight w:val="none"/>
              </w:rPr>
              <w:t>注：该公式为基本公式，二氧化碳排放应按照具体能源消费品种分别计算。</w:t>
            </w:r>
          </w:p>
          <w:p>
            <w:pPr>
              <w:spacing w:line="360" w:lineRule="auto"/>
              <w:ind w:firstLine="420" w:firstLineChars="200"/>
              <w:rPr>
                <w:rFonts w:ascii="Times New Roman" w:hAnsi="Times New Roman" w:cs="Times New Roman"/>
                <w:kern w:val="0"/>
                <w:szCs w:val="21"/>
                <w:highlight w:val="none"/>
              </w:rPr>
            </w:pPr>
            <w:r>
              <w:rPr>
                <w:rFonts w:ascii="Times New Roman" w:hAnsi="Times New Roman" w:cs="Times New Roman"/>
                <w:kern w:val="0"/>
                <w:szCs w:val="21"/>
                <w:highlight w:val="none"/>
              </w:rPr>
              <w:t>CO</w:t>
            </w:r>
            <w:r>
              <w:rPr>
                <w:rFonts w:ascii="Times New Roman" w:hAnsi="Times New Roman" w:cs="Times New Roman"/>
                <w:kern w:val="0"/>
                <w:szCs w:val="21"/>
                <w:highlight w:val="none"/>
                <w:vertAlign w:val="subscript"/>
              </w:rPr>
              <w:t>2</w:t>
            </w:r>
            <w:r>
              <w:rPr>
                <w:rFonts w:ascii="Times New Roman" w:hAnsi="Times New Roman" w:cs="Times New Roman"/>
                <w:kern w:val="0"/>
                <w:szCs w:val="21"/>
                <w:highlight w:val="none"/>
              </w:rPr>
              <w:t>：项目二氧化碳排放量，单位：吨二氧化碳；</w:t>
            </w:r>
          </w:p>
          <w:p>
            <w:pPr>
              <w:spacing w:line="360" w:lineRule="auto"/>
              <w:ind w:firstLine="420" w:firstLineChars="200"/>
              <w:rPr>
                <w:rFonts w:ascii="Times New Roman" w:hAnsi="Times New Roman" w:cs="Times New Roman"/>
                <w:kern w:val="0"/>
                <w:szCs w:val="21"/>
                <w:highlight w:val="none"/>
              </w:rPr>
            </w:pPr>
            <w:r>
              <w:rPr>
                <w:rFonts w:ascii="Times New Roman" w:hAnsi="Times New Roman" w:cs="Times New Roman"/>
                <w:kern w:val="0"/>
                <w:szCs w:val="21"/>
                <w:highlight w:val="none"/>
              </w:rPr>
              <w:t>E</w:t>
            </w:r>
            <w:r>
              <w:rPr>
                <w:rFonts w:ascii="Times New Roman" w:hAnsi="Times New Roman" w:cs="Times New Roman"/>
                <w:kern w:val="0"/>
                <w:szCs w:val="21"/>
                <w:highlight w:val="none"/>
                <w:vertAlign w:val="subscript"/>
              </w:rPr>
              <w:t>i</w:t>
            </w:r>
            <w:r>
              <w:rPr>
                <w:rFonts w:ascii="Times New Roman" w:hAnsi="Times New Roman" w:cs="Times New Roman"/>
                <w:kern w:val="0"/>
                <w:szCs w:val="21"/>
                <w:highlight w:val="none"/>
              </w:rPr>
              <w:t>：项目某能源消费品种的使用量，单位：吨（或万千瓦时或立方米等）；</w:t>
            </w:r>
          </w:p>
          <w:p>
            <w:pPr>
              <w:spacing w:line="360" w:lineRule="auto"/>
              <w:ind w:firstLine="420" w:firstLineChars="200"/>
              <w:rPr>
                <w:rFonts w:ascii="宋体" w:hAnsi="宋体" w:cs="仿宋_GB2312"/>
                <w:kern w:val="0"/>
                <w:szCs w:val="21"/>
                <w:highlight w:val="none"/>
              </w:rPr>
            </w:pPr>
            <w:r>
              <w:rPr>
                <w:rFonts w:ascii="Times New Roman" w:hAnsi="Times New Roman" w:cs="Times New Roman"/>
                <w:kern w:val="0"/>
                <w:szCs w:val="21"/>
                <w:highlight w:val="none"/>
              </w:rPr>
              <w:t>α</w:t>
            </w:r>
            <w:r>
              <w:rPr>
                <w:rFonts w:ascii="Times New Roman" w:hAnsi="Times New Roman" w:cs="Times New Roman"/>
                <w:kern w:val="0"/>
                <w:szCs w:val="21"/>
                <w:highlight w:val="none"/>
                <w:vertAlign w:val="subscript"/>
              </w:rPr>
              <w:t>i</w:t>
            </w:r>
            <w:r>
              <w:rPr>
                <w:rFonts w:ascii="Times New Roman" w:hAnsi="Times New Roman" w:cs="Times New Roman"/>
                <w:kern w:val="0"/>
                <w:szCs w:val="21"/>
                <w:highlight w:val="none"/>
              </w:rPr>
              <w:t>：项目消费能源品种的二氧化碳排放系数，单位为千克二氧化碳/千克（或立方米）。</w:t>
            </w:r>
          </w:p>
        </w:tc>
      </w:tr>
    </w:tbl>
    <w:p>
      <w:pPr>
        <w:rPr>
          <w:highlight w:val="none"/>
        </w:rPr>
      </w:pPr>
    </w:p>
    <w:p>
      <w:pPr>
        <w:pStyle w:val="5"/>
        <w:numPr>
          <w:ilvl w:val="0"/>
          <w:numId w:val="1"/>
        </w:numPr>
        <w:spacing w:after="120" w:line="579" w:lineRule="auto"/>
        <w:rPr>
          <w:highlight w:val="none"/>
        </w:rPr>
      </w:pPr>
      <w:bookmarkStart w:id="58" w:name="_Toc19706"/>
      <w:r>
        <w:rPr>
          <w:rFonts w:hint="eastAsia"/>
          <w:highlight w:val="none"/>
        </w:rPr>
        <w:t>数据梳理、校验及保护</w:t>
      </w:r>
      <w:bookmarkEnd w:id="58"/>
    </w:p>
    <w:p>
      <w:pPr>
        <w:ind w:firstLine="560" w:firstLineChars="200"/>
        <w:rPr>
          <w:color w:val="000000"/>
          <w:sz w:val="28"/>
          <w:szCs w:val="28"/>
          <w:highlight w:val="none"/>
        </w:rPr>
      </w:pPr>
      <w:r>
        <w:rPr>
          <w:rFonts w:hint="eastAsia"/>
          <w:color w:val="000000"/>
          <w:sz w:val="28"/>
          <w:szCs w:val="28"/>
          <w:highlight w:val="none"/>
        </w:rPr>
        <w:t>为确保</w:t>
      </w:r>
      <w:r>
        <w:rPr>
          <w:rFonts w:hint="eastAsia"/>
          <w:color w:val="000000"/>
          <w:sz w:val="28"/>
          <w:szCs w:val="28"/>
          <w:highlight w:val="none"/>
          <w:lang w:eastAsia="zh-CN"/>
        </w:rPr>
        <w:t>本行</w:t>
      </w:r>
      <w:r>
        <w:rPr>
          <w:rFonts w:hint="eastAsia"/>
          <w:color w:val="000000"/>
          <w:sz w:val="28"/>
          <w:szCs w:val="28"/>
          <w:highlight w:val="none"/>
        </w:rPr>
        <w:t>数据质量管理工作的有效开展，保障行内信息安全，</w:t>
      </w:r>
      <w:r>
        <w:rPr>
          <w:rFonts w:hint="eastAsia"/>
          <w:color w:val="000000"/>
          <w:sz w:val="28"/>
          <w:szCs w:val="28"/>
          <w:highlight w:val="none"/>
          <w:lang w:eastAsia="zh-CN"/>
        </w:rPr>
        <w:t>本行</w:t>
      </w:r>
      <w:r>
        <w:rPr>
          <w:rFonts w:hint="eastAsia"/>
          <w:color w:val="000000"/>
          <w:sz w:val="28"/>
          <w:szCs w:val="28"/>
          <w:highlight w:val="none"/>
        </w:rPr>
        <w:t>依据相关法律法规制定了《六盘水农村商业银行股份有限公司信息安全风险评估与风险处置规程》，规范了生产数据提取、使用、销毁等环节的安全管理，实现数据查询的电子化和流程化管理，建立应急预案，应对可能发生的数据安全事件或数据安全事故。通过网络隔离、终端管控、堡垒机、数据中心人员出入管理等手段，实行严格的认证措施管理，并且建立了数据脱敏系统，实现数据安全管理。</w:t>
      </w:r>
    </w:p>
    <w:p>
      <w:pPr>
        <w:ind w:firstLine="560" w:firstLineChars="200"/>
        <w:rPr>
          <w:color w:val="000000"/>
          <w:sz w:val="28"/>
          <w:szCs w:val="28"/>
          <w:highlight w:val="none"/>
        </w:rPr>
      </w:pPr>
      <w:r>
        <w:rPr>
          <w:rFonts w:hint="eastAsia"/>
          <w:color w:val="000000"/>
          <w:sz w:val="28"/>
          <w:szCs w:val="28"/>
          <w:highlight w:val="none"/>
        </w:rPr>
        <w:t>同时</w:t>
      </w:r>
      <w:r>
        <w:rPr>
          <w:rFonts w:hint="eastAsia"/>
          <w:color w:val="000000"/>
          <w:sz w:val="28"/>
          <w:szCs w:val="28"/>
          <w:highlight w:val="none"/>
          <w:lang w:eastAsia="zh-CN"/>
        </w:rPr>
        <w:t>本行</w:t>
      </w:r>
      <w:r>
        <w:rPr>
          <w:rFonts w:hint="eastAsia"/>
          <w:color w:val="000000"/>
          <w:sz w:val="28"/>
          <w:szCs w:val="28"/>
          <w:highlight w:val="none"/>
        </w:rPr>
        <w:t>建立有信息安全领导小组及</w:t>
      </w:r>
      <w:r>
        <w:rPr>
          <w:rFonts w:hint="eastAsia"/>
          <w:color w:val="000000"/>
          <w:sz w:val="28"/>
          <w:szCs w:val="28"/>
          <w:highlight w:val="none"/>
          <w:lang w:eastAsia="zh-CN"/>
        </w:rPr>
        <w:t>统计中心</w:t>
      </w:r>
      <w:r>
        <w:rPr>
          <w:rFonts w:hint="eastAsia"/>
          <w:color w:val="000000"/>
          <w:sz w:val="28"/>
          <w:szCs w:val="28"/>
          <w:highlight w:val="none"/>
        </w:rPr>
        <w:t>。信息安全领导小组下设办公室在科技信息部，领导小组具体负责统筹和指导全行信息安全管理相关事项；</w:t>
      </w:r>
      <w:r>
        <w:rPr>
          <w:rFonts w:hint="eastAsia"/>
          <w:color w:val="000000"/>
          <w:sz w:val="28"/>
          <w:szCs w:val="28"/>
          <w:highlight w:val="none"/>
          <w:lang w:eastAsia="zh-CN"/>
        </w:rPr>
        <w:t>统计中心</w:t>
      </w:r>
      <w:r>
        <w:rPr>
          <w:rFonts w:hint="eastAsia"/>
          <w:color w:val="000000"/>
          <w:sz w:val="28"/>
          <w:szCs w:val="28"/>
          <w:highlight w:val="none"/>
        </w:rPr>
        <w:t>，具体负责</w:t>
      </w:r>
      <w:r>
        <w:rPr>
          <w:rFonts w:hint="eastAsia"/>
          <w:color w:val="000000"/>
          <w:sz w:val="28"/>
          <w:szCs w:val="28"/>
          <w:highlight w:val="none"/>
          <w:lang w:eastAsia="zh-CN"/>
        </w:rPr>
        <w:t>本行</w:t>
      </w:r>
      <w:r>
        <w:rPr>
          <w:rFonts w:hint="eastAsia"/>
          <w:color w:val="000000"/>
          <w:sz w:val="28"/>
          <w:szCs w:val="28"/>
          <w:highlight w:val="none"/>
        </w:rPr>
        <w:t>系统数据统计，并定期组织系统数据治理工作，确保</w:t>
      </w:r>
      <w:r>
        <w:rPr>
          <w:rFonts w:hint="eastAsia"/>
          <w:color w:val="000000"/>
          <w:sz w:val="28"/>
          <w:szCs w:val="28"/>
          <w:highlight w:val="none"/>
          <w:lang w:eastAsia="zh-CN"/>
        </w:rPr>
        <w:t>本行</w:t>
      </w:r>
      <w:r>
        <w:rPr>
          <w:rFonts w:hint="eastAsia"/>
          <w:color w:val="000000"/>
          <w:sz w:val="28"/>
          <w:szCs w:val="28"/>
          <w:highlight w:val="none"/>
        </w:rPr>
        <w:t>系统数据质量。</w:t>
      </w:r>
    </w:p>
    <w:p>
      <w:pPr>
        <w:pStyle w:val="5"/>
        <w:numPr>
          <w:ilvl w:val="0"/>
          <w:numId w:val="1"/>
        </w:numPr>
        <w:spacing w:after="120" w:line="579" w:lineRule="auto"/>
        <w:rPr>
          <w:highlight w:val="none"/>
        </w:rPr>
      </w:pPr>
      <w:bookmarkStart w:id="59" w:name="_Toc20216"/>
      <w:r>
        <w:rPr>
          <w:rFonts w:hint="eastAsia"/>
          <w:highlight w:val="none"/>
        </w:rPr>
        <w:t>绿色金融创新及研究成果</w:t>
      </w:r>
      <w:bookmarkEnd w:id="59"/>
    </w:p>
    <w:p>
      <w:pPr>
        <w:pStyle w:val="6"/>
        <w:numPr>
          <w:ilvl w:val="1"/>
          <w:numId w:val="1"/>
        </w:numPr>
        <w:rPr>
          <w:color w:val="000000"/>
          <w:sz w:val="28"/>
          <w:szCs w:val="28"/>
          <w:highlight w:val="none"/>
        </w:rPr>
      </w:pPr>
      <w:bookmarkStart w:id="60" w:name="_Toc866"/>
      <w:r>
        <w:rPr>
          <w:rFonts w:hint="eastAsia"/>
          <w:highlight w:val="none"/>
        </w:rPr>
        <w:t>绿色金融创新实践案例</w:t>
      </w:r>
      <w:bookmarkEnd w:id="60"/>
    </w:p>
    <w:p>
      <w:pPr>
        <w:ind w:firstLine="560" w:firstLineChars="200"/>
        <w:rPr>
          <w:color w:val="000000"/>
          <w:sz w:val="28"/>
          <w:szCs w:val="28"/>
          <w:highlight w:val="none"/>
        </w:rPr>
      </w:pPr>
      <w:r>
        <w:rPr>
          <w:rFonts w:hint="eastAsia"/>
          <w:color w:val="000000"/>
          <w:sz w:val="28"/>
          <w:szCs w:val="28"/>
          <w:highlight w:val="none"/>
          <w:lang w:eastAsia="zh-CN"/>
        </w:rPr>
        <w:t>本行</w:t>
      </w:r>
      <w:r>
        <w:rPr>
          <w:rFonts w:hint="eastAsia"/>
          <w:color w:val="000000"/>
          <w:sz w:val="28"/>
          <w:szCs w:val="28"/>
          <w:highlight w:val="none"/>
        </w:rPr>
        <w:t>以“乡村振兴”为主基调，以生态文明建设领域绿色产业产品为辅助，打造具有本地产业特色的绿色普惠金融产品体系。经过多年在创新支农产品、三农服务等方面不断探索和实践，建立符合绿色企业和项目特点的信贷管理制度，优化授信审批流程，在风险可控的前提下对绿色企业和项目加大支持力度，降低绿色企业或项目的信贷成本。</w:t>
      </w:r>
    </w:p>
    <w:p>
      <w:pPr>
        <w:ind w:firstLine="560" w:firstLineChars="200"/>
        <w:rPr>
          <w:color w:val="000000"/>
          <w:sz w:val="28"/>
          <w:szCs w:val="28"/>
          <w:highlight w:val="none"/>
        </w:rPr>
      </w:pPr>
      <w:r>
        <w:rPr>
          <w:rFonts w:hint="eastAsia"/>
          <w:color w:val="000000"/>
          <w:sz w:val="28"/>
          <w:szCs w:val="28"/>
          <w:highlight w:val="none"/>
        </w:rPr>
        <w:t>绿色金融案例一：黔农驿站</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560" w:firstLineChars="200"/>
              <w:rPr>
                <w:rFonts w:ascii="宋体" w:hAnsi="宋体" w:eastAsia="宋体" w:cs="宋体"/>
                <w:sz w:val="28"/>
                <w:szCs w:val="28"/>
                <w:highlight w:val="none"/>
              </w:rPr>
            </w:pPr>
            <w:r>
              <w:rPr>
                <w:rFonts w:hint="eastAsia"/>
                <w:color w:val="000000"/>
                <w:sz w:val="28"/>
                <w:szCs w:val="28"/>
                <w:highlight w:val="none"/>
                <w:lang w:eastAsia="zh-CN"/>
              </w:rPr>
              <w:t>本行</w:t>
            </w:r>
            <w:r>
              <w:rPr>
                <w:rFonts w:hint="eastAsia"/>
                <w:color w:val="000000"/>
                <w:sz w:val="28"/>
                <w:szCs w:val="28"/>
                <w:highlight w:val="none"/>
              </w:rPr>
              <w:t>以打造黔农驿站为契机，将电商、政务、商务、零售等商业功能与黔农驿站相结合，将绿色金融向消费领域延伸。同时将黔农驿站</w:t>
            </w:r>
            <w:r>
              <w:rPr>
                <w:rFonts w:hint="eastAsia"/>
                <w:color w:val="000000"/>
                <w:sz w:val="28"/>
                <w:szCs w:val="28"/>
                <w:highlight w:val="none"/>
              </w:rPr>
              <w:t>作为</w:t>
            </w:r>
            <w:r>
              <w:rPr>
                <w:rFonts w:hint="eastAsia"/>
                <w:color w:val="000000"/>
                <w:sz w:val="28"/>
                <w:szCs w:val="28"/>
                <w:highlight w:val="none"/>
                <w:lang w:eastAsia="zh-CN"/>
              </w:rPr>
              <w:t>六盘水</w:t>
            </w:r>
            <w:r>
              <w:rPr>
                <w:rFonts w:hint="eastAsia"/>
                <w:color w:val="000000"/>
                <w:sz w:val="28"/>
                <w:szCs w:val="28"/>
                <w:highlight w:val="none"/>
              </w:rPr>
              <w:t>农商银行</w:t>
            </w:r>
            <w:r>
              <w:rPr>
                <w:rFonts w:hint="eastAsia"/>
                <w:color w:val="000000"/>
                <w:sz w:val="28"/>
                <w:szCs w:val="28"/>
                <w:highlight w:val="none"/>
              </w:rPr>
              <w:t>在农村的综合金融服务平台，提升对农户绿色信贷评级的识别能力</w:t>
            </w:r>
            <w:r>
              <w:rPr>
                <w:rFonts w:hint="eastAsia"/>
                <w:color w:val="000000"/>
                <w:sz w:val="28"/>
                <w:szCs w:val="28"/>
                <w:highlight w:val="none"/>
                <w:lang w:eastAsia="zh-CN"/>
              </w:rPr>
              <w:t>。</w:t>
            </w:r>
            <w:r>
              <w:rPr>
                <w:rFonts w:hint="eastAsia"/>
                <w:color w:val="000000"/>
                <w:sz w:val="28"/>
                <w:szCs w:val="28"/>
                <w:highlight w:val="none"/>
              </w:rPr>
              <w:t>截止2021年12月末，已打造1个便民普惠绿色金融服务站。通过黔农驿站逐步代替柜面服务，将支付、资金融通功能逐步迁徙至乡村，持续增加绿色金融服务点建设。</w:t>
            </w:r>
          </w:p>
        </w:tc>
      </w:tr>
    </w:tbl>
    <w:p>
      <w:pPr>
        <w:pStyle w:val="6"/>
        <w:numPr>
          <w:ilvl w:val="1"/>
          <w:numId w:val="1"/>
        </w:numPr>
        <w:rPr>
          <w:highlight w:val="none"/>
        </w:rPr>
      </w:pPr>
      <w:bookmarkStart w:id="61" w:name="_Toc5477"/>
      <w:r>
        <w:rPr>
          <w:rFonts w:hint="eastAsia"/>
          <w:highlight w:val="none"/>
        </w:rPr>
        <w:t>未来展望</w:t>
      </w:r>
      <w:bookmarkEnd w:id="61"/>
    </w:p>
    <w:p>
      <w:pPr>
        <w:spacing w:line="300" w:lineRule="auto"/>
        <w:ind w:firstLine="560" w:firstLineChars="200"/>
        <w:rPr>
          <w:rFonts w:ascii="宋体" w:hAnsi="宋体" w:eastAsia="宋体" w:cs="宋体"/>
          <w:sz w:val="28"/>
          <w:szCs w:val="28"/>
          <w:highlight w:val="none"/>
        </w:rPr>
      </w:pPr>
      <w:r>
        <w:rPr>
          <w:rFonts w:hint="eastAsia" w:ascii="宋体" w:hAnsi="宋体" w:eastAsia="宋体" w:cs="宋体"/>
          <w:sz w:val="28"/>
          <w:szCs w:val="28"/>
          <w:highlight w:val="none"/>
          <w:lang w:eastAsia="zh-CN"/>
        </w:rPr>
        <w:t>本行</w:t>
      </w:r>
      <w:r>
        <w:rPr>
          <w:rFonts w:hint="eastAsia" w:ascii="宋体" w:hAnsi="宋体" w:eastAsia="宋体" w:cs="宋体"/>
          <w:sz w:val="28"/>
          <w:szCs w:val="28"/>
          <w:highlight w:val="none"/>
        </w:rPr>
        <w:t>将坚守初心深耕“三农”沃土，继续深耕三农助力小微，牢记乡村振兴、支农支小、服务实体经济使命，深入开发绿色金融产品创新，提升绿色信贷余额占比，推进绿色经营发展。加强绿色金融能力建设，不断提升全行绿色发展意识及绿色金融服务水平。</w:t>
      </w:r>
    </w:p>
    <w:p>
      <w:pPr>
        <w:pStyle w:val="5"/>
        <w:numPr>
          <w:ilvl w:val="0"/>
          <w:numId w:val="1"/>
        </w:numPr>
        <w:spacing w:after="120" w:line="579" w:lineRule="auto"/>
        <w:rPr>
          <w:highlight w:val="none"/>
        </w:rPr>
      </w:pPr>
      <w:bookmarkStart w:id="62" w:name="_Toc30280"/>
      <w:r>
        <w:rPr>
          <w:rFonts w:hint="eastAsia"/>
          <w:highlight w:val="none"/>
        </w:rPr>
        <w:t>荣誉与获奖</w:t>
      </w:r>
      <w:bookmarkEnd w:id="62"/>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val="en-US" w:eastAsia="zh-CN"/>
              </w:rPr>
              <w:t>贵州省</w:t>
            </w:r>
            <w:r>
              <w:rPr>
                <w:rFonts w:hint="eastAsia" w:ascii="宋体" w:hAnsi="宋体" w:eastAsia="宋体" w:cs="宋体"/>
                <w:sz w:val="28"/>
                <w:szCs w:val="28"/>
                <w:highlight w:val="none"/>
              </w:rPr>
              <w:t>脱贫攻坚先进集体</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2021年度</w:t>
            </w:r>
            <w:r>
              <w:rPr>
                <w:rFonts w:hint="eastAsia" w:ascii="宋体" w:hAnsi="宋体" w:eastAsia="宋体" w:cs="宋体"/>
                <w:sz w:val="28"/>
                <w:szCs w:val="28"/>
                <w:highlight w:val="none"/>
                <w:lang w:eastAsia="zh-CN"/>
              </w:rPr>
              <w:t>）</w:t>
            </w:r>
          </w:p>
        </w:tc>
      </w:tr>
    </w:tbl>
    <w:p>
      <w:pPr>
        <w:rPr>
          <w:highlight w:val="none"/>
        </w:rPr>
      </w:pPr>
    </w:p>
    <w:p>
      <w:pPr>
        <w:rPr>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77025879"/>
                          </w:sdtPr>
                          <w:sdtContent>
                            <w:p>
                              <w:pPr>
                                <w:pStyle w:val="12"/>
                                <w:jc w:val="center"/>
                              </w:pPr>
                              <w:r>
                                <w:fldChar w:fldCharType="begin"/>
                              </w:r>
                              <w:r>
                                <w:instrText xml:space="preserve">PAGE   \* MERGEFORMAT</w:instrText>
                              </w:r>
                              <w:r>
                                <w:fldChar w:fldCharType="separate"/>
                              </w:r>
                              <w:r>
                                <w:rPr>
                                  <w:lang w:val="zh-CN"/>
                                </w:rPr>
                                <w:t>54</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sdt>
                    <w:sdtPr>
                      <w:id w:val="1077025879"/>
                    </w:sdtPr>
                    <w:sdtContent>
                      <w:p>
                        <w:pPr>
                          <w:pStyle w:val="12"/>
                          <w:jc w:val="center"/>
                        </w:pPr>
                        <w:r>
                          <w:fldChar w:fldCharType="begin"/>
                        </w:r>
                        <w:r>
                          <w:instrText xml:space="preserve">PAGE   \* MERGEFORMAT</w:instrText>
                        </w:r>
                        <w:r>
                          <w:fldChar w:fldCharType="separate"/>
                        </w:r>
                        <w:r>
                          <w:rPr>
                            <w:lang w:val="zh-CN"/>
                          </w:rPr>
                          <w:t>54</w:t>
                        </w:r>
                        <w:r>
                          <w:fldChar w:fldCharType="end"/>
                        </w:r>
                      </w:p>
                    </w:sdtContent>
                  </w:sdt>
                  <w:p/>
                </w:txbxContent>
              </v:textbox>
            </v:shape>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83483181"/>
                          </w:sdtPr>
                          <w:sdtContent>
                            <w:p>
                              <w:pPr>
                                <w:pStyle w:val="12"/>
                                <w:jc w:val="center"/>
                              </w:pPr>
                              <w:r>
                                <w:fldChar w:fldCharType="begin"/>
                              </w:r>
                              <w:r>
                                <w:instrText xml:space="preserve">PAGE   \* MERGEFORMAT</w:instrText>
                              </w:r>
                              <w:r>
                                <w:fldChar w:fldCharType="separate"/>
                              </w:r>
                              <w:r>
                                <w:rPr>
                                  <w:lang w:val="zh-CN"/>
                                </w:rPr>
                                <w:t>54</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sdt>
                    <w:sdtPr>
                      <w:id w:val="-1383483181"/>
                    </w:sdtPr>
                    <w:sdtContent>
                      <w:p>
                        <w:pPr>
                          <w:pStyle w:val="12"/>
                          <w:jc w:val="center"/>
                        </w:pPr>
                        <w:r>
                          <w:fldChar w:fldCharType="begin"/>
                        </w:r>
                        <w:r>
                          <w:instrText xml:space="preserve">PAGE   \* MERGEFORMAT</w:instrText>
                        </w:r>
                        <w:r>
                          <w:fldChar w:fldCharType="separate"/>
                        </w:r>
                        <w:r>
                          <w:rPr>
                            <w:lang w:val="zh-CN"/>
                          </w:rPr>
                          <w:t>54</w:t>
                        </w:r>
                        <w:r>
                          <w:fldChar w:fldCharType="end"/>
                        </w:r>
                      </w:p>
                    </w:sdtContent>
                  </w:sdt>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027224"/>
    <w:multiLevelType w:val="multilevel"/>
    <w:tmpl w:val="F3027224"/>
    <w:lvl w:ilvl="0" w:tentative="0">
      <w:start w:val="1"/>
      <w:numFmt w:val="decimal"/>
      <w:lvlText w:val="%1."/>
      <w:lvlJc w:val="left"/>
      <w:pPr>
        <w:ind w:left="425" w:hanging="425"/>
      </w:pPr>
      <w:rPr>
        <w:rFonts w:hint="default"/>
      </w:rPr>
    </w:lvl>
    <w:lvl w:ilvl="1" w:tentative="0">
      <w:start w:val="1"/>
      <w:numFmt w:val="decimal"/>
      <w:lvlText w:val="%1.%2."/>
      <w:lvlJc w:val="left"/>
      <w:pPr>
        <w:ind w:left="1197" w:hanging="567"/>
      </w:pPr>
      <w:rPr>
        <w:rFonts w:hint="default"/>
      </w:rPr>
    </w:lvl>
    <w:lvl w:ilvl="2" w:tentative="0">
      <w:start w:val="1"/>
      <w:numFmt w:val="decimal"/>
      <w:lvlText w:val="%1.%2.%3."/>
      <w:lvlJc w:val="left"/>
      <w:pPr>
        <w:ind w:left="133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06D04E5"/>
    <w:multiLevelType w:val="multilevel"/>
    <w:tmpl w:val="006D04E5"/>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1FC39B"/>
    <w:multiLevelType w:val="singleLevel"/>
    <w:tmpl w:val="071FC39B"/>
    <w:lvl w:ilvl="0" w:tentative="0">
      <w:start w:val="1"/>
      <w:numFmt w:val="bullet"/>
      <w:lvlText w:val=""/>
      <w:lvlJc w:val="left"/>
      <w:pPr>
        <w:ind w:left="420" w:hanging="420"/>
      </w:pPr>
      <w:rPr>
        <w:rFonts w:hint="default" w:ascii="Wingdings" w:hAnsi="Wingdings"/>
      </w:rPr>
    </w:lvl>
  </w:abstractNum>
  <w:abstractNum w:abstractNumId="3">
    <w:nsid w:val="539C4960"/>
    <w:multiLevelType w:val="multilevel"/>
    <w:tmpl w:val="539C4960"/>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0390EF"/>
    <w:multiLevelType w:val="singleLevel"/>
    <w:tmpl w:val="6C0390EF"/>
    <w:lvl w:ilvl="0" w:tentative="0">
      <w:start w:val="1"/>
      <w:numFmt w:val="decimal"/>
      <w:suff w:val="nothing"/>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FkYzA1NWZiYzgyNDY3MDkzYTU5NDg2NmYyYWVkNGQifQ=="/>
  </w:docVars>
  <w:rsids>
    <w:rsidRoot w:val="005A3367"/>
    <w:rsid w:val="00005CE9"/>
    <w:rsid w:val="00031DB4"/>
    <w:rsid w:val="00035A1D"/>
    <w:rsid w:val="00046BEA"/>
    <w:rsid w:val="000525BC"/>
    <w:rsid w:val="000525E2"/>
    <w:rsid w:val="000753ED"/>
    <w:rsid w:val="00082C09"/>
    <w:rsid w:val="000869B0"/>
    <w:rsid w:val="00095BE6"/>
    <w:rsid w:val="000A013B"/>
    <w:rsid w:val="000A721F"/>
    <w:rsid w:val="000A74B1"/>
    <w:rsid w:val="000C1D1B"/>
    <w:rsid w:val="000D0030"/>
    <w:rsid w:val="000D4508"/>
    <w:rsid w:val="000D79FB"/>
    <w:rsid w:val="000E0F45"/>
    <w:rsid w:val="000E1A32"/>
    <w:rsid w:val="000E1A81"/>
    <w:rsid w:val="000E1E72"/>
    <w:rsid w:val="000E5DB0"/>
    <w:rsid w:val="000E618C"/>
    <w:rsid w:val="0010291C"/>
    <w:rsid w:val="001035FF"/>
    <w:rsid w:val="001062EC"/>
    <w:rsid w:val="00111F2E"/>
    <w:rsid w:val="00112BB4"/>
    <w:rsid w:val="001171EB"/>
    <w:rsid w:val="00144456"/>
    <w:rsid w:val="00145E30"/>
    <w:rsid w:val="00153694"/>
    <w:rsid w:val="00167F20"/>
    <w:rsid w:val="00177EB0"/>
    <w:rsid w:val="001846B2"/>
    <w:rsid w:val="00185179"/>
    <w:rsid w:val="0018616C"/>
    <w:rsid w:val="001879F5"/>
    <w:rsid w:val="001B0B73"/>
    <w:rsid w:val="001B5A27"/>
    <w:rsid w:val="001B5FC2"/>
    <w:rsid w:val="001B6370"/>
    <w:rsid w:val="001B7E92"/>
    <w:rsid w:val="001C2F72"/>
    <w:rsid w:val="001C5098"/>
    <w:rsid w:val="001D4C8A"/>
    <w:rsid w:val="001E7F3D"/>
    <w:rsid w:val="00201877"/>
    <w:rsid w:val="00205E34"/>
    <w:rsid w:val="002115E9"/>
    <w:rsid w:val="0021301C"/>
    <w:rsid w:val="00224AAA"/>
    <w:rsid w:val="00227228"/>
    <w:rsid w:val="00234C98"/>
    <w:rsid w:val="0023699F"/>
    <w:rsid w:val="002411F7"/>
    <w:rsid w:val="0024672F"/>
    <w:rsid w:val="0026586E"/>
    <w:rsid w:val="002744A8"/>
    <w:rsid w:val="00280383"/>
    <w:rsid w:val="002B1B5F"/>
    <w:rsid w:val="002C0F77"/>
    <w:rsid w:val="002E4E0B"/>
    <w:rsid w:val="00305D9A"/>
    <w:rsid w:val="00311DF9"/>
    <w:rsid w:val="00312288"/>
    <w:rsid w:val="00330039"/>
    <w:rsid w:val="00332944"/>
    <w:rsid w:val="003354FC"/>
    <w:rsid w:val="00336539"/>
    <w:rsid w:val="0033755B"/>
    <w:rsid w:val="00343D31"/>
    <w:rsid w:val="003570DC"/>
    <w:rsid w:val="003648E0"/>
    <w:rsid w:val="003654E1"/>
    <w:rsid w:val="00386A5B"/>
    <w:rsid w:val="00394E8D"/>
    <w:rsid w:val="003A248D"/>
    <w:rsid w:val="003A3EED"/>
    <w:rsid w:val="003B1C01"/>
    <w:rsid w:val="003B20DD"/>
    <w:rsid w:val="003B52D7"/>
    <w:rsid w:val="003D30EA"/>
    <w:rsid w:val="003D3564"/>
    <w:rsid w:val="003D6B26"/>
    <w:rsid w:val="003E29BE"/>
    <w:rsid w:val="003F11C5"/>
    <w:rsid w:val="003F5029"/>
    <w:rsid w:val="00406210"/>
    <w:rsid w:val="00407C44"/>
    <w:rsid w:val="00412DE5"/>
    <w:rsid w:val="00420E6A"/>
    <w:rsid w:val="004217E5"/>
    <w:rsid w:val="0044756B"/>
    <w:rsid w:val="00447580"/>
    <w:rsid w:val="004520EC"/>
    <w:rsid w:val="004524C2"/>
    <w:rsid w:val="00453A93"/>
    <w:rsid w:val="004668AE"/>
    <w:rsid w:val="004669ED"/>
    <w:rsid w:val="00466CAB"/>
    <w:rsid w:val="00485ED0"/>
    <w:rsid w:val="00486351"/>
    <w:rsid w:val="00492DE3"/>
    <w:rsid w:val="00496B2D"/>
    <w:rsid w:val="004A78A4"/>
    <w:rsid w:val="004B08F8"/>
    <w:rsid w:val="004B1819"/>
    <w:rsid w:val="004C79ED"/>
    <w:rsid w:val="004D6CB0"/>
    <w:rsid w:val="004F273F"/>
    <w:rsid w:val="004F66BD"/>
    <w:rsid w:val="005268CB"/>
    <w:rsid w:val="00570B99"/>
    <w:rsid w:val="00575BE2"/>
    <w:rsid w:val="00580BEE"/>
    <w:rsid w:val="00592892"/>
    <w:rsid w:val="00592DF4"/>
    <w:rsid w:val="005963BF"/>
    <w:rsid w:val="00596B4E"/>
    <w:rsid w:val="005A3367"/>
    <w:rsid w:val="005A3816"/>
    <w:rsid w:val="005A493F"/>
    <w:rsid w:val="005A7EFE"/>
    <w:rsid w:val="005D0E9B"/>
    <w:rsid w:val="005D3C08"/>
    <w:rsid w:val="005D4B71"/>
    <w:rsid w:val="005D7FCF"/>
    <w:rsid w:val="005E360A"/>
    <w:rsid w:val="005E42D5"/>
    <w:rsid w:val="005E7931"/>
    <w:rsid w:val="006062DA"/>
    <w:rsid w:val="00610630"/>
    <w:rsid w:val="00631F88"/>
    <w:rsid w:val="006339A1"/>
    <w:rsid w:val="00634314"/>
    <w:rsid w:val="00644CD5"/>
    <w:rsid w:val="00647608"/>
    <w:rsid w:val="006500AD"/>
    <w:rsid w:val="00650B89"/>
    <w:rsid w:val="0065177D"/>
    <w:rsid w:val="00662E76"/>
    <w:rsid w:val="00667ABE"/>
    <w:rsid w:val="0068289F"/>
    <w:rsid w:val="00691B67"/>
    <w:rsid w:val="00692072"/>
    <w:rsid w:val="006948DA"/>
    <w:rsid w:val="00695108"/>
    <w:rsid w:val="00696451"/>
    <w:rsid w:val="006B42D5"/>
    <w:rsid w:val="006C1FF5"/>
    <w:rsid w:val="006F16E0"/>
    <w:rsid w:val="006F3FAE"/>
    <w:rsid w:val="00707419"/>
    <w:rsid w:val="007105DF"/>
    <w:rsid w:val="00737816"/>
    <w:rsid w:val="0076272B"/>
    <w:rsid w:val="00765DD4"/>
    <w:rsid w:val="007728B3"/>
    <w:rsid w:val="007756C4"/>
    <w:rsid w:val="0078219B"/>
    <w:rsid w:val="00782E87"/>
    <w:rsid w:val="00785E7F"/>
    <w:rsid w:val="007D6192"/>
    <w:rsid w:val="007E4A35"/>
    <w:rsid w:val="007E7F79"/>
    <w:rsid w:val="007F6A01"/>
    <w:rsid w:val="0080086D"/>
    <w:rsid w:val="00807279"/>
    <w:rsid w:val="008126C2"/>
    <w:rsid w:val="00813D4C"/>
    <w:rsid w:val="008207E0"/>
    <w:rsid w:val="00851656"/>
    <w:rsid w:val="00851AD2"/>
    <w:rsid w:val="00851F14"/>
    <w:rsid w:val="0085204F"/>
    <w:rsid w:val="00856971"/>
    <w:rsid w:val="00856D9D"/>
    <w:rsid w:val="00863282"/>
    <w:rsid w:val="008635DC"/>
    <w:rsid w:val="00867B64"/>
    <w:rsid w:val="00871EFC"/>
    <w:rsid w:val="00881399"/>
    <w:rsid w:val="0088413D"/>
    <w:rsid w:val="008A046B"/>
    <w:rsid w:val="008C62C2"/>
    <w:rsid w:val="008D3FF6"/>
    <w:rsid w:val="008E0ABE"/>
    <w:rsid w:val="008E0CE5"/>
    <w:rsid w:val="008F1026"/>
    <w:rsid w:val="008F3F9F"/>
    <w:rsid w:val="008F744B"/>
    <w:rsid w:val="009179C9"/>
    <w:rsid w:val="00917D7F"/>
    <w:rsid w:val="00920750"/>
    <w:rsid w:val="00920CD5"/>
    <w:rsid w:val="009255FC"/>
    <w:rsid w:val="009256D7"/>
    <w:rsid w:val="009372D9"/>
    <w:rsid w:val="00940654"/>
    <w:rsid w:val="00941C3F"/>
    <w:rsid w:val="00942424"/>
    <w:rsid w:val="00962AFC"/>
    <w:rsid w:val="00972878"/>
    <w:rsid w:val="00985F35"/>
    <w:rsid w:val="00987F5D"/>
    <w:rsid w:val="009924B9"/>
    <w:rsid w:val="009A0DCA"/>
    <w:rsid w:val="009A5101"/>
    <w:rsid w:val="009C6018"/>
    <w:rsid w:val="009C603B"/>
    <w:rsid w:val="009D21DB"/>
    <w:rsid w:val="009D5947"/>
    <w:rsid w:val="009E44FE"/>
    <w:rsid w:val="00A03B4D"/>
    <w:rsid w:val="00A06246"/>
    <w:rsid w:val="00A114B3"/>
    <w:rsid w:val="00A20B7B"/>
    <w:rsid w:val="00A22234"/>
    <w:rsid w:val="00A37FDF"/>
    <w:rsid w:val="00A57E5E"/>
    <w:rsid w:val="00A60ED4"/>
    <w:rsid w:val="00A623C1"/>
    <w:rsid w:val="00A72FEB"/>
    <w:rsid w:val="00A93586"/>
    <w:rsid w:val="00AB7A5C"/>
    <w:rsid w:val="00AD66A8"/>
    <w:rsid w:val="00AD74AB"/>
    <w:rsid w:val="00AF7CAE"/>
    <w:rsid w:val="00B06784"/>
    <w:rsid w:val="00B07EEE"/>
    <w:rsid w:val="00B170EB"/>
    <w:rsid w:val="00B320A6"/>
    <w:rsid w:val="00B40A94"/>
    <w:rsid w:val="00B4540F"/>
    <w:rsid w:val="00B64E00"/>
    <w:rsid w:val="00B738F3"/>
    <w:rsid w:val="00B808E6"/>
    <w:rsid w:val="00B820A2"/>
    <w:rsid w:val="00B91210"/>
    <w:rsid w:val="00B959A7"/>
    <w:rsid w:val="00BB5727"/>
    <w:rsid w:val="00BC4316"/>
    <w:rsid w:val="00BC62DE"/>
    <w:rsid w:val="00BC7919"/>
    <w:rsid w:val="00BD4FC1"/>
    <w:rsid w:val="00BD5428"/>
    <w:rsid w:val="00BE21DF"/>
    <w:rsid w:val="00BE34BD"/>
    <w:rsid w:val="00C022BA"/>
    <w:rsid w:val="00C100D1"/>
    <w:rsid w:val="00C30EEF"/>
    <w:rsid w:val="00C3188F"/>
    <w:rsid w:val="00C363F0"/>
    <w:rsid w:val="00C41182"/>
    <w:rsid w:val="00C62FC7"/>
    <w:rsid w:val="00C63CB6"/>
    <w:rsid w:val="00C74603"/>
    <w:rsid w:val="00C74660"/>
    <w:rsid w:val="00C86A89"/>
    <w:rsid w:val="00C92AC8"/>
    <w:rsid w:val="00C93EB2"/>
    <w:rsid w:val="00CA7946"/>
    <w:rsid w:val="00CB2505"/>
    <w:rsid w:val="00CC1F98"/>
    <w:rsid w:val="00CC5437"/>
    <w:rsid w:val="00CC6E67"/>
    <w:rsid w:val="00CC7AD0"/>
    <w:rsid w:val="00CD354F"/>
    <w:rsid w:val="00CE28E5"/>
    <w:rsid w:val="00CF685A"/>
    <w:rsid w:val="00D1115F"/>
    <w:rsid w:val="00D13043"/>
    <w:rsid w:val="00D16A90"/>
    <w:rsid w:val="00D2667E"/>
    <w:rsid w:val="00D447EB"/>
    <w:rsid w:val="00D45323"/>
    <w:rsid w:val="00D55641"/>
    <w:rsid w:val="00D70A09"/>
    <w:rsid w:val="00D77A24"/>
    <w:rsid w:val="00D826C1"/>
    <w:rsid w:val="00D8610C"/>
    <w:rsid w:val="00D94452"/>
    <w:rsid w:val="00DB1210"/>
    <w:rsid w:val="00DC6158"/>
    <w:rsid w:val="00DF7F32"/>
    <w:rsid w:val="00E00F72"/>
    <w:rsid w:val="00E20AEA"/>
    <w:rsid w:val="00E22F31"/>
    <w:rsid w:val="00E32CA0"/>
    <w:rsid w:val="00E34768"/>
    <w:rsid w:val="00E3626B"/>
    <w:rsid w:val="00E36B48"/>
    <w:rsid w:val="00E47678"/>
    <w:rsid w:val="00E51020"/>
    <w:rsid w:val="00E53A5C"/>
    <w:rsid w:val="00E63B45"/>
    <w:rsid w:val="00E641FE"/>
    <w:rsid w:val="00E65151"/>
    <w:rsid w:val="00E85471"/>
    <w:rsid w:val="00E90205"/>
    <w:rsid w:val="00E90DC1"/>
    <w:rsid w:val="00E93EF2"/>
    <w:rsid w:val="00E9459B"/>
    <w:rsid w:val="00EA63BB"/>
    <w:rsid w:val="00EB1989"/>
    <w:rsid w:val="00EB7438"/>
    <w:rsid w:val="00EC3E5C"/>
    <w:rsid w:val="00ED3CA6"/>
    <w:rsid w:val="00ED40CC"/>
    <w:rsid w:val="00F12CE2"/>
    <w:rsid w:val="00F13BAD"/>
    <w:rsid w:val="00F1777A"/>
    <w:rsid w:val="00F27228"/>
    <w:rsid w:val="00F329EA"/>
    <w:rsid w:val="00F57C8C"/>
    <w:rsid w:val="00F62AE3"/>
    <w:rsid w:val="00F65AD8"/>
    <w:rsid w:val="00F670FA"/>
    <w:rsid w:val="00F76F43"/>
    <w:rsid w:val="00F83430"/>
    <w:rsid w:val="00F87145"/>
    <w:rsid w:val="00F90B0E"/>
    <w:rsid w:val="00F94B42"/>
    <w:rsid w:val="00F97FAE"/>
    <w:rsid w:val="00FA3FB1"/>
    <w:rsid w:val="00FA75AB"/>
    <w:rsid w:val="00FB614A"/>
    <w:rsid w:val="00FC3179"/>
    <w:rsid w:val="00FC682C"/>
    <w:rsid w:val="00FE5399"/>
    <w:rsid w:val="00FF1303"/>
    <w:rsid w:val="00FF213C"/>
    <w:rsid w:val="010A478A"/>
    <w:rsid w:val="012375FA"/>
    <w:rsid w:val="01253372"/>
    <w:rsid w:val="012A2737"/>
    <w:rsid w:val="01556D4A"/>
    <w:rsid w:val="017B5D08"/>
    <w:rsid w:val="019D55FE"/>
    <w:rsid w:val="019F5E71"/>
    <w:rsid w:val="01A00C4B"/>
    <w:rsid w:val="01B34E40"/>
    <w:rsid w:val="01C42C56"/>
    <w:rsid w:val="01C91962"/>
    <w:rsid w:val="01DD1BFD"/>
    <w:rsid w:val="01E06295"/>
    <w:rsid w:val="01F176F8"/>
    <w:rsid w:val="01F500B2"/>
    <w:rsid w:val="022B0E5C"/>
    <w:rsid w:val="022F40C5"/>
    <w:rsid w:val="023C10CC"/>
    <w:rsid w:val="02972802"/>
    <w:rsid w:val="029D76B3"/>
    <w:rsid w:val="02A91D81"/>
    <w:rsid w:val="02AA3DB4"/>
    <w:rsid w:val="02EA593D"/>
    <w:rsid w:val="02F63A01"/>
    <w:rsid w:val="03080E34"/>
    <w:rsid w:val="03323773"/>
    <w:rsid w:val="033F620D"/>
    <w:rsid w:val="0340561E"/>
    <w:rsid w:val="034827CA"/>
    <w:rsid w:val="0367513A"/>
    <w:rsid w:val="03760A36"/>
    <w:rsid w:val="03F76198"/>
    <w:rsid w:val="040354C1"/>
    <w:rsid w:val="04131BA8"/>
    <w:rsid w:val="041B448A"/>
    <w:rsid w:val="042604BB"/>
    <w:rsid w:val="04387855"/>
    <w:rsid w:val="04415962"/>
    <w:rsid w:val="04546A62"/>
    <w:rsid w:val="045D75E1"/>
    <w:rsid w:val="045F34AD"/>
    <w:rsid w:val="04791258"/>
    <w:rsid w:val="048D0C1E"/>
    <w:rsid w:val="049D275A"/>
    <w:rsid w:val="04BC6779"/>
    <w:rsid w:val="04E56B88"/>
    <w:rsid w:val="04E946B7"/>
    <w:rsid w:val="05194E6A"/>
    <w:rsid w:val="052B5551"/>
    <w:rsid w:val="054B5371"/>
    <w:rsid w:val="056662EA"/>
    <w:rsid w:val="05757591"/>
    <w:rsid w:val="05E535CA"/>
    <w:rsid w:val="06294BCD"/>
    <w:rsid w:val="063645BC"/>
    <w:rsid w:val="063D332A"/>
    <w:rsid w:val="064E36F5"/>
    <w:rsid w:val="06620F57"/>
    <w:rsid w:val="06930569"/>
    <w:rsid w:val="06D10CBB"/>
    <w:rsid w:val="06D118A6"/>
    <w:rsid w:val="06DA3575"/>
    <w:rsid w:val="06DE2EF8"/>
    <w:rsid w:val="06FB11B2"/>
    <w:rsid w:val="070155A5"/>
    <w:rsid w:val="070311CD"/>
    <w:rsid w:val="070E4ECD"/>
    <w:rsid w:val="073E5403"/>
    <w:rsid w:val="07B34928"/>
    <w:rsid w:val="07CA6527"/>
    <w:rsid w:val="08003803"/>
    <w:rsid w:val="08234384"/>
    <w:rsid w:val="082C341C"/>
    <w:rsid w:val="083B3AFD"/>
    <w:rsid w:val="08595740"/>
    <w:rsid w:val="086F75C9"/>
    <w:rsid w:val="08772CBF"/>
    <w:rsid w:val="08893F75"/>
    <w:rsid w:val="08A35166"/>
    <w:rsid w:val="08AE5CF4"/>
    <w:rsid w:val="08E87645"/>
    <w:rsid w:val="08F13866"/>
    <w:rsid w:val="090F6121"/>
    <w:rsid w:val="09371E95"/>
    <w:rsid w:val="09575033"/>
    <w:rsid w:val="098C370B"/>
    <w:rsid w:val="09CA7F4C"/>
    <w:rsid w:val="09D02B66"/>
    <w:rsid w:val="09D261B9"/>
    <w:rsid w:val="0A1E5CFB"/>
    <w:rsid w:val="0A237FE3"/>
    <w:rsid w:val="0A2472B4"/>
    <w:rsid w:val="0A4505E1"/>
    <w:rsid w:val="0A5C5144"/>
    <w:rsid w:val="0A5C7D4D"/>
    <w:rsid w:val="0A864510"/>
    <w:rsid w:val="0AA90116"/>
    <w:rsid w:val="0B196B42"/>
    <w:rsid w:val="0B424802"/>
    <w:rsid w:val="0B971310"/>
    <w:rsid w:val="0BA31623"/>
    <w:rsid w:val="0C1E033B"/>
    <w:rsid w:val="0C5F0738"/>
    <w:rsid w:val="0C8C0CE0"/>
    <w:rsid w:val="0C9D4705"/>
    <w:rsid w:val="0CBE5B5F"/>
    <w:rsid w:val="0CD520E1"/>
    <w:rsid w:val="0CFC381C"/>
    <w:rsid w:val="0D103166"/>
    <w:rsid w:val="0D444B80"/>
    <w:rsid w:val="0D4903E8"/>
    <w:rsid w:val="0D5E7D23"/>
    <w:rsid w:val="0D9B60C2"/>
    <w:rsid w:val="0D9C10BE"/>
    <w:rsid w:val="0DB07FDE"/>
    <w:rsid w:val="0DCE10D7"/>
    <w:rsid w:val="0E0453D8"/>
    <w:rsid w:val="0E0F1632"/>
    <w:rsid w:val="0E133F54"/>
    <w:rsid w:val="0E154AE3"/>
    <w:rsid w:val="0E6D04BE"/>
    <w:rsid w:val="0E9346FD"/>
    <w:rsid w:val="0EA766C8"/>
    <w:rsid w:val="0EAE203B"/>
    <w:rsid w:val="0EB50F32"/>
    <w:rsid w:val="0ED618C0"/>
    <w:rsid w:val="0ED9579C"/>
    <w:rsid w:val="0EDB1287"/>
    <w:rsid w:val="0EEA4460"/>
    <w:rsid w:val="0EEC220F"/>
    <w:rsid w:val="0EF141A6"/>
    <w:rsid w:val="0F004C00"/>
    <w:rsid w:val="0F095988"/>
    <w:rsid w:val="0F0C791F"/>
    <w:rsid w:val="0F2302A2"/>
    <w:rsid w:val="0F3A3A29"/>
    <w:rsid w:val="0F537BFA"/>
    <w:rsid w:val="0F845358"/>
    <w:rsid w:val="0F8B2F3A"/>
    <w:rsid w:val="0FAD1102"/>
    <w:rsid w:val="0FCD17DE"/>
    <w:rsid w:val="0FD050E4"/>
    <w:rsid w:val="0FD94C74"/>
    <w:rsid w:val="0FE437A9"/>
    <w:rsid w:val="100C7232"/>
    <w:rsid w:val="103D136C"/>
    <w:rsid w:val="10526B06"/>
    <w:rsid w:val="106F3F1A"/>
    <w:rsid w:val="10BB784F"/>
    <w:rsid w:val="10DE353E"/>
    <w:rsid w:val="1124363F"/>
    <w:rsid w:val="11625F1D"/>
    <w:rsid w:val="1186475E"/>
    <w:rsid w:val="119D335C"/>
    <w:rsid w:val="120606BD"/>
    <w:rsid w:val="12116731"/>
    <w:rsid w:val="12184BB4"/>
    <w:rsid w:val="12444DB4"/>
    <w:rsid w:val="125531FF"/>
    <w:rsid w:val="12641308"/>
    <w:rsid w:val="126A5698"/>
    <w:rsid w:val="12876024"/>
    <w:rsid w:val="128E48FC"/>
    <w:rsid w:val="132310B1"/>
    <w:rsid w:val="1330163D"/>
    <w:rsid w:val="1396721B"/>
    <w:rsid w:val="13BB206E"/>
    <w:rsid w:val="13CB7BC1"/>
    <w:rsid w:val="13D61501"/>
    <w:rsid w:val="13E528D3"/>
    <w:rsid w:val="1422494A"/>
    <w:rsid w:val="142E4F3E"/>
    <w:rsid w:val="1449490E"/>
    <w:rsid w:val="145A7860"/>
    <w:rsid w:val="145F6B7F"/>
    <w:rsid w:val="146C06B5"/>
    <w:rsid w:val="14843F3C"/>
    <w:rsid w:val="14AC4823"/>
    <w:rsid w:val="14EB30D6"/>
    <w:rsid w:val="153B62BF"/>
    <w:rsid w:val="154911AA"/>
    <w:rsid w:val="155D221B"/>
    <w:rsid w:val="156372FE"/>
    <w:rsid w:val="15771F23"/>
    <w:rsid w:val="15792F47"/>
    <w:rsid w:val="15817A49"/>
    <w:rsid w:val="15830CAC"/>
    <w:rsid w:val="159C69D1"/>
    <w:rsid w:val="15C776E6"/>
    <w:rsid w:val="15CA22E2"/>
    <w:rsid w:val="15E545D0"/>
    <w:rsid w:val="15F8460C"/>
    <w:rsid w:val="162B0C43"/>
    <w:rsid w:val="163C2325"/>
    <w:rsid w:val="16640041"/>
    <w:rsid w:val="16D55E44"/>
    <w:rsid w:val="17562080"/>
    <w:rsid w:val="176319A2"/>
    <w:rsid w:val="17742506"/>
    <w:rsid w:val="178E60A4"/>
    <w:rsid w:val="17A65E8C"/>
    <w:rsid w:val="17CF063A"/>
    <w:rsid w:val="17E56F60"/>
    <w:rsid w:val="17FE2E46"/>
    <w:rsid w:val="181E3EC5"/>
    <w:rsid w:val="183D1A26"/>
    <w:rsid w:val="18433BE6"/>
    <w:rsid w:val="18512847"/>
    <w:rsid w:val="185A7C04"/>
    <w:rsid w:val="186706C1"/>
    <w:rsid w:val="18817428"/>
    <w:rsid w:val="18C806E4"/>
    <w:rsid w:val="18F54E12"/>
    <w:rsid w:val="190E4E8A"/>
    <w:rsid w:val="19293BB9"/>
    <w:rsid w:val="193C50BE"/>
    <w:rsid w:val="197B3EB5"/>
    <w:rsid w:val="19A42ACC"/>
    <w:rsid w:val="19C73C6E"/>
    <w:rsid w:val="19CC3151"/>
    <w:rsid w:val="19E85593"/>
    <w:rsid w:val="1A1D3248"/>
    <w:rsid w:val="1A6B7EC6"/>
    <w:rsid w:val="1A6F1609"/>
    <w:rsid w:val="1A8C705E"/>
    <w:rsid w:val="1A9E5057"/>
    <w:rsid w:val="1A9F64BD"/>
    <w:rsid w:val="1AB21997"/>
    <w:rsid w:val="1ABB51F4"/>
    <w:rsid w:val="1ACA308E"/>
    <w:rsid w:val="1AD54066"/>
    <w:rsid w:val="1AF96C9B"/>
    <w:rsid w:val="1B0342CC"/>
    <w:rsid w:val="1B19589E"/>
    <w:rsid w:val="1B2D7734"/>
    <w:rsid w:val="1B300E3A"/>
    <w:rsid w:val="1B3E5305"/>
    <w:rsid w:val="1B3F2003"/>
    <w:rsid w:val="1B4651C4"/>
    <w:rsid w:val="1B4C1699"/>
    <w:rsid w:val="1B6B30DB"/>
    <w:rsid w:val="1BAB2E06"/>
    <w:rsid w:val="1BBB3798"/>
    <w:rsid w:val="1C1B2640"/>
    <w:rsid w:val="1C20266D"/>
    <w:rsid w:val="1C2F68A9"/>
    <w:rsid w:val="1C395ACC"/>
    <w:rsid w:val="1C3B1844"/>
    <w:rsid w:val="1C78658A"/>
    <w:rsid w:val="1CB03FE0"/>
    <w:rsid w:val="1CB17D58"/>
    <w:rsid w:val="1CB43D70"/>
    <w:rsid w:val="1CEE2D5A"/>
    <w:rsid w:val="1D1542FE"/>
    <w:rsid w:val="1D1C3400"/>
    <w:rsid w:val="1D383A92"/>
    <w:rsid w:val="1D5726AE"/>
    <w:rsid w:val="1D891688"/>
    <w:rsid w:val="1D9D423B"/>
    <w:rsid w:val="1DA079AE"/>
    <w:rsid w:val="1DA13929"/>
    <w:rsid w:val="1DD2442A"/>
    <w:rsid w:val="1DDB32DF"/>
    <w:rsid w:val="1DDC04DA"/>
    <w:rsid w:val="1DFC48F9"/>
    <w:rsid w:val="1E11223C"/>
    <w:rsid w:val="1E1232B1"/>
    <w:rsid w:val="1E66499E"/>
    <w:rsid w:val="1E6D7560"/>
    <w:rsid w:val="1EA442D4"/>
    <w:rsid w:val="1EAB0F03"/>
    <w:rsid w:val="1EBA1BF2"/>
    <w:rsid w:val="1ECA6EAF"/>
    <w:rsid w:val="1ECC4267"/>
    <w:rsid w:val="1ED36C59"/>
    <w:rsid w:val="1EE3287A"/>
    <w:rsid w:val="1EEE7840"/>
    <w:rsid w:val="1F016D75"/>
    <w:rsid w:val="1F136351"/>
    <w:rsid w:val="1F2D0DF5"/>
    <w:rsid w:val="1F41772F"/>
    <w:rsid w:val="1F431B02"/>
    <w:rsid w:val="1F4B1238"/>
    <w:rsid w:val="1F5D306F"/>
    <w:rsid w:val="1F782DB1"/>
    <w:rsid w:val="1F8B663F"/>
    <w:rsid w:val="1F98711D"/>
    <w:rsid w:val="1FBD64C2"/>
    <w:rsid w:val="1FF91BBB"/>
    <w:rsid w:val="201D6D50"/>
    <w:rsid w:val="2029274E"/>
    <w:rsid w:val="20564B39"/>
    <w:rsid w:val="206F41B2"/>
    <w:rsid w:val="209D57BC"/>
    <w:rsid w:val="20B971DB"/>
    <w:rsid w:val="20BE19FE"/>
    <w:rsid w:val="20D41B6B"/>
    <w:rsid w:val="211014F1"/>
    <w:rsid w:val="21125C71"/>
    <w:rsid w:val="213845A4"/>
    <w:rsid w:val="214513E7"/>
    <w:rsid w:val="215354C7"/>
    <w:rsid w:val="21674E89"/>
    <w:rsid w:val="218D51E0"/>
    <w:rsid w:val="21983FFE"/>
    <w:rsid w:val="21A7104E"/>
    <w:rsid w:val="21B979E0"/>
    <w:rsid w:val="21BB3D74"/>
    <w:rsid w:val="21BE7F86"/>
    <w:rsid w:val="21C32301"/>
    <w:rsid w:val="21D81965"/>
    <w:rsid w:val="21E31E0F"/>
    <w:rsid w:val="221271E1"/>
    <w:rsid w:val="221C204D"/>
    <w:rsid w:val="222764E9"/>
    <w:rsid w:val="22305469"/>
    <w:rsid w:val="225B6F83"/>
    <w:rsid w:val="225D758E"/>
    <w:rsid w:val="22602004"/>
    <w:rsid w:val="22732290"/>
    <w:rsid w:val="227E2DB6"/>
    <w:rsid w:val="22871A6B"/>
    <w:rsid w:val="22AA7FB4"/>
    <w:rsid w:val="22B01A03"/>
    <w:rsid w:val="22CC769A"/>
    <w:rsid w:val="23057BF5"/>
    <w:rsid w:val="2345309D"/>
    <w:rsid w:val="23543A0C"/>
    <w:rsid w:val="23586F64"/>
    <w:rsid w:val="23A77F90"/>
    <w:rsid w:val="23B0227A"/>
    <w:rsid w:val="23EE50C5"/>
    <w:rsid w:val="23F54407"/>
    <w:rsid w:val="242B6642"/>
    <w:rsid w:val="242F7EE0"/>
    <w:rsid w:val="247D6030"/>
    <w:rsid w:val="249A09F2"/>
    <w:rsid w:val="24BA40E2"/>
    <w:rsid w:val="24C85545"/>
    <w:rsid w:val="24F62531"/>
    <w:rsid w:val="24FB1A11"/>
    <w:rsid w:val="25096BE0"/>
    <w:rsid w:val="251E2843"/>
    <w:rsid w:val="256A38F5"/>
    <w:rsid w:val="25825149"/>
    <w:rsid w:val="25D16D75"/>
    <w:rsid w:val="25FE1F57"/>
    <w:rsid w:val="265754CC"/>
    <w:rsid w:val="26595082"/>
    <w:rsid w:val="266B71CA"/>
    <w:rsid w:val="267913F1"/>
    <w:rsid w:val="267A4692"/>
    <w:rsid w:val="268B22A0"/>
    <w:rsid w:val="269D01DE"/>
    <w:rsid w:val="26BF58F3"/>
    <w:rsid w:val="26C40B98"/>
    <w:rsid w:val="26E060BA"/>
    <w:rsid w:val="26E66850"/>
    <w:rsid w:val="26F7280B"/>
    <w:rsid w:val="270E2B42"/>
    <w:rsid w:val="271213BB"/>
    <w:rsid w:val="272E0134"/>
    <w:rsid w:val="273D7068"/>
    <w:rsid w:val="27805D1B"/>
    <w:rsid w:val="27866A79"/>
    <w:rsid w:val="27973CA3"/>
    <w:rsid w:val="27A54402"/>
    <w:rsid w:val="27B17780"/>
    <w:rsid w:val="27CF1AAE"/>
    <w:rsid w:val="27D90D77"/>
    <w:rsid w:val="28196A78"/>
    <w:rsid w:val="283C58EA"/>
    <w:rsid w:val="28752192"/>
    <w:rsid w:val="2888779C"/>
    <w:rsid w:val="28A85B75"/>
    <w:rsid w:val="28B10357"/>
    <w:rsid w:val="292B1BB7"/>
    <w:rsid w:val="29341F3B"/>
    <w:rsid w:val="294A1D6C"/>
    <w:rsid w:val="294C32E2"/>
    <w:rsid w:val="294F2FF6"/>
    <w:rsid w:val="29657F00"/>
    <w:rsid w:val="296A6E3A"/>
    <w:rsid w:val="29925FC3"/>
    <w:rsid w:val="299D7B98"/>
    <w:rsid w:val="29B019A3"/>
    <w:rsid w:val="29C44853"/>
    <w:rsid w:val="29E21042"/>
    <w:rsid w:val="2A0D71A7"/>
    <w:rsid w:val="2A152982"/>
    <w:rsid w:val="2A4E4E38"/>
    <w:rsid w:val="2A513110"/>
    <w:rsid w:val="2A5C57A7"/>
    <w:rsid w:val="2A5D37D9"/>
    <w:rsid w:val="2A865621"/>
    <w:rsid w:val="2A9C1B06"/>
    <w:rsid w:val="2ABD5DC6"/>
    <w:rsid w:val="2AD3618F"/>
    <w:rsid w:val="2AE67C41"/>
    <w:rsid w:val="2B015CB2"/>
    <w:rsid w:val="2B0757B3"/>
    <w:rsid w:val="2B1740AF"/>
    <w:rsid w:val="2B3B5959"/>
    <w:rsid w:val="2B550504"/>
    <w:rsid w:val="2BB313F7"/>
    <w:rsid w:val="2BBF4F62"/>
    <w:rsid w:val="2BF11F1F"/>
    <w:rsid w:val="2C22032B"/>
    <w:rsid w:val="2C2C3005"/>
    <w:rsid w:val="2C5C17C3"/>
    <w:rsid w:val="2C6721E1"/>
    <w:rsid w:val="2C6B0486"/>
    <w:rsid w:val="2C6B3A80"/>
    <w:rsid w:val="2C7C3AA3"/>
    <w:rsid w:val="2C82696E"/>
    <w:rsid w:val="2CAD6364"/>
    <w:rsid w:val="2CB26202"/>
    <w:rsid w:val="2CD823E1"/>
    <w:rsid w:val="2CDA76F2"/>
    <w:rsid w:val="2CF4169A"/>
    <w:rsid w:val="2D393CB8"/>
    <w:rsid w:val="2D553597"/>
    <w:rsid w:val="2D957A25"/>
    <w:rsid w:val="2DA95AB9"/>
    <w:rsid w:val="2DAC7408"/>
    <w:rsid w:val="2DD83397"/>
    <w:rsid w:val="2DE24215"/>
    <w:rsid w:val="2DF07A50"/>
    <w:rsid w:val="2DFD45F9"/>
    <w:rsid w:val="2E317A9C"/>
    <w:rsid w:val="2E3D64AF"/>
    <w:rsid w:val="2E3F0794"/>
    <w:rsid w:val="2E65697A"/>
    <w:rsid w:val="2E6C1FBB"/>
    <w:rsid w:val="2E6E7857"/>
    <w:rsid w:val="2E7D632B"/>
    <w:rsid w:val="2EA331CB"/>
    <w:rsid w:val="2EB909A1"/>
    <w:rsid w:val="2EC22A49"/>
    <w:rsid w:val="2F0103F3"/>
    <w:rsid w:val="2F0B3997"/>
    <w:rsid w:val="2F1B2275"/>
    <w:rsid w:val="2F203D67"/>
    <w:rsid w:val="2F585B93"/>
    <w:rsid w:val="2F5F0297"/>
    <w:rsid w:val="2F672A78"/>
    <w:rsid w:val="2F691310"/>
    <w:rsid w:val="2F6F784F"/>
    <w:rsid w:val="2F887245"/>
    <w:rsid w:val="2F9A72B7"/>
    <w:rsid w:val="2FC245B1"/>
    <w:rsid w:val="2FD76DB8"/>
    <w:rsid w:val="2FD86E9B"/>
    <w:rsid w:val="2FDE3073"/>
    <w:rsid w:val="2FE4361B"/>
    <w:rsid w:val="301073B4"/>
    <w:rsid w:val="301727FF"/>
    <w:rsid w:val="30224BF3"/>
    <w:rsid w:val="302A6DFA"/>
    <w:rsid w:val="305C37E8"/>
    <w:rsid w:val="307D0B86"/>
    <w:rsid w:val="309F1F4A"/>
    <w:rsid w:val="30C45B1C"/>
    <w:rsid w:val="30CE5797"/>
    <w:rsid w:val="30DE0B7D"/>
    <w:rsid w:val="30E65DCB"/>
    <w:rsid w:val="30FD3114"/>
    <w:rsid w:val="311D14CF"/>
    <w:rsid w:val="311E1E0C"/>
    <w:rsid w:val="312004C0"/>
    <w:rsid w:val="31321010"/>
    <w:rsid w:val="316750CF"/>
    <w:rsid w:val="31937418"/>
    <w:rsid w:val="319712EE"/>
    <w:rsid w:val="3198430E"/>
    <w:rsid w:val="319D593E"/>
    <w:rsid w:val="31C65F1D"/>
    <w:rsid w:val="31D83052"/>
    <w:rsid w:val="32180AC6"/>
    <w:rsid w:val="32947CB2"/>
    <w:rsid w:val="32A61E4B"/>
    <w:rsid w:val="32AA29C1"/>
    <w:rsid w:val="32B555C0"/>
    <w:rsid w:val="32B67A1F"/>
    <w:rsid w:val="32D7220B"/>
    <w:rsid w:val="32F74D0D"/>
    <w:rsid w:val="331035D3"/>
    <w:rsid w:val="33185FE3"/>
    <w:rsid w:val="332D2A48"/>
    <w:rsid w:val="335C6818"/>
    <w:rsid w:val="336A7C6B"/>
    <w:rsid w:val="337A712F"/>
    <w:rsid w:val="338552F2"/>
    <w:rsid w:val="3392223A"/>
    <w:rsid w:val="339A2E9C"/>
    <w:rsid w:val="33D26389"/>
    <w:rsid w:val="33DA6D31"/>
    <w:rsid w:val="34631A1E"/>
    <w:rsid w:val="34694A53"/>
    <w:rsid w:val="346D717B"/>
    <w:rsid w:val="34B00BC9"/>
    <w:rsid w:val="34B62689"/>
    <w:rsid w:val="34D00032"/>
    <w:rsid w:val="34ED399D"/>
    <w:rsid w:val="34FD7B87"/>
    <w:rsid w:val="357C1B20"/>
    <w:rsid w:val="35C24C2B"/>
    <w:rsid w:val="35DB759D"/>
    <w:rsid w:val="35E0728C"/>
    <w:rsid w:val="35E55CD5"/>
    <w:rsid w:val="363438C0"/>
    <w:rsid w:val="363C0481"/>
    <w:rsid w:val="363C160C"/>
    <w:rsid w:val="364110CE"/>
    <w:rsid w:val="367B5207"/>
    <w:rsid w:val="36857E34"/>
    <w:rsid w:val="369B3F1D"/>
    <w:rsid w:val="36A96CF4"/>
    <w:rsid w:val="36B00BA0"/>
    <w:rsid w:val="36CF3D1D"/>
    <w:rsid w:val="36EB6463"/>
    <w:rsid w:val="36F67B06"/>
    <w:rsid w:val="370F40D0"/>
    <w:rsid w:val="371F3DE4"/>
    <w:rsid w:val="3727713D"/>
    <w:rsid w:val="372D65D2"/>
    <w:rsid w:val="37705F82"/>
    <w:rsid w:val="37783C57"/>
    <w:rsid w:val="378E00E2"/>
    <w:rsid w:val="37923D04"/>
    <w:rsid w:val="37AA64C4"/>
    <w:rsid w:val="37B564F7"/>
    <w:rsid w:val="37EB3CC7"/>
    <w:rsid w:val="380C4DE9"/>
    <w:rsid w:val="381C5970"/>
    <w:rsid w:val="383A044D"/>
    <w:rsid w:val="38472A69"/>
    <w:rsid w:val="384C1152"/>
    <w:rsid w:val="38591CCC"/>
    <w:rsid w:val="3885236D"/>
    <w:rsid w:val="388E59D6"/>
    <w:rsid w:val="389F5473"/>
    <w:rsid w:val="38B07BBA"/>
    <w:rsid w:val="38B40D05"/>
    <w:rsid w:val="38DD19B9"/>
    <w:rsid w:val="3932147E"/>
    <w:rsid w:val="394D3EB9"/>
    <w:rsid w:val="3984502D"/>
    <w:rsid w:val="398C5743"/>
    <w:rsid w:val="39E23CCE"/>
    <w:rsid w:val="39E76066"/>
    <w:rsid w:val="39F52602"/>
    <w:rsid w:val="3A351B95"/>
    <w:rsid w:val="3A6E7C98"/>
    <w:rsid w:val="3A7A38D4"/>
    <w:rsid w:val="3A867C97"/>
    <w:rsid w:val="3A9028D6"/>
    <w:rsid w:val="3A9314AB"/>
    <w:rsid w:val="3AE570F3"/>
    <w:rsid w:val="3AF21641"/>
    <w:rsid w:val="3B033A5B"/>
    <w:rsid w:val="3B106E55"/>
    <w:rsid w:val="3B17642A"/>
    <w:rsid w:val="3B444534"/>
    <w:rsid w:val="3B467CD8"/>
    <w:rsid w:val="3B8620A7"/>
    <w:rsid w:val="3B903503"/>
    <w:rsid w:val="3B9C1EA7"/>
    <w:rsid w:val="3BA5615D"/>
    <w:rsid w:val="3BAB4DEE"/>
    <w:rsid w:val="3BBB1CFC"/>
    <w:rsid w:val="3BC96C69"/>
    <w:rsid w:val="3BDB10B8"/>
    <w:rsid w:val="3BE84FF1"/>
    <w:rsid w:val="3BFC3F88"/>
    <w:rsid w:val="3C126D84"/>
    <w:rsid w:val="3C2D2B00"/>
    <w:rsid w:val="3C362D74"/>
    <w:rsid w:val="3C3E4DED"/>
    <w:rsid w:val="3C4A3258"/>
    <w:rsid w:val="3C5520C6"/>
    <w:rsid w:val="3C562EA1"/>
    <w:rsid w:val="3C601127"/>
    <w:rsid w:val="3C634773"/>
    <w:rsid w:val="3C7921E9"/>
    <w:rsid w:val="3C800E65"/>
    <w:rsid w:val="3CAE2723"/>
    <w:rsid w:val="3CC1149A"/>
    <w:rsid w:val="3D11620D"/>
    <w:rsid w:val="3D1C29F9"/>
    <w:rsid w:val="3DAB101D"/>
    <w:rsid w:val="3E0B16A3"/>
    <w:rsid w:val="3E0B5512"/>
    <w:rsid w:val="3E190987"/>
    <w:rsid w:val="3E29379B"/>
    <w:rsid w:val="3E35780E"/>
    <w:rsid w:val="3E4C176B"/>
    <w:rsid w:val="3E7E466D"/>
    <w:rsid w:val="3EAD71CC"/>
    <w:rsid w:val="3ECE79AC"/>
    <w:rsid w:val="3EF70024"/>
    <w:rsid w:val="3F2F3033"/>
    <w:rsid w:val="3F4A7DCA"/>
    <w:rsid w:val="3F5E38D1"/>
    <w:rsid w:val="3F620FE1"/>
    <w:rsid w:val="3F694B62"/>
    <w:rsid w:val="3F6D607F"/>
    <w:rsid w:val="3F79605C"/>
    <w:rsid w:val="3F7A4198"/>
    <w:rsid w:val="3F80563C"/>
    <w:rsid w:val="3F984622"/>
    <w:rsid w:val="3F9A7745"/>
    <w:rsid w:val="3FCF1AD3"/>
    <w:rsid w:val="3FF552BF"/>
    <w:rsid w:val="4028679F"/>
    <w:rsid w:val="40463FD3"/>
    <w:rsid w:val="408456FE"/>
    <w:rsid w:val="409A0980"/>
    <w:rsid w:val="409D04C1"/>
    <w:rsid w:val="40A55AD3"/>
    <w:rsid w:val="40CC1CCB"/>
    <w:rsid w:val="40FA76FE"/>
    <w:rsid w:val="411A6E44"/>
    <w:rsid w:val="41405083"/>
    <w:rsid w:val="415C35DC"/>
    <w:rsid w:val="41944408"/>
    <w:rsid w:val="419B22AA"/>
    <w:rsid w:val="41A60E26"/>
    <w:rsid w:val="420F4F1D"/>
    <w:rsid w:val="422B0E91"/>
    <w:rsid w:val="42B20202"/>
    <w:rsid w:val="42B415DB"/>
    <w:rsid w:val="42D54AC1"/>
    <w:rsid w:val="42EA1242"/>
    <w:rsid w:val="42EA2200"/>
    <w:rsid w:val="431C38CE"/>
    <w:rsid w:val="432B3B11"/>
    <w:rsid w:val="433F136A"/>
    <w:rsid w:val="4366567C"/>
    <w:rsid w:val="437D08B0"/>
    <w:rsid w:val="437D28A4"/>
    <w:rsid w:val="43BB30E7"/>
    <w:rsid w:val="43F612C7"/>
    <w:rsid w:val="43F64467"/>
    <w:rsid w:val="44172F68"/>
    <w:rsid w:val="44432087"/>
    <w:rsid w:val="445769C9"/>
    <w:rsid w:val="448817CD"/>
    <w:rsid w:val="45037F24"/>
    <w:rsid w:val="45100DD9"/>
    <w:rsid w:val="45277888"/>
    <w:rsid w:val="452B5A6E"/>
    <w:rsid w:val="4549299B"/>
    <w:rsid w:val="45676AEB"/>
    <w:rsid w:val="456D21BF"/>
    <w:rsid w:val="459B5914"/>
    <w:rsid w:val="45B62449"/>
    <w:rsid w:val="45EB3B3F"/>
    <w:rsid w:val="45FD0C5C"/>
    <w:rsid w:val="46082348"/>
    <w:rsid w:val="46232BDA"/>
    <w:rsid w:val="462361DA"/>
    <w:rsid w:val="464F1A25"/>
    <w:rsid w:val="46606294"/>
    <w:rsid w:val="46663F20"/>
    <w:rsid w:val="467852BF"/>
    <w:rsid w:val="467A0A8A"/>
    <w:rsid w:val="46881E0E"/>
    <w:rsid w:val="4689788D"/>
    <w:rsid w:val="46AC6F3E"/>
    <w:rsid w:val="46D648B7"/>
    <w:rsid w:val="46DB307D"/>
    <w:rsid w:val="46E82445"/>
    <w:rsid w:val="474545FE"/>
    <w:rsid w:val="474653BD"/>
    <w:rsid w:val="47543B8C"/>
    <w:rsid w:val="478758D4"/>
    <w:rsid w:val="479A3013"/>
    <w:rsid w:val="47AA646C"/>
    <w:rsid w:val="47AF0179"/>
    <w:rsid w:val="47EB386F"/>
    <w:rsid w:val="47F032FC"/>
    <w:rsid w:val="47F81B94"/>
    <w:rsid w:val="47FF0510"/>
    <w:rsid w:val="482C010F"/>
    <w:rsid w:val="48517B76"/>
    <w:rsid w:val="487B2A53"/>
    <w:rsid w:val="48A759E8"/>
    <w:rsid w:val="48A874B9"/>
    <w:rsid w:val="48B704BD"/>
    <w:rsid w:val="49083583"/>
    <w:rsid w:val="490E5A67"/>
    <w:rsid w:val="491E3EBC"/>
    <w:rsid w:val="49327E49"/>
    <w:rsid w:val="493D5857"/>
    <w:rsid w:val="49500B46"/>
    <w:rsid w:val="495518E8"/>
    <w:rsid w:val="4980056A"/>
    <w:rsid w:val="499F0F5B"/>
    <w:rsid w:val="49AD4193"/>
    <w:rsid w:val="49CF2305"/>
    <w:rsid w:val="4AA163EB"/>
    <w:rsid w:val="4AA25A23"/>
    <w:rsid w:val="4AA91C97"/>
    <w:rsid w:val="4ABD0DEA"/>
    <w:rsid w:val="4ACE3B6D"/>
    <w:rsid w:val="4AFC32AF"/>
    <w:rsid w:val="4AFC5FED"/>
    <w:rsid w:val="4B052E99"/>
    <w:rsid w:val="4B3223A6"/>
    <w:rsid w:val="4B6202EC"/>
    <w:rsid w:val="4B756271"/>
    <w:rsid w:val="4B9F6E4A"/>
    <w:rsid w:val="4BBE19C6"/>
    <w:rsid w:val="4C39729F"/>
    <w:rsid w:val="4C626614"/>
    <w:rsid w:val="4C7327B1"/>
    <w:rsid w:val="4C832831"/>
    <w:rsid w:val="4C8C1CA1"/>
    <w:rsid w:val="4C9D00C0"/>
    <w:rsid w:val="4CE21AE5"/>
    <w:rsid w:val="4CF17B79"/>
    <w:rsid w:val="4CF575DE"/>
    <w:rsid w:val="4D205169"/>
    <w:rsid w:val="4D471D29"/>
    <w:rsid w:val="4D727423"/>
    <w:rsid w:val="4D7B508F"/>
    <w:rsid w:val="4D8713A7"/>
    <w:rsid w:val="4DAF428E"/>
    <w:rsid w:val="4DB12E65"/>
    <w:rsid w:val="4E011D8D"/>
    <w:rsid w:val="4E2E44B5"/>
    <w:rsid w:val="4E44253D"/>
    <w:rsid w:val="4E5457F3"/>
    <w:rsid w:val="4EA12ED9"/>
    <w:rsid w:val="4ED257B9"/>
    <w:rsid w:val="4ED614E3"/>
    <w:rsid w:val="4EE06D52"/>
    <w:rsid w:val="4EE07EA5"/>
    <w:rsid w:val="4EEC627F"/>
    <w:rsid w:val="4F1709B0"/>
    <w:rsid w:val="4F2C6C47"/>
    <w:rsid w:val="4F3312F2"/>
    <w:rsid w:val="4F575281"/>
    <w:rsid w:val="4F5A061D"/>
    <w:rsid w:val="4F6C2140"/>
    <w:rsid w:val="4F8E5B53"/>
    <w:rsid w:val="4FA05452"/>
    <w:rsid w:val="4FA14178"/>
    <w:rsid w:val="4FE87534"/>
    <w:rsid w:val="50305133"/>
    <w:rsid w:val="50370B6F"/>
    <w:rsid w:val="50416347"/>
    <w:rsid w:val="50515CB2"/>
    <w:rsid w:val="50595DB0"/>
    <w:rsid w:val="50615CDB"/>
    <w:rsid w:val="50901D24"/>
    <w:rsid w:val="50991FF7"/>
    <w:rsid w:val="50C7766B"/>
    <w:rsid w:val="50CF3D2E"/>
    <w:rsid w:val="50E67424"/>
    <w:rsid w:val="50E821EF"/>
    <w:rsid w:val="51164B7A"/>
    <w:rsid w:val="513821F0"/>
    <w:rsid w:val="513C13C1"/>
    <w:rsid w:val="51523CFC"/>
    <w:rsid w:val="51621046"/>
    <w:rsid w:val="516F2CD4"/>
    <w:rsid w:val="51703763"/>
    <w:rsid w:val="51754720"/>
    <w:rsid w:val="51795E28"/>
    <w:rsid w:val="517C7091"/>
    <w:rsid w:val="518965D2"/>
    <w:rsid w:val="51954F77"/>
    <w:rsid w:val="519921EE"/>
    <w:rsid w:val="51C572B1"/>
    <w:rsid w:val="51E36D18"/>
    <w:rsid w:val="51E65569"/>
    <w:rsid w:val="5219254C"/>
    <w:rsid w:val="525E1122"/>
    <w:rsid w:val="52742334"/>
    <w:rsid w:val="52764FD4"/>
    <w:rsid w:val="52C04276"/>
    <w:rsid w:val="52C81DFE"/>
    <w:rsid w:val="530064C0"/>
    <w:rsid w:val="530E73DE"/>
    <w:rsid w:val="53337CE7"/>
    <w:rsid w:val="533573F7"/>
    <w:rsid w:val="53680475"/>
    <w:rsid w:val="537868FE"/>
    <w:rsid w:val="53830C1D"/>
    <w:rsid w:val="538C0A80"/>
    <w:rsid w:val="53951437"/>
    <w:rsid w:val="53F46602"/>
    <w:rsid w:val="54895937"/>
    <w:rsid w:val="54A33041"/>
    <w:rsid w:val="54AA7E38"/>
    <w:rsid w:val="54AD588C"/>
    <w:rsid w:val="54B5164D"/>
    <w:rsid w:val="5502314C"/>
    <w:rsid w:val="55460301"/>
    <w:rsid w:val="5560312B"/>
    <w:rsid w:val="5578146D"/>
    <w:rsid w:val="5579695E"/>
    <w:rsid w:val="55912EEF"/>
    <w:rsid w:val="559A48F8"/>
    <w:rsid w:val="55A1776B"/>
    <w:rsid w:val="55A21B63"/>
    <w:rsid w:val="55CA76DF"/>
    <w:rsid w:val="55D83ABF"/>
    <w:rsid w:val="55DD300E"/>
    <w:rsid w:val="55DE4E84"/>
    <w:rsid w:val="55FA3B3C"/>
    <w:rsid w:val="56073903"/>
    <w:rsid w:val="561843C9"/>
    <w:rsid w:val="563A2FF6"/>
    <w:rsid w:val="56723A90"/>
    <w:rsid w:val="56746161"/>
    <w:rsid w:val="56A038BB"/>
    <w:rsid w:val="56B93357"/>
    <w:rsid w:val="56BB0B2C"/>
    <w:rsid w:val="56C25555"/>
    <w:rsid w:val="56FE73DF"/>
    <w:rsid w:val="570404A9"/>
    <w:rsid w:val="571D103A"/>
    <w:rsid w:val="572A567D"/>
    <w:rsid w:val="574511ED"/>
    <w:rsid w:val="576C0E39"/>
    <w:rsid w:val="579D4F40"/>
    <w:rsid w:val="57B137F2"/>
    <w:rsid w:val="57E6725A"/>
    <w:rsid w:val="57F31111"/>
    <w:rsid w:val="580365A8"/>
    <w:rsid w:val="58084920"/>
    <w:rsid w:val="58356586"/>
    <w:rsid w:val="58570FE7"/>
    <w:rsid w:val="585A2A77"/>
    <w:rsid w:val="58920462"/>
    <w:rsid w:val="589B1EEA"/>
    <w:rsid w:val="58DC348C"/>
    <w:rsid w:val="59293F59"/>
    <w:rsid w:val="592D2908"/>
    <w:rsid w:val="59640B8D"/>
    <w:rsid w:val="59725525"/>
    <w:rsid w:val="5979517E"/>
    <w:rsid w:val="597B51C6"/>
    <w:rsid w:val="59843C2A"/>
    <w:rsid w:val="59965C05"/>
    <w:rsid w:val="59B245CE"/>
    <w:rsid w:val="59E9604F"/>
    <w:rsid w:val="59ED54C4"/>
    <w:rsid w:val="5A0F0BAA"/>
    <w:rsid w:val="5A3553C4"/>
    <w:rsid w:val="5A533610"/>
    <w:rsid w:val="5A687F8A"/>
    <w:rsid w:val="5AB06B20"/>
    <w:rsid w:val="5AC32448"/>
    <w:rsid w:val="5ADE3D44"/>
    <w:rsid w:val="5AF54CD9"/>
    <w:rsid w:val="5AFE3C4F"/>
    <w:rsid w:val="5B2F6047"/>
    <w:rsid w:val="5B5E4B23"/>
    <w:rsid w:val="5B652803"/>
    <w:rsid w:val="5B8F7F10"/>
    <w:rsid w:val="5BBC75A4"/>
    <w:rsid w:val="5BE1322E"/>
    <w:rsid w:val="5BFF3179"/>
    <w:rsid w:val="5C0E5A9F"/>
    <w:rsid w:val="5C194E9C"/>
    <w:rsid w:val="5C3055B1"/>
    <w:rsid w:val="5C9B65BB"/>
    <w:rsid w:val="5CB248FC"/>
    <w:rsid w:val="5CB46EEC"/>
    <w:rsid w:val="5CCB556C"/>
    <w:rsid w:val="5CFD24E5"/>
    <w:rsid w:val="5CFD6C01"/>
    <w:rsid w:val="5D1503BD"/>
    <w:rsid w:val="5D6166D5"/>
    <w:rsid w:val="5D6B1E34"/>
    <w:rsid w:val="5D887EBE"/>
    <w:rsid w:val="5D970259"/>
    <w:rsid w:val="5DA55E38"/>
    <w:rsid w:val="5DFD0106"/>
    <w:rsid w:val="5E0218F5"/>
    <w:rsid w:val="5E334388"/>
    <w:rsid w:val="5E43364D"/>
    <w:rsid w:val="5E544448"/>
    <w:rsid w:val="5E551EED"/>
    <w:rsid w:val="5E5D1650"/>
    <w:rsid w:val="5E89241C"/>
    <w:rsid w:val="5E8F0FA0"/>
    <w:rsid w:val="5E9F7435"/>
    <w:rsid w:val="5EC719D0"/>
    <w:rsid w:val="5EF53676"/>
    <w:rsid w:val="5F2624A3"/>
    <w:rsid w:val="5F4678B1"/>
    <w:rsid w:val="5F4A7DF6"/>
    <w:rsid w:val="5F4E60B1"/>
    <w:rsid w:val="5F625123"/>
    <w:rsid w:val="5F6D26AA"/>
    <w:rsid w:val="5F914E71"/>
    <w:rsid w:val="5FC41DC0"/>
    <w:rsid w:val="5FC553F9"/>
    <w:rsid w:val="5FF06467"/>
    <w:rsid w:val="5FF217E7"/>
    <w:rsid w:val="602E462A"/>
    <w:rsid w:val="603E5A45"/>
    <w:rsid w:val="60495070"/>
    <w:rsid w:val="60681777"/>
    <w:rsid w:val="60706E1E"/>
    <w:rsid w:val="60941F7B"/>
    <w:rsid w:val="609D4491"/>
    <w:rsid w:val="60AC408B"/>
    <w:rsid w:val="60C87BF3"/>
    <w:rsid w:val="60CB76B5"/>
    <w:rsid w:val="60F0394C"/>
    <w:rsid w:val="60F77823"/>
    <w:rsid w:val="610B1D06"/>
    <w:rsid w:val="611649F0"/>
    <w:rsid w:val="61650BBC"/>
    <w:rsid w:val="6183303E"/>
    <w:rsid w:val="61B11FBC"/>
    <w:rsid w:val="61EA6B68"/>
    <w:rsid w:val="6207087E"/>
    <w:rsid w:val="62233F15"/>
    <w:rsid w:val="622B5BBC"/>
    <w:rsid w:val="622D6B06"/>
    <w:rsid w:val="62422B90"/>
    <w:rsid w:val="626E795B"/>
    <w:rsid w:val="62C27B96"/>
    <w:rsid w:val="62C531E2"/>
    <w:rsid w:val="62CC2FC7"/>
    <w:rsid w:val="62DA1BE4"/>
    <w:rsid w:val="62FC3E2E"/>
    <w:rsid w:val="63141A74"/>
    <w:rsid w:val="63402A67"/>
    <w:rsid w:val="63422717"/>
    <w:rsid w:val="635E0E4C"/>
    <w:rsid w:val="63675358"/>
    <w:rsid w:val="638359C7"/>
    <w:rsid w:val="63B84AF5"/>
    <w:rsid w:val="63BE4821"/>
    <w:rsid w:val="640D4E41"/>
    <w:rsid w:val="64274FE8"/>
    <w:rsid w:val="644C3695"/>
    <w:rsid w:val="6462526F"/>
    <w:rsid w:val="6489519A"/>
    <w:rsid w:val="64EF2799"/>
    <w:rsid w:val="64F669AC"/>
    <w:rsid w:val="64FB3595"/>
    <w:rsid w:val="65444892"/>
    <w:rsid w:val="657C5397"/>
    <w:rsid w:val="6593322E"/>
    <w:rsid w:val="65953411"/>
    <w:rsid w:val="65AA0267"/>
    <w:rsid w:val="65B01318"/>
    <w:rsid w:val="65B71508"/>
    <w:rsid w:val="65BE70AD"/>
    <w:rsid w:val="65D14B6F"/>
    <w:rsid w:val="65EC0A86"/>
    <w:rsid w:val="65FC444E"/>
    <w:rsid w:val="65FD2C93"/>
    <w:rsid w:val="661A06AB"/>
    <w:rsid w:val="662D1802"/>
    <w:rsid w:val="662D482C"/>
    <w:rsid w:val="667260F4"/>
    <w:rsid w:val="66B37446"/>
    <w:rsid w:val="670B521C"/>
    <w:rsid w:val="671A4284"/>
    <w:rsid w:val="67220C03"/>
    <w:rsid w:val="67863290"/>
    <w:rsid w:val="67B44DDC"/>
    <w:rsid w:val="67B921B3"/>
    <w:rsid w:val="67CF2BB2"/>
    <w:rsid w:val="67EE478C"/>
    <w:rsid w:val="68210EBB"/>
    <w:rsid w:val="686B3233"/>
    <w:rsid w:val="6877711B"/>
    <w:rsid w:val="687E5D56"/>
    <w:rsid w:val="688D38DD"/>
    <w:rsid w:val="68957B5C"/>
    <w:rsid w:val="689601A7"/>
    <w:rsid w:val="68AE0451"/>
    <w:rsid w:val="68BB3CAC"/>
    <w:rsid w:val="68C50C96"/>
    <w:rsid w:val="68C53EFE"/>
    <w:rsid w:val="68C84601"/>
    <w:rsid w:val="68D73BA9"/>
    <w:rsid w:val="68DA7486"/>
    <w:rsid w:val="68E6748C"/>
    <w:rsid w:val="69476BAF"/>
    <w:rsid w:val="69A7564E"/>
    <w:rsid w:val="69C223B9"/>
    <w:rsid w:val="69C61A13"/>
    <w:rsid w:val="69C64E5B"/>
    <w:rsid w:val="69E403F2"/>
    <w:rsid w:val="69E77EE2"/>
    <w:rsid w:val="69FF5CB2"/>
    <w:rsid w:val="6A1E4A98"/>
    <w:rsid w:val="6A264606"/>
    <w:rsid w:val="6A326C4F"/>
    <w:rsid w:val="6A3672A7"/>
    <w:rsid w:val="6A3E46AD"/>
    <w:rsid w:val="6A5A6906"/>
    <w:rsid w:val="6A6164A3"/>
    <w:rsid w:val="6AAB7162"/>
    <w:rsid w:val="6AD14E1A"/>
    <w:rsid w:val="6AFC58F8"/>
    <w:rsid w:val="6B301415"/>
    <w:rsid w:val="6B376C47"/>
    <w:rsid w:val="6B4C7159"/>
    <w:rsid w:val="6B542D63"/>
    <w:rsid w:val="6B6A054F"/>
    <w:rsid w:val="6B8A6A7E"/>
    <w:rsid w:val="6B9570A0"/>
    <w:rsid w:val="6BB57D73"/>
    <w:rsid w:val="6BDA676B"/>
    <w:rsid w:val="6BEA3CBA"/>
    <w:rsid w:val="6C1D408F"/>
    <w:rsid w:val="6C1E2F60"/>
    <w:rsid w:val="6C236756"/>
    <w:rsid w:val="6C3552E1"/>
    <w:rsid w:val="6C621785"/>
    <w:rsid w:val="6C6608C4"/>
    <w:rsid w:val="6C6F3DED"/>
    <w:rsid w:val="6C741839"/>
    <w:rsid w:val="6C8F44B2"/>
    <w:rsid w:val="6C9110D6"/>
    <w:rsid w:val="6C9350F9"/>
    <w:rsid w:val="6CAB7FCD"/>
    <w:rsid w:val="6CC11783"/>
    <w:rsid w:val="6CD51EF9"/>
    <w:rsid w:val="6D03720A"/>
    <w:rsid w:val="6D227B25"/>
    <w:rsid w:val="6D324D57"/>
    <w:rsid w:val="6D491053"/>
    <w:rsid w:val="6D6506E3"/>
    <w:rsid w:val="6D7602AF"/>
    <w:rsid w:val="6DF45E76"/>
    <w:rsid w:val="6DFE127F"/>
    <w:rsid w:val="6EA00B16"/>
    <w:rsid w:val="6EB81E4D"/>
    <w:rsid w:val="6EF30FAE"/>
    <w:rsid w:val="6F0C493C"/>
    <w:rsid w:val="6F100FFA"/>
    <w:rsid w:val="6F240D41"/>
    <w:rsid w:val="6F576E3B"/>
    <w:rsid w:val="6F6F4C26"/>
    <w:rsid w:val="6FA84C02"/>
    <w:rsid w:val="6FAE4007"/>
    <w:rsid w:val="6FB940CF"/>
    <w:rsid w:val="6FC63A96"/>
    <w:rsid w:val="6FD46846"/>
    <w:rsid w:val="6FE54EC4"/>
    <w:rsid w:val="700235A3"/>
    <w:rsid w:val="701234F1"/>
    <w:rsid w:val="704A3650"/>
    <w:rsid w:val="70530F00"/>
    <w:rsid w:val="706C3127"/>
    <w:rsid w:val="706D1692"/>
    <w:rsid w:val="70800596"/>
    <w:rsid w:val="708104E7"/>
    <w:rsid w:val="708A3179"/>
    <w:rsid w:val="708C74A2"/>
    <w:rsid w:val="70CC118C"/>
    <w:rsid w:val="70CD6084"/>
    <w:rsid w:val="70E62CA2"/>
    <w:rsid w:val="7107775A"/>
    <w:rsid w:val="71093CFF"/>
    <w:rsid w:val="713175D4"/>
    <w:rsid w:val="713A458E"/>
    <w:rsid w:val="713C5583"/>
    <w:rsid w:val="71505649"/>
    <w:rsid w:val="717C1858"/>
    <w:rsid w:val="71A86ADC"/>
    <w:rsid w:val="722C7C94"/>
    <w:rsid w:val="724B6DAC"/>
    <w:rsid w:val="724F0D0B"/>
    <w:rsid w:val="727C2435"/>
    <w:rsid w:val="727D44C8"/>
    <w:rsid w:val="728915D2"/>
    <w:rsid w:val="72B13CCE"/>
    <w:rsid w:val="72D80D10"/>
    <w:rsid w:val="72E70F53"/>
    <w:rsid w:val="72E824FD"/>
    <w:rsid w:val="72F474C9"/>
    <w:rsid w:val="73095683"/>
    <w:rsid w:val="731C6A61"/>
    <w:rsid w:val="73230C80"/>
    <w:rsid w:val="73277640"/>
    <w:rsid w:val="734D2C1D"/>
    <w:rsid w:val="7354059A"/>
    <w:rsid w:val="738B4F63"/>
    <w:rsid w:val="73A72697"/>
    <w:rsid w:val="73AA7A16"/>
    <w:rsid w:val="73BD0EE9"/>
    <w:rsid w:val="73CE33D9"/>
    <w:rsid w:val="73D44A75"/>
    <w:rsid w:val="73E536E4"/>
    <w:rsid w:val="73E6013E"/>
    <w:rsid w:val="73EB6107"/>
    <w:rsid w:val="740A6D83"/>
    <w:rsid w:val="74364910"/>
    <w:rsid w:val="743B50B2"/>
    <w:rsid w:val="74427380"/>
    <w:rsid w:val="746B0CA1"/>
    <w:rsid w:val="746F0487"/>
    <w:rsid w:val="749A65CD"/>
    <w:rsid w:val="74A528D9"/>
    <w:rsid w:val="74E117DE"/>
    <w:rsid w:val="74F67705"/>
    <w:rsid w:val="74F83749"/>
    <w:rsid w:val="750859E5"/>
    <w:rsid w:val="75192707"/>
    <w:rsid w:val="75647EFD"/>
    <w:rsid w:val="76077E5C"/>
    <w:rsid w:val="762249A2"/>
    <w:rsid w:val="762A2B0E"/>
    <w:rsid w:val="767568B3"/>
    <w:rsid w:val="767F6ED7"/>
    <w:rsid w:val="76B63E39"/>
    <w:rsid w:val="76D313ED"/>
    <w:rsid w:val="76FF1D05"/>
    <w:rsid w:val="77077F72"/>
    <w:rsid w:val="7712707C"/>
    <w:rsid w:val="77281FD0"/>
    <w:rsid w:val="77387FCF"/>
    <w:rsid w:val="775F34D3"/>
    <w:rsid w:val="7768190C"/>
    <w:rsid w:val="77724A3D"/>
    <w:rsid w:val="77D6782D"/>
    <w:rsid w:val="780410CF"/>
    <w:rsid w:val="780659D7"/>
    <w:rsid w:val="781A62B6"/>
    <w:rsid w:val="784B762C"/>
    <w:rsid w:val="787577C7"/>
    <w:rsid w:val="788E7539"/>
    <w:rsid w:val="78981800"/>
    <w:rsid w:val="789A2A59"/>
    <w:rsid w:val="78BE7037"/>
    <w:rsid w:val="78CC3AE1"/>
    <w:rsid w:val="79135516"/>
    <w:rsid w:val="791F7753"/>
    <w:rsid w:val="79992211"/>
    <w:rsid w:val="79B01290"/>
    <w:rsid w:val="79C8790C"/>
    <w:rsid w:val="79EF62EF"/>
    <w:rsid w:val="7A245D2C"/>
    <w:rsid w:val="7A390A35"/>
    <w:rsid w:val="7A574C10"/>
    <w:rsid w:val="7A6B14F5"/>
    <w:rsid w:val="7A9A3AF1"/>
    <w:rsid w:val="7AB54ABB"/>
    <w:rsid w:val="7ABB4A45"/>
    <w:rsid w:val="7AC85910"/>
    <w:rsid w:val="7AD54D19"/>
    <w:rsid w:val="7B0A144A"/>
    <w:rsid w:val="7B116B6D"/>
    <w:rsid w:val="7B18614D"/>
    <w:rsid w:val="7B253341"/>
    <w:rsid w:val="7B2A09FA"/>
    <w:rsid w:val="7B41146F"/>
    <w:rsid w:val="7B5C2547"/>
    <w:rsid w:val="7B6B2277"/>
    <w:rsid w:val="7B7D6765"/>
    <w:rsid w:val="7B852963"/>
    <w:rsid w:val="7BA25FA7"/>
    <w:rsid w:val="7BB1435B"/>
    <w:rsid w:val="7BBF0CBF"/>
    <w:rsid w:val="7BE03A0C"/>
    <w:rsid w:val="7BE10C35"/>
    <w:rsid w:val="7BE147F2"/>
    <w:rsid w:val="7BE67FFA"/>
    <w:rsid w:val="7C453C8F"/>
    <w:rsid w:val="7C4766D8"/>
    <w:rsid w:val="7C6B6051"/>
    <w:rsid w:val="7C7F1E5D"/>
    <w:rsid w:val="7C812119"/>
    <w:rsid w:val="7C9105C4"/>
    <w:rsid w:val="7C956B95"/>
    <w:rsid w:val="7D203CE8"/>
    <w:rsid w:val="7D242F2D"/>
    <w:rsid w:val="7D310948"/>
    <w:rsid w:val="7D5D5595"/>
    <w:rsid w:val="7D8A2998"/>
    <w:rsid w:val="7D8C3FA5"/>
    <w:rsid w:val="7DBD562E"/>
    <w:rsid w:val="7DCD5E4E"/>
    <w:rsid w:val="7DD70589"/>
    <w:rsid w:val="7DEB28A6"/>
    <w:rsid w:val="7DEE48AF"/>
    <w:rsid w:val="7E055E8B"/>
    <w:rsid w:val="7E057E74"/>
    <w:rsid w:val="7E220893"/>
    <w:rsid w:val="7E241568"/>
    <w:rsid w:val="7E4436FD"/>
    <w:rsid w:val="7E4B1609"/>
    <w:rsid w:val="7E4C20DC"/>
    <w:rsid w:val="7E5D031B"/>
    <w:rsid w:val="7E8B6C36"/>
    <w:rsid w:val="7E9276DB"/>
    <w:rsid w:val="7E9814A9"/>
    <w:rsid w:val="7EA40534"/>
    <w:rsid w:val="7EA45F4A"/>
    <w:rsid w:val="7EAF6DC9"/>
    <w:rsid w:val="7EC64112"/>
    <w:rsid w:val="7ECE5EB7"/>
    <w:rsid w:val="7EE36A72"/>
    <w:rsid w:val="7F055E39"/>
    <w:rsid w:val="7F2C0419"/>
    <w:rsid w:val="7F6D3D13"/>
    <w:rsid w:val="7F7334F9"/>
    <w:rsid w:val="7F844B00"/>
    <w:rsid w:val="7FBA5A25"/>
    <w:rsid w:val="7FBE43E0"/>
    <w:rsid w:val="7FE07CA6"/>
    <w:rsid w:val="7FFB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48"/>
    <w:unhideWhenUsed/>
    <w:qFormat/>
    <w:uiPriority w:val="9"/>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Indent 2"/>
    <w:basedOn w:val="1"/>
    <w:unhideWhenUsed/>
    <w:qFormat/>
    <w:uiPriority w:val="99"/>
    <w:pPr>
      <w:ind w:firstLine="630"/>
    </w:pPr>
    <w:rPr>
      <w:b/>
      <w:sz w:val="32"/>
    </w:rPr>
  </w:style>
  <w:style w:type="paragraph" w:styleId="8">
    <w:name w:val="annotation text"/>
    <w:basedOn w:val="1"/>
    <w:link w:val="50"/>
    <w:semiHidden/>
    <w:unhideWhenUsed/>
    <w:qFormat/>
    <w:uiPriority w:val="99"/>
    <w:pPr>
      <w:jc w:val="left"/>
    </w:pPr>
  </w:style>
  <w:style w:type="paragraph" w:styleId="9">
    <w:name w:val="Body Text"/>
    <w:basedOn w:val="1"/>
    <w:semiHidden/>
    <w:unhideWhenUsed/>
    <w:qFormat/>
    <w:uiPriority w:val="99"/>
    <w:pPr>
      <w:spacing w:after="120"/>
    </w:pPr>
  </w:style>
  <w:style w:type="paragraph" w:styleId="10">
    <w:name w:val="toc 3"/>
    <w:basedOn w:val="1"/>
    <w:next w:val="1"/>
    <w:unhideWhenUsed/>
    <w:qFormat/>
    <w:uiPriority w:val="39"/>
    <w:pPr>
      <w:widowControl/>
      <w:spacing w:after="100" w:line="259" w:lineRule="auto"/>
      <w:ind w:left="440"/>
      <w:jc w:val="left"/>
    </w:pPr>
    <w:rPr>
      <w:rFonts w:cs="Times New Roman"/>
      <w:kern w:val="0"/>
      <w:sz w:val="22"/>
    </w:rPr>
  </w:style>
  <w:style w:type="paragraph" w:styleId="11">
    <w:name w:val="Balloon Text"/>
    <w:basedOn w:val="1"/>
    <w:link w:val="33"/>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cs="Times New Roman"/>
      <w:kern w:val="0"/>
      <w:sz w:val="22"/>
    </w:rPr>
  </w:style>
  <w:style w:type="paragraph" w:styleId="15">
    <w:name w:val="footnote text"/>
    <w:basedOn w:val="1"/>
    <w:qFormat/>
    <w:uiPriority w:val="0"/>
    <w:pPr>
      <w:snapToGrid w:val="0"/>
      <w:jc w:val="left"/>
    </w:pPr>
    <w:rPr>
      <w:sz w:val="18"/>
    </w:rPr>
  </w:style>
  <w:style w:type="paragraph" w:styleId="16">
    <w:name w:val="toc 2"/>
    <w:basedOn w:val="1"/>
    <w:next w:val="1"/>
    <w:unhideWhenUsed/>
    <w:qFormat/>
    <w:uiPriority w:val="39"/>
    <w:pPr>
      <w:widowControl/>
      <w:spacing w:after="100" w:line="259" w:lineRule="auto"/>
      <w:ind w:left="220"/>
      <w:jc w:val="left"/>
    </w:pPr>
    <w:rPr>
      <w:rFonts w:cs="Times New Roman"/>
      <w:kern w:val="0"/>
      <w:sz w:val="22"/>
    </w:rPr>
  </w:style>
  <w:style w:type="paragraph" w:styleId="17">
    <w:name w:val="Normal (Web)"/>
    <w:basedOn w:val="1"/>
    <w:semiHidden/>
    <w:unhideWhenUsed/>
    <w:qFormat/>
    <w:uiPriority w:val="99"/>
    <w:pPr>
      <w:spacing w:beforeAutospacing="1" w:afterAutospacing="1"/>
      <w:jc w:val="left"/>
    </w:pPr>
    <w:rPr>
      <w:rFonts w:cs="Times New Roman"/>
      <w:kern w:val="0"/>
      <w:sz w:val="24"/>
    </w:rPr>
  </w:style>
  <w:style w:type="paragraph" w:styleId="18">
    <w:name w:val="annotation subject"/>
    <w:basedOn w:val="8"/>
    <w:next w:val="8"/>
    <w:link w:val="51"/>
    <w:semiHidden/>
    <w:unhideWhenUsed/>
    <w:qFormat/>
    <w:uiPriority w:val="99"/>
    <w:rPr>
      <w:b/>
      <w:bCs/>
    </w:rPr>
  </w:style>
  <w:style w:type="paragraph" w:styleId="19">
    <w:name w:val="Body Text First Indent"/>
    <w:basedOn w:val="9"/>
    <w:unhideWhenUsed/>
    <w:qFormat/>
    <w:uiPriority w:val="99"/>
    <w:pPr>
      <w:ind w:firstLine="420" w:firstLineChars="1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styleId="25">
    <w:name w:val="annotation reference"/>
    <w:basedOn w:val="22"/>
    <w:semiHidden/>
    <w:unhideWhenUsed/>
    <w:qFormat/>
    <w:uiPriority w:val="99"/>
    <w:rPr>
      <w:sz w:val="21"/>
      <w:szCs w:val="21"/>
    </w:rPr>
  </w:style>
  <w:style w:type="character" w:styleId="26">
    <w:name w:val="footnote reference"/>
    <w:basedOn w:val="22"/>
    <w:qFormat/>
    <w:uiPriority w:val="0"/>
    <w:rPr>
      <w:vertAlign w:val="superscript"/>
    </w:rPr>
  </w:style>
  <w:style w:type="character" w:customStyle="1" w:styleId="27">
    <w:name w:val="页眉 字符"/>
    <w:basedOn w:val="22"/>
    <w:link w:val="13"/>
    <w:qFormat/>
    <w:uiPriority w:val="99"/>
    <w:rPr>
      <w:sz w:val="18"/>
      <w:szCs w:val="18"/>
    </w:rPr>
  </w:style>
  <w:style w:type="character" w:customStyle="1" w:styleId="28">
    <w:name w:val="页脚 字符"/>
    <w:basedOn w:val="22"/>
    <w:link w:val="12"/>
    <w:qFormat/>
    <w:uiPriority w:val="99"/>
    <w:rPr>
      <w:sz w:val="18"/>
      <w:szCs w:val="18"/>
    </w:rPr>
  </w:style>
  <w:style w:type="paragraph" w:styleId="29">
    <w:name w:val="List Paragraph"/>
    <w:basedOn w:val="1"/>
    <w:qFormat/>
    <w:uiPriority w:val="34"/>
    <w:pPr>
      <w:ind w:firstLine="420" w:firstLineChars="200"/>
    </w:pPr>
    <w:rPr>
      <w:rFonts w:ascii="Calibri" w:hAnsi="Calibri" w:eastAsia="宋体" w:cs="Times New Roman"/>
      <w:szCs w:val="24"/>
    </w:rPr>
  </w:style>
  <w:style w:type="character" w:customStyle="1" w:styleId="30">
    <w:name w:val="标题 1 字符"/>
    <w:basedOn w:val="22"/>
    <w:link w:val="5"/>
    <w:qFormat/>
    <w:uiPriority w:val="9"/>
    <w:rPr>
      <w:b/>
      <w:bCs/>
      <w:kern w:val="44"/>
      <w:sz w:val="44"/>
      <w:szCs w:val="44"/>
    </w:rPr>
  </w:style>
  <w:style w:type="character" w:customStyle="1" w:styleId="31">
    <w:name w:val="标题 2 字符"/>
    <w:basedOn w:val="22"/>
    <w:link w:val="6"/>
    <w:qFormat/>
    <w:uiPriority w:val="9"/>
    <w:rPr>
      <w:rFonts w:asciiTheme="majorHAnsi" w:hAnsiTheme="majorHAnsi" w:eastAsiaTheme="majorEastAsia" w:cstheme="majorBidi"/>
      <w:b/>
      <w:bCs/>
      <w:sz w:val="32"/>
      <w:szCs w:val="32"/>
    </w:rPr>
  </w:style>
  <w:style w:type="paragraph" w:customStyle="1" w:styleId="32">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3">
    <w:name w:val="批注框文本 字符"/>
    <w:basedOn w:val="22"/>
    <w:link w:val="11"/>
    <w:semiHidden/>
    <w:qFormat/>
    <w:uiPriority w:val="99"/>
    <w:rPr>
      <w:sz w:val="18"/>
      <w:szCs w:val="18"/>
    </w:rPr>
  </w:style>
  <w:style w:type="paragraph" w:customStyle="1" w:styleId="34">
    <w:name w:val="Heading #6|1"/>
    <w:basedOn w:val="1"/>
    <w:qFormat/>
    <w:uiPriority w:val="0"/>
    <w:pPr>
      <w:outlineLvl w:val="5"/>
    </w:pPr>
    <w:rPr>
      <w:rFonts w:ascii="宋体" w:hAnsi="宋体" w:eastAsia="宋体" w:cs="宋体"/>
      <w:color w:val="5FAA75"/>
      <w:sz w:val="20"/>
      <w:szCs w:val="20"/>
      <w:lang w:val="zh-TW" w:eastAsia="zh-TW" w:bidi="zh-TW"/>
    </w:rPr>
  </w:style>
  <w:style w:type="paragraph" w:customStyle="1" w:styleId="35">
    <w:name w:val="Body text|1"/>
    <w:basedOn w:val="1"/>
    <w:qFormat/>
    <w:uiPriority w:val="0"/>
    <w:pPr>
      <w:spacing w:line="430" w:lineRule="auto"/>
    </w:pPr>
    <w:rPr>
      <w:rFonts w:ascii="宋体" w:hAnsi="宋体" w:eastAsia="宋体" w:cs="宋体"/>
      <w:sz w:val="15"/>
      <w:szCs w:val="15"/>
      <w:lang w:val="zh-TW" w:eastAsia="zh-TW" w:bidi="zh-TW"/>
    </w:rPr>
  </w:style>
  <w:style w:type="paragraph" w:customStyle="1" w:styleId="36">
    <w:name w:val="Body text|4"/>
    <w:basedOn w:val="1"/>
    <w:qFormat/>
    <w:uiPriority w:val="0"/>
    <w:rPr>
      <w:rFonts w:ascii="宋体" w:hAnsi="宋体" w:eastAsia="宋体" w:cs="宋体"/>
      <w:color w:val="5FAA75"/>
      <w:sz w:val="26"/>
      <w:szCs w:val="26"/>
      <w:lang w:val="zh-TW" w:eastAsia="zh-TW" w:bidi="zh-TW"/>
    </w:rPr>
  </w:style>
  <w:style w:type="paragraph" w:customStyle="1" w:styleId="37">
    <w:name w:val="Other|1"/>
    <w:basedOn w:val="1"/>
    <w:qFormat/>
    <w:uiPriority w:val="0"/>
    <w:pPr>
      <w:spacing w:line="430" w:lineRule="auto"/>
    </w:pPr>
    <w:rPr>
      <w:rFonts w:ascii="宋体" w:hAnsi="宋体" w:eastAsia="宋体" w:cs="宋体"/>
      <w:sz w:val="15"/>
      <w:szCs w:val="15"/>
      <w:lang w:val="zh-TW" w:eastAsia="zh-TW" w:bidi="zh-TW"/>
    </w:rPr>
  </w:style>
  <w:style w:type="paragraph" w:customStyle="1" w:styleId="38">
    <w:name w:val="Heading #7|1"/>
    <w:basedOn w:val="1"/>
    <w:qFormat/>
    <w:uiPriority w:val="0"/>
    <w:pPr>
      <w:outlineLvl w:val="6"/>
    </w:pPr>
    <w:rPr>
      <w:rFonts w:ascii="宋体" w:hAnsi="宋体" w:eastAsia="宋体" w:cs="宋体"/>
      <w:sz w:val="20"/>
      <w:szCs w:val="20"/>
      <w:shd w:val="clear" w:color="auto" w:fill="FFFFFF"/>
      <w:lang w:val="zh-TW" w:eastAsia="zh-TW" w:bidi="zh-TW"/>
    </w:rPr>
  </w:style>
  <w:style w:type="paragraph" w:customStyle="1" w:styleId="39">
    <w:name w:val="Picture caption|1"/>
    <w:basedOn w:val="1"/>
    <w:qFormat/>
    <w:uiPriority w:val="0"/>
    <w:rPr>
      <w:rFonts w:ascii="宋体" w:hAnsi="宋体" w:eastAsia="宋体" w:cs="宋体"/>
      <w:sz w:val="28"/>
      <w:szCs w:val="28"/>
      <w:lang w:val="zh-TW" w:eastAsia="zh-TW" w:bidi="zh-TW"/>
    </w:rPr>
  </w:style>
  <w:style w:type="paragraph" w:customStyle="1" w:styleId="40">
    <w:name w:val="Header or footer|1"/>
    <w:basedOn w:val="1"/>
    <w:qFormat/>
    <w:uiPriority w:val="0"/>
    <w:rPr>
      <w:sz w:val="16"/>
      <w:szCs w:val="16"/>
    </w:rPr>
  </w:style>
  <w:style w:type="paragraph" w:customStyle="1" w:styleId="41">
    <w:name w:val="Header or footer|2"/>
    <w:basedOn w:val="1"/>
    <w:qFormat/>
    <w:uiPriority w:val="0"/>
    <w:rPr>
      <w:sz w:val="20"/>
      <w:szCs w:val="20"/>
    </w:rPr>
  </w:style>
  <w:style w:type="paragraph" w:customStyle="1" w:styleId="42">
    <w:name w:val="Body text|3"/>
    <w:basedOn w:val="1"/>
    <w:qFormat/>
    <w:uiPriority w:val="0"/>
    <w:pPr>
      <w:spacing w:after="100"/>
    </w:pPr>
    <w:rPr>
      <w:rFonts w:ascii="宋体" w:hAnsi="宋体" w:eastAsia="宋体" w:cs="宋体"/>
      <w:sz w:val="20"/>
      <w:szCs w:val="20"/>
      <w:lang w:val="zh-TW" w:eastAsia="zh-TW" w:bidi="zh-TW"/>
    </w:rPr>
  </w:style>
  <w:style w:type="paragraph" w:customStyle="1" w:styleId="43">
    <w:name w:val="Body text|7"/>
    <w:basedOn w:val="1"/>
    <w:qFormat/>
    <w:uiPriority w:val="0"/>
    <w:rPr>
      <w:rFonts w:ascii="宋体" w:hAnsi="宋体" w:eastAsia="宋体" w:cs="宋体"/>
      <w:sz w:val="48"/>
      <w:szCs w:val="48"/>
      <w:shd w:val="clear" w:color="auto" w:fill="FFFFFF"/>
      <w:lang w:val="zh-TW" w:eastAsia="zh-TW" w:bidi="zh-TW"/>
    </w:rPr>
  </w:style>
  <w:style w:type="paragraph" w:customStyle="1" w:styleId="44">
    <w:name w:val="Heading #8|1"/>
    <w:basedOn w:val="1"/>
    <w:qFormat/>
    <w:uiPriority w:val="0"/>
    <w:pPr>
      <w:outlineLvl w:val="7"/>
    </w:pPr>
    <w:rPr>
      <w:rFonts w:ascii="宋体" w:hAnsi="宋体" w:eastAsia="宋体" w:cs="宋体"/>
      <w:sz w:val="20"/>
      <w:szCs w:val="20"/>
      <w:shd w:val="clear" w:color="auto" w:fill="FFFFFF"/>
      <w:lang w:val="zh-TW" w:eastAsia="zh-TW" w:bidi="zh-TW"/>
    </w:rPr>
  </w:style>
  <w:style w:type="paragraph" w:customStyle="1" w:styleId="45">
    <w:name w:val="Body text|8"/>
    <w:basedOn w:val="1"/>
    <w:qFormat/>
    <w:uiPriority w:val="0"/>
    <w:pPr>
      <w:spacing w:before="140"/>
    </w:pPr>
    <w:rPr>
      <w:color w:val="64AF77"/>
      <w:sz w:val="54"/>
      <w:szCs w:val="54"/>
      <w:lang w:val="zh-TW" w:eastAsia="zh-TW" w:bidi="zh-TW"/>
    </w:rPr>
  </w:style>
  <w:style w:type="character" w:customStyle="1" w:styleId="46">
    <w:name w:val="font11"/>
    <w:basedOn w:val="22"/>
    <w:qFormat/>
    <w:uiPriority w:val="0"/>
    <w:rPr>
      <w:rFonts w:hint="eastAsia" w:ascii="宋体" w:hAnsi="宋体" w:eastAsia="宋体" w:cs="宋体"/>
      <w:color w:val="000000"/>
      <w:sz w:val="22"/>
      <w:szCs w:val="22"/>
      <w:u w:val="none"/>
    </w:rPr>
  </w:style>
  <w:style w:type="character" w:customStyle="1" w:styleId="47">
    <w:name w:val="font01"/>
    <w:basedOn w:val="22"/>
    <w:qFormat/>
    <w:uiPriority w:val="0"/>
    <w:rPr>
      <w:rFonts w:hint="eastAsia" w:ascii="宋体" w:hAnsi="宋体" w:eastAsia="宋体" w:cs="宋体"/>
      <w:color w:val="FF0000"/>
      <w:sz w:val="22"/>
      <w:szCs w:val="22"/>
      <w:u w:val="none"/>
    </w:rPr>
  </w:style>
  <w:style w:type="character" w:customStyle="1" w:styleId="48">
    <w:name w:val="标题 3 字符"/>
    <w:link w:val="7"/>
    <w:qFormat/>
    <w:uiPriority w:val="9"/>
    <w:rPr>
      <w:b/>
      <w:sz w:val="32"/>
    </w:rPr>
  </w:style>
  <w:style w:type="paragraph" w:customStyle="1" w:styleId="4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0">
    <w:name w:val="批注文字 字符"/>
    <w:basedOn w:val="22"/>
    <w:link w:val="8"/>
    <w:semiHidden/>
    <w:qFormat/>
    <w:uiPriority w:val="99"/>
    <w:rPr>
      <w:rFonts w:asciiTheme="minorHAnsi" w:hAnsiTheme="minorHAnsi" w:eastAsiaTheme="minorEastAsia" w:cstheme="minorBidi"/>
      <w:kern w:val="2"/>
      <w:sz w:val="21"/>
      <w:szCs w:val="22"/>
    </w:rPr>
  </w:style>
  <w:style w:type="character" w:customStyle="1" w:styleId="51">
    <w:name w:val="批注主题 字符"/>
    <w:basedOn w:val="50"/>
    <w:link w:val="18"/>
    <w:semiHidden/>
    <w:qFormat/>
    <w:uiPriority w:val="99"/>
    <w:rPr>
      <w:rFonts w:asciiTheme="minorHAnsi" w:hAnsiTheme="minorHAnsi" w:eastAsiaTheme="minorEastAsia" w:cstheme="minorBidi"/>
      <w:b/>
      <w:bCs/>
      <w:kern w:val="2"/>
      <w:sz w:val="21"/>
      <w:szCs w:val="22"/>
    </w:rPr>
  </w:style>
  <w:style w:type="paragraph" w:customStyle="1" w:styleId="5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3">
    <w:name w:val="正文 A"/>
    <w:qFormat/>
    <w:uiPriority w:val="2"/>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4">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5">
    <w:name w:val="列出段落1"/>
    <w:basedOn w:val="1"/>
    <w:qFormat/>
    <w:uiPriority w:val="0"/>
    <w:pPr>
      <w:ind w:firstLine="420" w:firstLineChars="200"/>
    </w:pPr>
    <w:rPr>
      <w:rFonts w:ascii="Times New Roman" w:hAnsi="Times New Roman" w:eastAsia="仿宋_GB2312" w:cs="Times New Roman"/>
      <w:sz w:val="32"/>
      <w:szCs w:val="24"/>
    </w:rPr>
  </w:style>
  <w:style w:type="character" w:customStyle="1" w:styleId="56">
    <w:name w:val="font31"/>
    <w:basedOn w:val="22"/>
    <w:qFormat/>
    <w:uiPriority w:val="0"/>
    <w:rPr>
      <w:rFonts w:hint="eastAsia" w:ascii="仿宋" w:hAnsi="仿宋" w:eastAsia="仿宋" w:cs="仿宋"/>
      <w:color w:val="000000"/>
      <w:sz w:val="21"/>
      <w:szCs w:val="21"/>
      <w:u w:val="none"/>
    </w:rPr>
  </w:style>
  <w:style w:type="character" w:customStyle="1" w:styleId="57">
    <w:name w:val="font21"/>
    <w:basedOn w:val="22"/>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C7C18-803D-4663-B200-D2F9F48EC3B2}">
  <ds:schemaRefs/>
</ds:datastoreItem>
</file>

<file path=docProps/app.xml><?xml version="1.0" encoding="utf-8"?>
<Properties xmlns="http://schemas.openxmlformats.org/officeDocument/2006/extended-properties" xmlns:vt="http://schemas.openxmlformats.org/officeDocument/2006/docPropsVTypes">
  <Template>Normal</Template>
  <Pages>21</Pages>
  <Words>1783</Words>
  <Characters>10167</Characters>
  <Lines>84</Lines>
  <Paragraphs>23</Paragraphs>
  <TotalTime>51</TotalTime>
  <ScaleCrop>false</ScaleCrop>
  <LinksUpToDate>false</LinksUpToDate>
  <CharactersWithSpaces>11927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2022-02-17T03:09:00Z</dcterms:created>
  <dc:creator>SL</dc:creator>
  <cp:lastModifiedBy>Administrator</cp:lastModifiedBy>
  <dcterms:modified xsi:type="dcterms:W3CDTF">2022-06-29T09:39:08Z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8BD0BB476E2E4168A6508B7DEEAD03B0</vt:lpwstr>
  </property>
</Properties>
</file>