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20</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年</w:t>
      </w:r>
      <w:r>
        <w:rPr>
          <w:rFonts w:hint="eastAsia" w:ascii="方正小标宋简体" w:hAnsi="宋体" w:eastAsia="方正小标宋简体"/>
          <w:color w:val="000000"/>
          <w:sz w:val="44"/>
          <w:szCs w:val="32"/>
          <w:shd w:val="clear" w:color="auto" w:fill="FFFFFF"/>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20</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20</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C1188320000098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172,810,000.00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杠杠水平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6.5</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账号：3602003829200452145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20</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-11,042.57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2,481,849.03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175,291,849.03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1.0144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drawing>
          <wp:inline distT="0" distB="0" distL="114300" distR="114300">
            <wp:extent cx="4591050" cy="264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91050" cy="2647950"/>
                    </a:xfrm>
                    <a:prstGeom prst="rect">
                      <a:avLst/>
                    </a:prstGeom>
                    <a:noFill/>
                    <a:ln w="9525">
                      <a:noFill/>
                    </a:ln>
                  </pic:spPr>
                </pic:pic>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20</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1.67</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drawing>
          <wp:inline distT="0" distB="0" distL="114300" distR="114300">
            <wp:extent cx="4600575" cy="26479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00575" cy="2647950"/>
                    </a:xfrm>
                    <a:prstGeom prst="rect">
                      <a:avLst/>
                    </a:prstGeom>
                    <a:noFill/>
                    <a:ln w="9525">
                      <a:noFill/>
                    </a:ln>
                  </pic:spPr>
                </pic:pic>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1.75</w:t>
      </w:r>
      <w:r>
        <w:rPr>
          <w:rFonts w:hint="eastAsia" w:ascii="仿宋" w:hAnsi="仿宋" w:eastAsia="仿宋"/>
          <w:color w:val="000000"/>
          <w:szCs w:val="21"/>
        </w:rPr>
        <w:t>亿元，截止20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1.0144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175,458,589.56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1,681.61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175,460,271.39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2,569,743,194.51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90.74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160,001,600.00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16,837,579.83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0.59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85,351,654.93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2,831,934,029.27</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rPr>
            </w:pPr>
            <w:r>
              <w:rPr>
                <w:rFonts w:hint="eastAsia" w:ascii="宋体" w:hAnsi="宋体" w:eastAsia="宋体" w:cs="宋体"/>
                <w:i w:val="0"/>
                <w:color w:val="000000"/>
                <w:kern w:val="0"/>
                <w:sz w:val="20"/>
                <w:szCs w:val="20"/>
                <w:u w:val="none"/>
                <w:lang w:val="en-US" w:eastAsia="zh-CN" w:bidi="ar"/>
              </w:rPr>
              <w:t>16铜旅01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134,008,980.00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GC007</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120,001,200.00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宋体" w:hAnsi="宋体" w:eastAsia="宋体" w:cs="宋体"/>
                <w:i w:val="0"/>
                <w:color w:val="000000"/>
                <w:kern w:val="0"/>
                <w:sz w:val="20"/>
                <w:szCs w:val="20"/>
                <w:u w:val="none"/>
                <w:lang w:val="en-US" w:eastAsia="zh-CN" w:bidi="ar"/>
              </w:rPr>
              <w:t>20南明01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115,090,500.00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4.06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19遵物01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112,188,050.00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3.96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19安顺02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109,978,900.00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20六民债</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100,013,700.00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20贵产01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99,833,800.00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S20盘旅</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99,264,500.00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19安投02</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99,157,500.00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宋体" w:hAnsi="宋体" w:eastAsia="宋体" w:cs="宋体"/>
                <w:i w:val="0"/>
                <w:color w:val="000000"/>
                <w:kern w:val="0"/>
                <w:sz w:val="20"/>
                <w:szCs w:val="20"/>
                <w:u w:val="none"/>
                <w:lang w:val="en-US" w:eastAsia="zh-CN" w:bidi="ar"/>
              </w:rPr>
              <w:t>20遵投01</w:t>
            </w:r>
          </w:p>
        </w:tc>
        <w:tc>
          <w:tcPr>
            <w:tcW w:w="2138" w:type="dxa"/>
            <w:vAlign w:val="center"/>
          </w:tcPr>
          <w:p>
            <w:pPr>
              <w:keepNext w:val="0"/>
              <w:keepLines w:val="0"/>
              <w:widowControl/>
              <w:suppressLineNumbers w:val="0"/>
              <w:jc w:val="center"/>
              <w:textAlignment w:val="center"/>
              <w:rPr>
                <w:rFonts w:ascii="仿宋" w:hAnsi="仿宋" w:eastAsia="仿宋"/>
                <w:szCs w:val="21"/>
              </w:rPr>
            </w:pPr>
            <w:r>
              <w:rPr>
                <w:rFonts w:hint="eastAsia" w:ascii="宋体" w:hAnsi="宋体" w:eastAsia="宋体" w:cs="宋体"/>
                <w:i w:val="0"/>
                <w:color w:val="000000"/>
                <w:kern w:val="0"/>
                <w:sz w:val="20"/>
                <w:szCs w:val="20"/>
                <w:u w:val="none"/>
                <w:lang w:val="en-US" w:eastAsia="zh-CN" w:bidi="ar"/>
              </w:rPr>
              <w:t>89,814,600.00</w:t>
            </w:r>
          </w:p>
        </w:tc>
        <w:tc>
          <w:tcPr>
            <w:tcW w:w="211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3.17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 xml:space="preserve"> 1,079,351,730.00 </w:t>
            </w:r>
          </w:p>
        </w:tc>
        <w:tc>
          <w:tcPr>
            <w:tcW w:w="2113" w:type="dxa"/>
            <w:vAlign w:val="center"/>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szCs w:val="21"/>
                <w:lang w:val="en-US" w:eastAsia="zh-CN"/>
              </w:rPr>
              <w:t>38.11</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宋体"/>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eastAsia="zh-CN"/>
        </w:rPr>
      </w:pPr>
      <w:r>
        <w:t>查阅方式网站：http://www.gynsh.com咨询电话：0851-</w:t>
      </w:r>
      <w:r>
        <w:rPr>
          <w:rFonts w:hint="eastAsia"/>
          <w:lang w:eastAsia="zh-CN"/>
        </w:rPr>
        <w:t>88115057</w:t>
      </w:r>
    </w:p>
    <w:p>
      <w:pPr>
        <w:spacing w:line="360" w:lineRule="auto"/>
      </w:pPr>
    </w:p>
    <w:p>
      <w:pPr>
        <w:spacing w:line="360" w:lineRule="auto"/>
      </w:pP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6ZNO+N1f1b+qqZ9EirddIqrJMyU=" w:salt="wrav1LmgvF3KxbqI1A3o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109E69E3"/>
    <w:rsid w:val="14A17047"/>
    <w:rsid w:val="14E74041"/>
    <w:rsid w:val="153D2966"/>
    <w:rsid w:val="188B46A5"/>
    <w:rsid w:val="2AA204DB"/>
    <w:rsid w:val="38721494"/>
    <w:rsid w:val="394F4B22"/>
    <w:rsid w:val="3D3F57FB"/>
    <w:rsid w:val="3F524561"/>
    <w:rsid w:val="46776F3C"/>
    <w:rsid w:val="4D1108E2"/>
    <w:rsid w:val="4EE378EB"/>
    <w:rsid w:val="57FE5038"/>
    <w:rsid w:val="58DF7C14"/>
    <w:rsid w:val="5E660FCE"/>
    <w:rsid w:val="64F431AF"/>
    <w:rsid w:val="673B4350"/>
    <w:rsid w:val="67855A67"/>
    <w:rsid w:val="67DF73FA"/>
    <w:rsid w:val="692A41F0"/>
    <w:rsid w:val="705B15C4"/>
    <w:rsid w:val="77B71D8C"/>
    <w:rsid w:val="78F31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2022-01-26T00:53:50Z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