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贵阳农商银行超值宝新客专享3期净值型理财产</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rPr>
        <w:t>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20</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年</w:t>
      </w:r>
      <w:r>
        <w:rPr>
          <w:rFonts w:hint="eastAsia" w:ascii="方正小标宋简体" w:hAnsi="宋体" w:eastAsia="方正小标宋简体"/>
          <w:color w:val="000000"/>
          <w:sz w:val="44"/>
          <w:szCs w:val="32"/>
          <w:shd w:val="clear" w:color="auto" w:fill="FFFFFF"/>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20</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eastAsia="zh-CN"/>
              </w:rPr>
              <w:t>新客专享</w:t>
            </w:r>
            <w:r>
              <w:rPr>
                <w:rFonts w:hint="eastAsia" w:ascii="仿宋" w:hAnsi="仿宋" w:eastAsia="仿宋"/>
                <w:kern w:val="0"/>
                <w:szCs w:val="21"/>
                <w:shd w:val="clear" w:color="auto" w:fill="FFFFFF"/>
                <w:lang w:val="en-US" w:eastAsia="zh-CN"/>
              </w:rPr>
              <w:t>3</w:t>
            </w:r>
            <w:r>
              <w:rPr>
                <w:rFonts w:hint="eastAsia" w:ascii="仿宋" w:hAnsi="仿宋" w:eastAsia="仿宋"/>
                <w:kern w:val="0"/>
                <w:szCs w:val="21"/>
                <w:shd w:val="clear" w:color="auto" w:fill="FFFFFF"/>
              </w:rPr>
              <w:t>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w:t>
            </w:r>
            <w:r>
              <w:rPr>
                <w:rFonts w:hint="eastAsia"/>
                <w:lang w:eastAsia="zh-CN"/>
              </w:rPr>
              <w:t>000</w:t>
            </w:r>
            <w:r>
              <w:rPr>
                <w:rFonts w:hint="eastAsia"/>
                <w:lang w:val="en-US" w:eastAsia="zh-CN"/>
              </w:rPr>
              <w:t>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179,970,000.00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2020年7月2日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2021年7月2日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杠杠水平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6.3</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户名：工商银行贵阳农商银行超值宝新客专享３期净值型理财产品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账号：3602003829200434536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-480,302.30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4,167,858.14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184,137,858.14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1.0232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p>
    <w:p>
      <w:pPr>
        <w:spacing w:before="156" w:beforeLines="50" w:line="240" w:lineRule="auto"/>
        <w:rPr>
          <w:rFonts w:hint="eastAsia"/>
          <w:lang w:val="en-US" w:eastAsia="zh-CN"/>
        </w:rPr>
      </w:pPr>
      <w:r>
        <w:rPr>
          <w:rFonts w:hint="default"/>
          <w:sz w:val="24"/>
        </w:rPr>
        <w:drawing>
          <wp:inline distT="0" distB="0" distL="114300" distR="114300">
            <wp:extent cx="4591050" cy="2647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591050" cy="2647950"/>
                    </a:xfrm>
                    <a:prstGeom prst="rect">
                      <a:avLst/>
                    </a:prstGeom>
                    <a:noFill/>
                    <a:ln w="9525">
                      <a:noFill/>
                    </a:ln>
                  </pic:spPr>
                </pic:pic>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2.32</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2.32</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3.16</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rPr>
          <w:rFonts w:hint="default"/>
          <w:sz w:val="24"/>
        </w:rPr>
        <w:drawing>
          <wp:inline distT="0" distB="0" distL="114300" distR="114300">
            <wp:extent cx="4591050" cy="26479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591050" cy="2647950"/>
                    </a:xfrm>
                    <a:prstGeom prst="rect">
                      <a:avLst/>
                    </a:prstGeom>
                    <a:noFill/>
                    <a:ln w="9525">
                      <a:noFill/>
                    </a:ln>
                  </pic:spPr>
                </pic:pic>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1.84</w:t>
      </w:r>
      <w:r>
        <w:rPr>
          <w:rFonts w:hint="eastAsia" w:ascii="仿宋" w:hAnsi="仿宋" w:eastAsia="仿宋"/>
          <w:color w:val="000000"/>
          <w:szCs w:val="21"/>
        </w:rPr>
        <w:t>亿元，截止20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日，净值1.0232，整体杠杆率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2.32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184,618,160.44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184,618,160.44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184,618,160.44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8,756.28</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0.99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184,626,917.71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3,790,988,805.70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84.21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120,535,870.00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9.96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425,070,539.50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9.44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13,034,149.05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0.29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152,045,655.00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4,501,675,029.21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left"/>
              <w:textAlignment w:val="top"/>
              <w:rPr>
                <w:rFonts w:ascii="仿宋" w:hAnsi="仿宋" w:eastAsia="仿宋"/>
              </w:rPr>
            </w:pPr>
            <w:r>
              <w:rPr>
                <w:rFonts w:hint="eastAsia" w:ascii="宋体" w:hAnsi="宋体" w:eastAsia="宋体" w:cs="宋体"/>
                <w:i w:val="0"/>
                <w:color w:val="000000"/>
                <w:kern w:val="0"/>
                <w:sz w:val="22"/>
                <w:szCs w:val="22"/>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249,875,000.00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5.55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top"/>
          </w:tcPr>
          <w:p>
            <w:pPr>
              <w:keepNext w:val="0"/>
              <w:keepLines w:val="0"/>
              <w:widowControl/>
              <w:suppressLineNumbers w:val="0"/>
              <w:jc w:val="left"/>
              <w:textAlignment w:val="top"/>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19佳源04</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188,632,000.00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4.19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20黔西南</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184,611,500.00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4.10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20筑工01</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157,312,000.00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3.49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19贵合投资债</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127,475,000.00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2.83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000028</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120,800,000.00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20凯文01</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120,466,000.00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19贵电01</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112,955,200.00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20黔交旅投债</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110,604,000.00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2.46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19贵阳经开债01</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110,473,000.00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2.45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1,483,203,700.00</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32.95</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宋体"/>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rFonts w:hint="eastAsia" w:eastAsia="宋体"/>
          <w:lang w:eastAsia="zh-CN"/>
        </w:rPr>
      </w:pPr>
      <w:r>
        <w:t>查阅方式网站：http://www.gynsh.com咨询电话：0851-</w:t>
      </w:r>
      <w:r>
        <w:rPr>
          <w:rFonts w:hint="eastAsia"/>
          <w:lang w:eastAsia="zh-CN"/>
        </w:rPr>
        <w:t>88115057</w:t>
      </w:r>
    </w:p>
    <w:p>
      <w:pPr>
        <w:spacing w:line="360" w:lineRule="auto"/>
      </w:pPr>
    </w:p>
    <w:p>
      <w:pPr>
        <w:spacing w:line="360" w:lineRule="auto"/>
      </w:pP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mcdYS+fHyptk6ZEEt2I2RboScYw=" w:salt="Os+/e8WPQ9r+sFVdXIZBU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14A17047"/>
    <w:rsid w:val="14E74041"/>
    <w:rsid w:val="14ED34E4"/>
    <w:rsid w:val="153D2966"/>
    <w:rsid w:val="188B46A5"/>
    <w:rsid w:val="1EE55F41"/>
    <w:rsid w:val="2AA204DB"/>
    <w:rsid w:val="394F4B22"/>
    <w:rsid w:val="3F524561"/>
    <w:rsid w:val="46776F3C"/>
    <w:rsid w:val="4D1108E2"/>
    <w:rsid w:val="4EE378EB"/>
    <w:rsid w:val="50AD73F2"/>
    <w:rsid w:val="57FE5038"/>
    <w:rsid w:val="58DF7C14"/>
    <w:rsid w:val="5D3D5D01"/>
    <w:rsid w:val="5E660FCE"/>
    <w:rsid w:val="64F431AF"/>
    <w:rsid w:val="66727FD7"/>
    <w:rsid w:val="673B4350"/>
    <w:rsid w:val="67855A67"/>
    <w:rsid w:val="67DF73FA"/>
    <w:rsid w:val="69103CA9"/>
    <w:rsid w:val="705B15C4"/>
    <w:rsid w:val="7A3708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王海斌</cp:lastModifiedBy>
  <cp:lastPrinted>2019-10-15T07:44:00Z</cp:lastPrinted>
  <dcterms:modified xsi:type="dcterms:W3CDTF">2022-01-26T00:54:43Z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