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年第43期净值型理财产品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eastAsia="zh-CN"/>
              </w:rPr>
              <w:t>1年第43期</w:t>
            </w:r>
            <w:r>
              <w:rPr>
                <w:rFonts w:hint="eastAsia" w:ascii="仿宋" w:hAnsi="仿宋" w:eastAsia="仿宋"/>
                <w:kern w:val="0"/>
                <w:szCs w:val="21"/>
                <w:shd w:val="clear" w:color="auto" w:fill="FFFFFF"/>
              </w:rPr>
              <w:t>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138,780,000.00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户名：工商银行贵阳农商银行超值宝１年第４３期净值型理财产品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账号：3602003829200438667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szCs w:val="21"/>
                <w:shd w:val="clear" w:color="auto" w:fill="FFFFFF"/>
                <w:lang w:val="en-US" w:eastAsia="zh-CN"/>
              </w:rPr>
            </w:pPr>
            <w:r>
              <w:rPr>
                <w:rFonts w:hint="eastAsia"/>
              </w:rPr>
              <w:t xml:space="preserve">-299,466.86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2,305,457.55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141</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085</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457.55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drawing>
          <wp:inline distT="0" distB="0" distL="114300" distR="114300">
            <wp:extent cx="4581525" cy="2752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581525" cy="2752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1.41</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日，净值1.0166，整体杠杆率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3,790,988,805.70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120,535,870.00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425,070,539.50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13,034,149.05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152,045,655.00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4,501,675,029.21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ascii="仿宋" w:hAnsi="仿宋" w:eastAsia="仿宋"/>
              </w:rPr>
            </w:pPr>
            <w:r>
              <w:rPr>
                <w:rFonts w:hint="eastAsia" w:ascii="宋体" w:hAnsi="宋体" w:eastAsia="宋体" w:cs="宋体"/>
                <w:i w:val="0"/>
                <w:color w:val="000000"/>
                <w:kern w:val="0"/>
                <w:sz w:val="22"/>
                <w:szCs w:val="22"/>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249,875,000.00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5.55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keepNext w:val="0"/>
              <w:keepLines w:val="0"/>
              <w:widowControl/>
              <w:suppressLineNumbers w:val="0"/>
              <w:jc w:val="left"/>
              <w:textAlignment w:val="top"/>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19佳源04</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188,632,000.00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20黔西南</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184,611,500.00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20筑工01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157,312,000.00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127,475,000.00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000028</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120,800,000.00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20凯文01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120,466,000.00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19贵电01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112,955,200.00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110,604,000.00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110,473,000.00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1,483,203,700.00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32.95</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jE5KywtB4BogK7IgC922gtdKEPw=" w:salt="AyuEAHyok+2mT0hw9+2d6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77D1837"/>
    <w:rsid w:val="119D38F4"/>
    <w:rsid w:val="153D2966"/>
    <w:rsid w:val="294B395D"/>
    <w:rsid w:val="2E760F84"/>
    <w:rsid w:val="38D97024"/>
    <w:rsid w:val="3B9C3D57"/>
    <w:rsid w:val="43F3566A"/>
    <w:rsid w:val="457A406E"/>
    <w:rsid w:val="46CD3A39"/>
    <w:rsid w:val="48E8631C"/>
    <w:rsid w:val="51A03B59"/>
    <w:rsid w:val="5CA311F2"/>
    <w:rsid w:val="5E660FCE"/>
    <w:rsid w:val="604C6C20"/>
    <w:rsid w:val="63C74972"/>
    <w:rsid w:val="65FD59DC"/>
    <w:rsid w:val="67C55314"/>
    <w:rsid w:val="705B15C4"/>
    <w:rsid w:val="71AD6EDE"/>
    <w:rsid w:val="73083B4A"/>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2022-01-26T00:41:57Z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