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125,730,000.00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户名：工商银行贵阳农商银行超值宝新客专享２５期理财产品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3602003829200510877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-126,817.20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2,172,214.93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128,333,349.54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1.0207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128,488,068.02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122,399,560.18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1,474,989.98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4,612,045.23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128,486,595.39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6,778,064.65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4,756,433.33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4,675,782.19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3,984,760.92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3,705,457.11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3,446,652.85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3,340,555.92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3,340,270.37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3,310,341.17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3,003,512.05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40,341,830.56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gwXt1DLe+zc8V02+HLuu2JLflGI=" w:salt="tD5WaQErns1n0dDqsMS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6977DE1"/>
    <w:rsid w:val="188B46A5"/>
    <w:rsid w:val="195F6954"/>
    <w:rsid w:val="1C311D75"/>
    <w:rsid w:val="2AA204DB"/>
    <w:rsid w:val="2E344397"/>
    <w:rsid w:val="2F5C56FB"/>
    <w:rsid w:val="2FCD2C4F"/>
    <w:rsid w:val="371A037A"/>
    <w:rsid w:val="38721494"/>
    <w:rsid w:val="394F4B22"/>
    <w:rsid w:val="39C80FB3"/>
    <w:rsid w:val="3D305393"/>
    <w:rsid w:val="3F524561"/>
    <w:rsid w:val="4218718A"/>
    <w:rsid w:val="46403628"/>
    <w:rsid w:val="46776F3C"/>
    <w:rsid w:val="4AED4BA6"/>
    <w:rsid w:val="4D1108E2"/>
    <w:rsid w:val="4EE378EB"/>
    <w:rsid w:val="50D46540"/>
    <w:rsid w:val="51EA7BC8"/>
    <w:rsid w:val="54604F6D"/>
    <w:rsid w:val="57FE5038"/>
    <w:rsid w:val="58DF7C14"/>
    <w:rsid w:val="59B351FE"/>
    <w:rsid w:val="5E660FCE"/>
    <w:rsid w:val="5E9F6C29"/>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1.0036</c:v>
                </c:pt>
                <c:pt idx="1">
                  <c:v>1.0036</c:v>
                </c:pt>
                <c:pt idx="2">
                  <c:v>1.0036</c:v>
                </c:pt>
                <c:pt idx="3">
                  <c:v>1.0036</c:v>
                </c:pt>
                <c:pt idx="4">
                  <c:v>1.0036</c:v>
                </c:pt>
                <c:pt idx="5">
                  <c:v>1.0047</c:v>
                </c:pt>
                <c:pt idx="6">
                  <c:v>1.0049</c:v>
                </c:pt>
                <c:pt idx="7">
                  <c:v>1.0053</c:v>
                </c:pt>
                <c:pt idx="8">
                  <c:v>1.0053</c:v>
                </c:pt>
                <c:pt idx="9">
                  <c:v>1.0053</c:v>
                </c:pt>
                <c:pt idx="10">
                  <c:v>1.0062</c:v>
                </c:pt>
                <c:pt idx="11">
                  <c:v>1.0063</c:v>
                </c:pt>
                <c:pt idx="12">
                  <c:v>1.0062</c:v>
                </c:pt>
                <c:pt idx="13">
                  <c:v>1.0062</c:v>
                </c:pt>
                <c:pt idx="14">
                  <c:v>1.0065</c:v>
                </c:pt>
                <c:pt idx="15">
                  <c:v>1.0065</c:v>
                </c:pt>
                <c:pt idx="16">
                  <c:v>1.0065</c:v>
                </c:pt>
                <c:pt idx="17">
                  <c:v>1.0067</c:v>
                </c:pt>
                <c:pt idx="18">
                  <c:v>1.0069</c:v>
                </c:pt>
                <c:pt idx="19">
                  <c:v>1.0071</c:v>
                </c:pt>
                <c:pt idx="20">
                  <c:v>1.007</c:v>
                </c:pt>
                <c:pt idx="21">
                  <c:v>1.0073</c:v>
                </c:pt>
                <c:pt idx="22">
                  <c:v>1.0073</c:v>
                </c:pt>
                <c:pt idx="23">
                  <c:v>1.0073</c:v>
                </c:pt>
                <c:pt idx="24">
                  <c:v>1.008</c:v>
                </c:pt>
                <c:pt idx="25">
                  <c:v>1.0084</c:v>
                </c:pt>
                <c:pt idx="26">
                  <c:v>1.0085</c:v>
                </c:pt>
                <c:pt idx="27">
                  <c:v>1.0086</c:v>
                </c:pt>
                <c:pt idx="28">
                  <c:v>1.0091</c:v>
                </c:pt>
                <c:pt idx="29">
                  <c:v>1.0093</c:v>
                </c:pt>
                <c:pt idx="30">
                  <c:v>1.0093</c:v>
                </c:pt>
                <c:pt idx="31">
                  <c:v>1.0093</c:v>
                </c:pt>
                <c:pt idx="32">
                  <c:v>1.0092</c:v>
                </c:pt>
                <c:pt idx="33">
                  <c:v>1.0092</c:v>
                </c:pt>
                <c:pt idx="34">
                  <c:v>1.0103</c:v>
                </c:pt>
                <c:pt idx="35">
                  <c:v>1.0103</c:v>
                </c:pt>
                <c:pt idx="36">
                  <c:v>1.0103</c:v>
                </c:pt>
                <c:pt idx="37">
                  <c:v>1.0103</c:v>
                </c:pt>
                <c:pt idx="38">
                  <c:v>1.0107</c:v>
                </c:pt>
                <c:pt idx="39">
                  <c:v>1.011</c:v>
                </c:pt>
                <c:pt idx="40">
                  <c:v>1.0105</c:v>
                </c:pt>
                <c:pt idx="41">
                  <c:v>1.0108</c:v>
                </c:pt>
                <c:pt idx="42">
                  <c:v>1.011</c:v>
                </c:pt>
                <c:pt idx="43">
                  <c:v>1.011</c:v>
                </c:pt>
                <c:pt idx="44">
                  <c:v>1.011</c:v>
                </c:pt>
                <c:pt idx="45">
                  <c:v>1.0116</c:v>
                </c:pt>
                <c:pt idx="46">
                  <c:v>1.0121</c:v>
                </c:pt>
                <c:pt idx="47">
                  <c:v>1.0125</c:v>
                </c:pt>
                <c:pt idx="48">
                  <c:v>1.0128</c:v>
                </c:pt>
                <c:pt idx="49">
                  <c:v>1.0131</c:v>
                </c:pt>
                <c:pt idx="50">
                  <c:v>1.0131</c:v>
                </c:pt>
                <c:pt idx="51">
                  <c:v>1.0131</c:v>
                </c:pt>
                <c:pt idx="52">
                  <c:v>1.0139</c:v>
                </c:pt>
                <c:pt idx="53">
                  <c:v>1.0139</c:v>
                </c:pt>
                <c:pt idx="54">
                  <c:v>1.0142</c:v>
                </c:pt>
                <c:pt idx="55">
                  <c:v>1.0146</c:v>
                </c:pt>
                <c:pt idx="56">
                  <c:v>1.0148</c:v>
                </c:pt>
                <c:pt idx="57">
                  <c:v>1.0148</c:v>
                </c:pt>
                <c:pt idx="58">
                  <c:v>1.0148</c:v>
                </c:pt>
                <c:pt idx="59">
                  <c:v>1.0152</c:v>
                </c:pt>
                <c:pt idx="60">
                  <c:v>1.0151</c:v>
                </c:pt>
                <c:pt idx="61">
                  <c:v>1.0148</c:v>
                </c:pt>
                <c:pt idx="62">
                  <c:v>1.0147</c:v>
                </c:pt>
                <c:pt idx="63">
                  <c:v>1.0146</c:v>
                </c:pt>
                <c:pt idx="64">
                  <c:v>1.0146</c:v>
                </c:pt>
                <c:pt idx="65">
                  <c:v>1.0146</c:v>
                </c:pt>
                <c:pt idx="66">
                  <c:v>1.0151</c:v>
                </c:pt>
                <c:pt idx="67">
                  <c:v>1.015</c:v>
                </c:pt>
                <c:pt idx="68">
                  <c:v>1.015</c:v>
                </c:pt>
                <c:pt idx="69">
                  <c:v>1.0152</c:v>
                </c:pt>
                <c:pt idx="70">
                  <c:v>1.0155</c:v>
                </c:pt>
                <c:pt idx="71">
                  <c:v>1.0154</c:v>
                </c:pt>
                <c:pt idx="72">
                  <c:v>1.0154</c:v>
                </c:pt>
                <c:pt idx="73">
                  <c:v>1.016</c:v>
                </c:pt>
                <c:pt idx="74">
                  <c:v>1.0151</c:v>
                </c:pt>
                <c:pt idx="75">
                  <c:v>1.0149</c:v>
                </c:pt>
                <c:pt idx="76">
                  <c:v>1.0151</c:v>
                </c:pt>
                <c:pt idx="77">
                  <c:v>1.0155</c:v>
                </c:pt>
                <c:pt idx="78">
                  <c:v>1.0155</c:v>
                </c:pt>
                <c:pt idx="79">
                  <c:v>1.0155</c:v>
                </c:pt>
                <c:pt idx="80">
                  <c:v>1.0162</c:v>
                </c:pt>
                <c:pt idx="81">
                  <c:v>1.0163</c:v>
                </c:pt>
                <c:pt idx="82">
                  <c:v>1.0166</c:v>
                </c:pt>
                <c:pt idx="83">
                  <c:v>1.0169</c:v>
                </c:pt>
                <c:pt idx="84">
                  <c:v>1.0195</c:v>
                </c:pt>
                <c:pt idx="85">
                  <c:v>1.0195</c:v>
                </c:pt>
                <c:pt idx="86">
                  <c:v>1.0195</c:v>
                </c:pt>
                <c:pt idx="87">
                  <c:v>1.02</c:v>
                </c:pt>
                <c:pt idx="88">
                  <c:v>1.0201</c:v>
                </c:pt>
                <c:pt idx="89">
                  <c:v>1.0204</c:v>
                </c:pt>
                <c:pt idx="90">
                  <c:v>1.0207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0.000199322304165861</c:v>
                </c:pt>
                <c:pt idx="1">
                  <c:v>0.000199322304165861</c:v>
                </c:pt>
                <c:pt idx="2">
                  <c:v>0.000199322304165861</c:v>
                </c:pt>
                <c:pt idx="3">
                  <c:v>0.000199322304165861</c:v>
                </c:pt>
                <c:pt idx="4">
                  <c:v>0.000199322304165861</c:v>
                </c:pt>
                <c:pt idx="5">
                  <c:v>0.00129559497707787</c:v>
                </c:pt>
                <c:pt idx="6">
                  <c:v>0.00149491728124351</c:v>
                </c:pt>
                <c:pt idx="7">
                  <c:v>0.00189356188957546</c:v>
                </c:pt>
                <c:pt idx="8">
                  <c:v>0.00189356188957546</c:v>
                </c:pt>
                <c:pt idx="9">
                  <c:v>0.00189356188957546</c:v>
                </c:pt>
                <c:pt idx="10">
                  <c:v>0.00279051225832161</c:v>
                </c:pt>
                <c:pt idx="11">
                  <c:v>0.00289017341040454</c:v>
                </c:pt>
                <c:pt idx="12">
                  <c:v>0.00279051225832161</c:v>
                </c:pt>
                <c:pt idx="13">
                  <c:v>0.00279051225832161</c:v>
                </c:pt>
                <c:pt idx="14">
                  <c:v>0.0030894957145704</c:v>
                </c:pt>
                <c:pt idx="15">
                  <c:v>0.0030894957145704</c:v>
                </c:pt>
                <c:pt idx="16">
                  <c:v>0.0030894957145704</c:v>
                </c:pt>
                <c:pt idx="17">
                  <c:v>0.00328881801873626</c:v>
                </c:pt>
                <c:pt idx="18">
                  <c:v>0.0034881403229019</c:v>
                </c:pt>
                <c:pt idx="19">
                  <c:v>0.00368746262706798</c:v>
                </c:pt>
                <c:pt idx="20">
                  <c:v>0.00358780147498483</c:v>
                </c:pt>
                <c:pt idx="21">
                  <c:v>0.00388678493123384</c:v>
                </c:pt>
                <c:pt idx="22">
                  <c:v>0.00388678493123384</c:v>
                </c:pt>
                <c:pt idx="23">
                  <c:v>0.00388678493123384</c:v>
                </c:pt>
                <c:pt idx="24">
                  <c:v>0.00458441299581414</c:v>
                </c:pt>
                <c:pt idx="25">
                  <c:v>0.00498305760414586</c:v>
                </c:pt>
                <c:pt idx="26">
                  <c:v>0.00508271875622879</c:v>
                </c:pt>
                <c:pt idx="27">
                  <c:v>0.00518237990831172</c:v>
                </c:pt>
                <c:pt idx="28">
                  <c:v>0.00568068566872637</c:v>
                </c:pt>
                <c:pt idx="29">
                  <c:v>0.00588000797289223</c:v>
                </c:pt>
                <c:pt idx="30">
                  <c:v>0.00588000797289223</c:v>
                </c:pt>
                <c:pt idx="31">
                  <c:v>0.00588000797289223</c:v>
                </c:pt>
                <c:pt idx="32">
                  <c:v>0.0057803468208093</c:v>
                </c:pt>
                <c:pt idx="33">
                  <c:v>0.0057803468208093</c:v>
                </c:pt>
                <c:pt idx="34">
                  <c:v>0.00687661949372131</c:v>
                </c:pt>
                <c:pt idx="35">
                  <c:v>0.00687661949372131</c:v>
                </c:pt>
                <c:pt idx="36">
                  <c:v>0.00687661949372131</c:v>
                </c:pt>
                <c:pt idx="37">
                  <c:v>0.00687661949372131</c:v>
                </c:pt>
                <c:pt idx="38">
                  <c:v>0.00727526410205281</c:v>
                </c:pt>
                <c:pt idx="39">
                  <c:v>0.00757424755830161</c:v>
                </c:pt>
                <c:pt idx="40">
                  <c:v>0.00707594179788718</c:v>
                </c:pt>
                <c:pt idx="41">
                  <c:v>0.00737492525413574</c:v>
                </c:pt>
                <c:pt idx="42">
                  <c:v>0.00757424755830161</c:v>
                </c:pt>
                <c:pt idx="43">
                  <c:v>0.00757424755830161</c:v>
                </c:pt>
                <c:pt idx="44">
                  <c:v>0.00757424755830161</c:v>
                </c:pt>
                <c:pt idx="45">
                  <c:v>0.00817221447079919</c:v>
                </c:pt>
                <c:pt idx="46">
                  <c:v>0.00867052023121384</c:v>
                </c:pt>
                <c:pt idx="47">
                  <c:v>0.00906916483954534</c:v>
                </c:pt>
                <c:pt idx="48">
                  <c:v>0.00936814829579413</c:v>
                </c:pt>
                <c:pt idx="49">
                  <c:v>0.00966713175204292</c:v>
                </c:pt>
                <c:pt idx="50">
                  <c:v>0.00966713175204292</c:v>
                </c:pt>
                <c:pt idx="51">
                  <c:v>0.00966713175204292</c:v>
                </c:pt>
                <c:pt idx="52">
                  <c:v>0.0104644209687064</c:v>
                </c:pt>
                <c:pt idx="53">
                  <c:v>0.0104644209687064</c:v>
                </c:pt>
                <c:pt idx="54">
                  <c:v>0.0107634044249552</c:v>
                </c:pt>
                <c:pt idx="55">
                  <c:v>0.0111620490332867</c:v>
                </c:pt>
                <c:pt idx="56">
                  <c:v>0.0113613713374525</c:v>
                </c:pt>
                <c:pt idx="57">
                  <c:v>0.0113613713374525</c:v>
                </c:pt>
                <c:pt idx="58">
                  <c:v>0.0113613713374525</c:v>
                </c:pt>
                <c:pt idx="59">
                  <c:v>0.0117600159457845</c:v>
                </c:pt>
                <c:pt idx="60">
                  <c:v>0.0116603547937013</c:v>
                </c:pt>
                <c:pt idx="61">
                  <c:v>0.0113613713374525</c:v>
                </c:pt>
                <c:pt idx="62">
                  <c:v>0.0112617101853696</c:v>
                </c:pt>
                <c:pt idx="63">
                  <c:v>0.0111620490332867</c:v>
                </c:pt>
                <c:pt idx="64">
                  <c:v>0.0111620490332867</c:v>
                </c:pt>
                <c:pt idx="65">
                  <c:v>0.0111620490332867</c:v>
                </c:pt>
                <c:pt idx="66">
                  <c:v>0.0116603547937013</c:v>
                </c:pt>
                <c:pt idx="67">
                  <c:v>0.0115606936416184</c:v>
                </c:pt>
                <c:pt idx="68">
                  <c:v>0.0115606936416184</c:v>
                </c:pt>
                <c:pt idx="69">
                  <c:v>0.0117600159457845</c:v>
                </c:pt>
                <c:pt idx="70">
                  <c:v>0.012058999402033</c:v>
                </c:pt>
                <c:pt idx="71">
                  <c:v>0.0119593382499501</c:v>
                </c:pt>
                <c:pt idx="72">
                  <c:v>0.0119593382499501</c:v>
                </c:pt>
                <c:pt idx="73">
                  <c:v>0.0125573051624477</c:v>
                </c:pt>
                <c:pt idx="74">
                  <c:v>0.0116603547937013</c:v>
                </c:pt>
                <c:pt idx="75">
                  <c:v>0.0114610324895354</c:v>
                </c:pt>
                <c:pt idx="76">
                  <c:v>0.0116603547937013</c:v>
                </c:pt>
                <c:pt idx="77">
                  <c:v>0.012058999402033</c:v>
                </c:pt>
                <c:pt idx="78">
                  <c:v>0.012058999402033</c:v>
                </c:pt>
                <c:pt idx="79">
                  <c:v>0.012058999402033</c:v>
                </c:pt>
                <c:pt idx="80">
                  <c:v>0.0127566274666135</c:v>
                </c:pt>
                <c:pt idx="81">
                  <c:v>0.0128562886186963</c:v>
                </c:pt>
                <c:pt idx="82">
                  <c:v>0.013155272074945</c:v>
                </c:pt>
                <c:pt idx="83">
                  <c:v>0.0134542555311938</c:v>
                </c:pt>
                <c:pt idx="84">
                  <c:v>0.0160454454853498</c:v>
                </c:pt>
                <c:pt idx="85">
                  <c:v>0.0160454454853498</c:v>
                </c:pt>
                <c:pt idx="86">
                  <c:v>0.0160454454853498</c:v>
                </c:pt>
                <c:pt idx="87">
                  <c:v>0.0165437512457642</c:v>
                </c:pt>
                <c:pt idx="88">
                  <c:v>0.0166434123978472</c:v>
                </c:pt>
                <c:pt idx="89">
                  <c:v>0.016942395854096</c:v>
                </c:pt>
                <c:pt idx="90">
                  <c:v>0.0172413793103448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2022-08-08T09:23:10Z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