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4</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184,770,000.00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户名：工商银行贵阳农商银行超值宝新客专享４期净值型理财产品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账号：3602003829200436216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 xml:space="preserve">-231,888.88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2,236,346.30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189,390,144.90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1.19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2.50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4.26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1.89</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1.19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190,054,109.13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190,054,109.13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190,054,109.13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1,399.29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190,055,508.53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2,445,142,270.00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 xml:space="preserve">224,522,529.80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85,680,409.61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2,591,525,444.24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183,982,500.00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7.10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19中金05</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133,434,000.00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16张店农商二级</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99,290,000.00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98,570,000.00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16西秀01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98,470,000.00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19吉铁02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90,610,000.00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20贵安01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84,900,000.00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20贵安02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84,340,000.00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20贵安03</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83,750,000.00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19长顺社会债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69,916,000.00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1,311,503,500.00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39.64</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3N/UdkYycrq7Xr9gwDIVUC8KffY=" w:salt="25Rfr/ZUajaX1GK3HJXy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53493"/>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593CE0"/>
    <w:rsid w:val="074F5870"/>
    <w:rsid w:val="077D1837"/>
    <w:rsid w:val="14A17047"/>
    <w:rsid w:val="14E74041"/>
    <w:rsid w:val="153D2966"/>
    <w:rsid w:val="188B46A5"/>
    <w:rsid w:val="1CB54D23"/>
    <w:rsid w:val="20620C64"/>
    <w:rsid w:val="29DD5379"/>
    <w:rsid w:val="2AA204DB"/>
    <w:rsid w:val="36DB789F"/>
    <w:rsid w:val="394F4B22"/>
    <w:rsid w:val="39833858"/>
    <w:rsid w:val="3F524561"/>
    <w:rsid w:val="417F3280"/>
    <w:rsid w:val="46776F3C"/>
    <w:rsid w:val="4D1108E2"/>
    <w:rsid w:val="4EE378EB"/>
    <w:rsid w:val="54CB04F5"/>
    <w:rsid w:val="57FE5038"/>
    <w:rsid w:val="58DF7C14"/>
    <w:rsid w:val="5E660FCE"/>
    <w:rsid w:val="64F431AF"/>
    <w:rsid w:val="673B4350"/>
    <w:rsid w:val="67855A67"/>
    <w:rsid w:val="67DF73FA"/>
    <w:rsid w:val="705B15C4"/>
    <w:rsid w:val="770E3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4&#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4&#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'[组合净值信息表_穗贵阳农商行新客4期-外包EDD_20210101_20210331.xls]Sheet1'!$A$1:$A$90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'[组合净值信息表_穗贵阳农商行新客4期-外包EDD_20210101_20210331.xls]Sheet1'!$B$1:$B$90</c:f>
              <c:numCache>
                <c:formatCode>General</c:formatCode>
                <c:ptCount val="90"/>
                <c:pt idx="0">
                  <c:v>1.0129</c:v>
                </c:pt>
                <c:pt idx="1">
                  <c:v>1.0129</c:v>
                </c:pt>
                <c:pt idx="2">
                  <c:v>1.0129</c:v>
                </c:pt>
                <c:pt idx="3">
                  <c:v>1.0133</c:v>
                </c:pt>
                <c:pt idx="4">
                  <c:v>1.0136</c:v>
                </c:pt>
                <c:pt idx="5">
                  <c:v>1.0139</c:v>
                </c:pt>
                <c:pt idx="6">
                  <c:v>1.0145</c:v>
                </c:pt>
                <c:pt idx="7">
                  <c:v>1.015</c:v>
                </c:pt>
                <c:pt idx="8">
                  <c:v>1.015</c:v>
                </c:pt>
                <c:pt idx="9">
                  <c:v>1.015</c:v>
                </c:pt>
                <c:pt idx="10">
                  <c:v>1.0162</c:v>
                </c:pt>
                <c:pt idx="11">
                  <c:v>1.0162</c:v>
                </c:pt>
                <c:pt idx="12">
                  <c:v>1.0166</c:v>
                </c:pt>
                <c:pt idx="13">
                  <c:v>1.0169</c:v>
                </c:pt>
                <c:pt idx="14">
                  <c:v>1.0172</c:v>
                </c:pt>
                <c:pt idx="15">
                  <c:v>1.0172</c:v>
                </c:pt>
                <c:pt idx="16">
                  <c:v>1.0172</c:v>
                </c:pt>
                <c:pt idx="17">
                  <c:v>1.0174</c:v>
                </c:pt>
                <c:pt idx="18">
                  <c:v>1.0172</c:v>
                </c:pt>
                <c:pt idx="19">
                  <c:v>1.0171</c:v>
                </c:pt>
                <c:pt idx="20">
                  <c:v>1.0173</c:v>
                </c:pt>
                <c:pt idx="21">
                  <c:v>1.0176</c:v>
                </c:pt>
                <c:pt idx="22">
                  <c:v>1.0176</c:v>
                </c:pt>
                <c:pt idx="23">
                  <c:v>1.0176</c:v>
                </c:pt>
                <c:pt idx="24">
                  <c:v>1.0142</c:v>
                </c:pt>
                <c:pt idx="25">
                  <c:v>1.0139</c:v>
                </c:pt>
                <c:pt idx="26">
                  <c:v>1.0133</c:v>
                </c:pt>
                <c:pt idx="27">
                  <c:v>1.0131</c:v>
                </c:pt>
                <c:pt idx="28">
                  <c:v>1.0129</c:v>
                </c:pt>
                <c:pt idx="29">
                  <c:v>1.0129</c:v>
                </c:pt>
                <c:pt idx="30">
                  <c:v>1.0132</c:v>
                </c:pt>
                <c:pt idx="31">
                  <c:v>1.0135</c:v>
                </c:pt>
                <c:pt idx="32">
                  <c:v>1.0141</c:v>
                </c:pt>
                <c:pt idx="33">
                  <c:v>1.0146</c:v>
                </c:pt>
                <c:pt idx="34">
                  <c:v>1.0145</c:v>
                </c:pt>
                <c:pt idx="35">
                  <c:v>1.014</c:v>
                </c:pt>
                <c:pt idx="36">
                  <c:v>1.014</c:v>
                </c:pt>
                <c:pt idx="37">
                  <c:v>1.0143</c:v>
                </c:pt>
                <c:pt idx="38">
                  <c:v>1.0146</c:v>
                </c:pt>
                <c:pt idx="39">
                  <c:v>1.0141</c:v>
                </c:pt>
                <c:pt idx="40">
                  <c:v>1.012</c:v>
                </c:pt>
                <c:pt idx="41">
                  <c:v>1.0119</c:v>
                </c:pt>
                <c:pt idx="42">
                  <c:v>1.0119</c:v>
                </c:pt>
                <c:pt idx="43">
                  <c:v>1.0119</c:v>
                </c:pt>
                <c:pt idx="44">
                  <c:v>1.0119</c:v>
                </c:pt>
                <c:pt idx="45">
                  <c:v>1.0119</c:v>
                </c:pt>
                <c:pt idx="46">
                  <c:v>1.0119</c:v>
                </c:pt>
                <c:pt idx="47">
                  <c:v>1.0119</c:v>
                </c:pt>
                <c:pt idx="48">
                  <c:v>1.0136</c:v>
                </c:pt>
                <c:pt idx="49">
                  <c:v>1.0136</c:v>
                </c:pt>
                <c:pt idx="50">
                  <c:v>1.0136</c:v>
                </c:pt>
                <c:pt idx="51">
                  <c:v>1.0136</c:v>
                </c:pt>
                <c:pt idx="52">
                  <c:v>1.0142</c:v>
                </c:pt>
                <c:pt idx="53">
                  <c:v>1.0145</c:v>
                </c:pt>
                <c:pt idx="54">
                  <c:v>1.0149</c:v>
                </c:pt>
                <c:pt idx="55">
                  <c:v>1.0152</c:v>
                </c:pt>
                <c:pt idx="56">
                  <c:v>1.0152</c:v>
                </c:pt>
                <c:pt idx="57">
                  <c:v>1.0152</c:v>
                </c:pt>
                <c:pt idx="58">
                  <c:v>1.0156</c:v>
                </c:pt>
                <c:pt idx="59">
                  <c:v>1.0139</c:v>
                </c:pt>
                <c:pt idx="60">
                  <c:v>1.0141</c:v>
                </c:pt>
                <c:pt idx="61">
                  <c:v>1.0147</c:v>
                </c:pt>
                <c:pt idx="62">
                  <c:v>1.0149</c:v>
                </c:pt>
                <c:pt idx="63">
                  <c:v>1.0153</c:v>
                </c:pt>
                <c:pt idx="64">
                  <c:v>1.0153</c:v>
                </c:pt>
                <c:pt idx="65">
                  <c:v>1.0153</c:v>
                </c:pt>
                <c:pt idx="66">
                  <c:v>1.0163</c:v>
                </c:pt>
                <c:pt idx="67">
                  <c:v>1.0163</c:v>
                </c:pt>
                <c:pt idx="68">
                  <c:v>1.0165</c:v>
                </c:pt>
                <c:pt idx="69">
                  <c:v>1.0166</c:v>
                </c:pt>
                <c:pt idx="70">
                  <c:v>1.02</c:v>
                </c:pt>
                <c:pt idx="71">
                  <c:v>1.02</c:v>
                </c:pt>
                <c:pt idx="72">
                  <c:v>1.02</c:v>
                </c:pt>
                <c:pt idx="73">
                  <c:v>1.0206</c:v>
                </c:pt>
                <c:pt idx="74">
                  <c:v>1.0209</c:v>
                </c:pt>
                <c:pt idx="75">
                  <c:v>1.0212</c:v>
                </c:pt>
                <c:pt idx="76">
                  <c:v>1.0211</c:v>
                </c:pt>
                <c:pt idx="77">
                  <c:v>1.0216</c:v>
                </c:pt>
                <c:pt idx="78">
                  <c:v>1.0216</c:v>
                </c:pt>
                <c:pt idx="79">
                  <c:v>1.0216</c:v>
                </c:pt>
                <c:pt idx="80">
                  <c:v>1.0224</c:v>
                </c:pt>
                <c:pt idx="81">
                  <c:v>1.023</c:v>
                </c:pt>
                <c:pt idx="82">
                  <c:v>1.0233</c:v>
                </c:pt>
                <c:pt idx="83">
                  <c:v>1.0237</c:v>
                </c:pt>
                <c:pt idx="84">
                  <c:v>1.0239</c:v>
                </c:pt>
                <c:pt idx="85">
                  <c:v>1.0239</c:v>
                </c:pt>
                <c:pt idx="86">
                  <c:v>1.0239</c:v>
                </c:pt>
                <c:pt idx="87">
                  <c:v>1.0248</c:v>
                </c:pt>
                <c:pt idx="88">
                  <c:v>1.0249</c:v>
                </c:pt>
                <c:pt idx="89">
                  <c:v>1.025</c:v>
                </c:pt>
              </c:numCache>
            </c:numRef>
          </c:val>
          <c:smooth val="0"/>
        </c:ser>
        <c:dLbls>
          <c:showLegendKey val="0"/>
          <c:showVal val="0"/>
          <c:showCatName val="0"/>
          <c:showSerName val="0"/>
          <c:showPercent val="0"/>
          <c:showBubbleSize val="0"/>
        </c:dLbls>
        <c:marker val="0"/>
        <c:smooth val="0"/>
        <c:axId val="875381523"/>
        <c:axId val="879593420"/>
      </c:lineChart>
      <c:dateAx>
        <c:axId val="87538152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93420"/>
        <c:crosses val="autoZero"/>
        <c:auto val="1"/>
        <c:lblOffset val="100"/>
        <c:baseTimeUnit val="days"/>
      </c:dateAx>
      <c:valAx>
        <c:axId val="8795934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3815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54027777777778"/>
          <c:y val="0.0069444444444444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'[组合净值信息表_穗贵阳农商行新客4期-外包EDD_20210101_20210331.xls]Sheet1'!$A$1:$A$90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'[组合净值信息表_穗贵阳农商行新客4期-外包EDD_20210101_20210331.xls]Sheet1'!$C$1:$C$90</c:f>
              <c:numCache>
                <c:formatCode>0.00%</c:formatCode>
                <c:ptCount val="90"/>
                <c:pt idx="0">
                  <c:v>0</c:v>
                </c:pt>
                <c:pt idx="1">
                  <c:v>0</c:v>
                </c:pt>
                <c:pt idx="2">
                  <c:v>0</c:v>
                </c:pt>
                <c:pt idx="3">
                  <c:v>0.000394905716260441</c:v>
                </c:pt>
                <c:pt idx="4">
                  <c:v>0.000691085003455605</c:v>
                </c:pt>
                <c:pt idx="5">
                  <c:v>0.000987264290650769</c:v>
                </c:pt>
                <c:pt idx="6">
                  <c:v>0.0015796228650411</c:v>
                </c:pt>
                <c:pt idx="7">
                  <c:v>0.00207325501036637</c:v>
                </c:pt>
                <c:pt idx="8">
                  <c:v>0.00207325501036637</c:v>
                </c:pt>
                <c:pt idx="9">
                  <c:v>0.00207325501036637</c:v>
                </c:pt>
                <c:pt idx="10">
                  <c:v>0.00325797215914703</c:v>
                </c:pt>
                <c:pt idx="11">
                  <c:v>0.00325797215914703</c:v>
                </c:pt>
                <c:pt idx="12">
                  <c:v>0.00365287787540725</c:v>
                </c:pt>
                <c:pt idx="13">
                  <c:v>0.00394905716260241</c:v>
                </c:pt>
                <c:pt idx="14">
                  <c:v>0.0042452364497978</c:v>
                </c:pt>
                <c:pt idx="15">
                  <c:v>0.0042452364497978</c:v>
                </c:pt>
                <c:pt idx="16">
                  <c:v>0.0042452364497978</c:v>
                </c:pt>
                <c:pt idx="17">
                  <c:v>0.00444268930792791</c:v>
                </c:pt>
                <c:pt idx="18">
                  <c:v>0.0042452364497978</c:v>
                </c:pt>
                <c:pt idx="19">
                  <c:v>0.00414651002073252</c:v>
                </c:pt>
                <c:pt idx="20">
                  <c:v>0.00434396287886285</c:v>
                </c:pt>
                <c:pt idx="21">
                  <c:v>0.00464014216605801</c:v>
                </c:pt>
                <c:pt idx="22">
                  <c:v>0.00464014216605801</c:v>
                </c:pt>
                <c:pt idx="23">
                  <c:v>0.00464014216605801</c:v>
                </c:pt>
                <c:pt idx="24">
                  <c:v>0.00128344357784593</c:v>
                </c:pt>
                <c:pt idx="25">
                  <c:v>0.000987264290650769</c:v>
                </c:pt>
                <c:pt idx="26">
                  <c:v>0.000394905716260441</c:v>
                </c:pt>
                <c:pt idx="27">
                  <c:v>0.000197452858130109</c:v>
                </c:pt>
                <c:pt idx="28">
                  <c:v>0</c:v>
                </c:pt>
                <c:pt idx="29">
                  <c:v>0</c:v>
                </c:pt>
                <c:pt idx="30">
                  <c:v>0.000296179287195386</c:v>
                </c:pt>
                <c:pt idx="31">
                  <c:v>0.00059235857439055</c:v>
                </c:pt>
                <c:pt idx="32">
                  <c:v>0.00118471714878088</c:v>
                </c:pt>
                <c:pt idx="33">
                  <c:v>0.00167834929410615</c:v>
                </c:pt>
                <c:pt idx="34">
                  <c:v>0.0015796228650411</c:v>
                </c:pt>
                <c:pt idx="35">
                  <c:v>0.00108599071971582</c:v>
                </c:pt>
                <c:pt idx="36">
                  <c:v>0.00108599071971582</c:v>
                </c:pt>
                <c:pt idx="37">
                  <c:v>0.00138217000691099</c:v>
                </c:pt>
                <c:pt idx="38">
                  <c:v>0.00167834929410615</c:v>
                </c:pt>
                <c:pt idx="39">
                  <c:v>0.00118471714878088</c:v>
                </c:pt>
                <c:pt idx="40">
                  <c:v>-0.000888537861585492</c:v>
                </c:pt>
                <c:pt idx="41">
                  <c:v>-0.000987264290650547</c:v>
                </c:pt>
                <c:pt idx="42">
                  <c:v>-0.000987264290650547</c:v>
                </c:pt>
                <c:pt idx="43">
                  <c:v>-0.000987264290650547</c:v>
                </c:pt>
                <c:pt idx="44">
                  <c:v>-0.000987264290650547</c:v>
                </c:pt>
                <c:pt idx="45">
                  <c:v>-0.000987264290650547</c:v>
                </c:pt>
                <c:pt idx="46">
                  <c:v>-0.000987264290650547</c:v>
                </c:pt>
                <c:pt idx="47">
                  <c:v>-0.000987264290650547</c:v>
                </c:pt>
                <c:pt idx="48">
                  <c:v>0.000691085003455605</c:v>
                </c:pt>
                <c:pt idx="49">
                  <c:v>0.000691085003455605</c:v>
                </c:pt>
                <c:pt idx="50">
                  <c:v>0.000691085003455605</c:v>
                </c:pt>
                <c:pt idx="51">
                  <c:v>0.000691085003455605</c:v>
                </c:pt>
                <c:pt idx="52">
                  <c:v>0.00128344357784593</c:v>
                </c:pt>
                <c:pt idx="53">
                  <c:v>0.0015796228650411</c:v>
                </c:pt>
                <c:pt idx="54">
                  <c:v>0.00197452858130132</c:v>
                </c:pt>
                <c:pt idx="55">
                  <c:v>0.00227070786849648</c:v>
                </c:pt>
                <c:pt idx="56">
                  <c:v>0.00227070786849648</c:v>
                </c:pt>
                <c:pt idx="57">
                  <c:v>0.00227070786849648</c:v>
                </c:pt>
                <c:pt idx="58">
                  <c:v>0.0026656135847567</c:v>
                </c:pt>
                <c:pt idx="59">
                  <c:v>0.000987264290650769</c:v>
                </c:pt>
                <c:pt idx="60">
                  <c:v>0.00118471714878088</c:v>
                </c:pt>
                <c:pt idx="61">
                  <c:v>0.00177707572317121</c:v>
                </c:pt>
                <c:pt idx="62">
                  <c:v>0.00197452858130132</c:v>
                </c:pt>
                <c:pt idx="63">
                  <c:v>0.00236943429756153</c:v>
                </c:pt>
                <c:pt idx="64">
                  <c:v>0.00236943429756153</c:v>
                </c:pt>
                <c:pt idx="65">
                  <c:v>0.00236943429756153</c:v>
                </c:pt>
                <c:pt idx="66">
                  <c:v>0.00335669858821208</c:v>
                </c:pt>
                <c:pt idx="67">
                  <c:v>0.00335669858821208</c:v>
                </c:pt>
                <c:pt idx="68">
                  <c:v>0.00355415144634219</c:v>
                </c:pt>
                <c:pt idx="69">
                  <c:v>0.00365287787540725</c:v>
                </c:pt>
                <c:pt idx="70">
                  <c:v>0.00700957646361933</c:v>
                </c:pt>
                <c:pt idx="71">
                  <c:v>0.00700957646361933</c:v>
                </c:pt>
                <c:pt idx="72">
                  <c:v>0.00700957646361933</c:v>
                </c:pt>
                <c:pt idx="73">
                  <c:v>0.00760193503800966</c:v>
                </c:pt>
                <c:pt idx="74">
                  <c:v>0.00789811432520482</c:v>
                </c:pt>
                <c:pt idx="75">
                  <c:v>0.00819429361240021</c:v>
                </c:pt>
                <c:pt idx="76">
                  <c:v>0.00809556718333493</c:v>
                </c:pt>
                <c:pt idx="77">
                  <c:v>0.00858919932866042</c:v>
                </c:pt>
                <c:pt idx="78">
                  <c:v>0.00858919932866042</c:v>
                </c:pt>
                <c:pt idx="79">
                  <c:v>0.00858919932866042</c:v>
                </c:pt>
                <c:pt idx="80">
                  <c:v>0.00937901076118086</c:v>
                </c:pt>
                <c:pt idx="81">
                  <c:v>0.00997136933557119</c:v>
                </c:pt>
                <c:pt idx="82">
                  <c:v>0.0102675486227666</c:v>
                </c:pt>
                <c:pt idx="83">
                  <c:v>0.0106624543390268</c:v>
                </c:pt>
                <c:pt idx="84">
                  <c:v>0.0108599071971569</c:v>
                </c:pt>
                <c:pt idx="85">
                  <c:v>0.0108599071971569</c:v>
                </c:pt>
                <c:pt idx="86">
                  <c:v>0.0108599071971569</c:v>
                </c:pt>
                <c:pt idx="87">
                  <c:v>0.0117484450587422</c:v>
                </c:pt>
                <c:pt idx="88">
                  <c:v>0.0118471714878072</c:v>
                </c:pt>
                <c:pt idx="89">
                  <c:v>0.0119458979168723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'[组合净值信息表_穗贵阳农商行新客4期-外包EDD_20210101_20210331.xls]Sheet1'!$A$1:$A$90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'[组合净值信息表_穗贵阳农商行新客4期-外包EDD_20210101_20210331.xls]Sheet1'!$E$1:$E$90</c:f>
              <c:numCache>
                <c:formatCode>0.00%</c:formatCode>
                <c:ptCount val="90"/>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numCache>
            </c:numRef>
          </c:val>
          <c:smooth val="0"/>
        </c:ser>
        <c:dLbls>
          <c:showLegendKey val="0"/>
          <c:showVal val="0"/>
          <c:showCatName val="0"/>
          <c:showSerName val="0"/>
          <c:showPercent val="0"/>
          <c:showBubbleSize val="0"/>
        </c:dLbls>
        <c:marker val="0"/>
        <c:smooth val="0"/>
        <c:axId val="804303711"/>
        <c:axId val="106906639"/>
      </c:lineChart>
      <c:dateAx>
        <c:axId val="8043037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906639"/>
        <c:crosses val="autoZero"/>
        <c:auto val="1"/>
        <c:lblOffset val="100"/>
        <c:baseTimeUnit val="days"/>
      </c:dateAx>
      <c:valAx>
        <c:axId val="10690663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43037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