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color w:val="auto"/>
          <w:sz w:val="48"/>
          <w:szCs w:val="48"/>
          <w:u w:val="single"/>
          <w:shd w:val="clear" w:color="auto" w:fill="FFFFFF"/>
        </w:rPr>
      </w:pPr>
      <w:r>
        <w:rPr>
          <w:rFonts w:hint="eastAsia" w:ascii="宋体" w:hAnsi="宋体"/>
          <w:color w:val="auto"/>
          <w:sz w:val="48"/>
          <w:szCs w:val="48"/>
          <w:shd w:val="clear" w:color="auto" w:fill="FFFFFF"/>
        </w:rPr>
        <w:t>超值宝3年第6期理财产品</w:t>
      </w:r>
    </w:p>
    <w:p>
      <w:pPr>
        <w:spacing w:before="156" w:beforeLines="50" w:after="156" w:afterLines="50" w:line="360" w:lineRule="auto"/>
        <w:jc w:val="center"/>
        <w:rPr>
          <w:rFonts w:ascii="宋体" w:hAnsi="宋体"/>
          <w:color w:val="auto"/>
          <w:sz w:val="48"/>
          <w:szCs w:val="48"/>
        </w:rPr>
      </w:pPr>
      <w:r>
        <w:rPr>
          <w:rFonts w:ascii="宋体" w:hAnsi="宋体"/>
          <w:color w:val="auto"/>
          <w:sz w:val="48"/>
          <w:szCs w:val="48"/>
          <w:shd w:val="clear" w:color="auto" w:fill="FFFFFF"/>
        </w:rPr>
        <w:t>2022年第4季度</w:t>
      </w:r>
      <w:r>
        <w:rPr>
          <w:rFonts w:hint="eastAsia" w:ascii="宋体" w:hAnsi="宋体"/>
          <w:color w:val="auto"/>
          <w:sz w:val="48"/>
          <w:szCs w:val="48"/>
          <w:shd w:val="clear" w:color="auto" w:fill="FFFFFF"/>
        </w:rPr>
        <w:t>报告</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r>
        <w:rPr>
          <w:rFonts w:ascii="宋体" w:hAnsi="宋体"/>
          <w:b/>
          <w:color w:val="auto"/>
          <w:sz w:val="32"/>
          <w:szCs w:val="32"/>
          <w:shd w:val="clear" w:color="auto" w:fill="FFFFFF"/>
        </w:rPr>
        <w:t>2022年12月31日</w:t>
      </w:r>
      <w:bookmarkStart w:id="0" w:name="OLE_LINK1"/>
      <w:bookmarkEnd w:id="0"/>
      <w:bookmarkStart w:id="1" w:name="OLE_LINK2"/>
      <w:bookmarkEnd w:id="1"/>
      <w:bookmarkStart w:id="2" w:name="OLE_LINK3"/>
      <w:bookmarkEnd w:id="2"/>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r>
        <w:rPr>
          <w:rFonts w:hint="eastAsia" w:ascii="宋体" w:hAnsi="宋体"/>
          <w:b/>
          <w:color w:val="auto"/>
          <w:sz w:val="32"/>
          <w:szCs w:val="32"/>
          <w:shd w:val="clear" w:color="auto" w:fill="FFFFFF"/>
        </w:rPr>
        <w:t>产品管理人：</w:t>
      </w:r>
      <w:r>
        <w:rPr>
          <w:rFonts w:ascii="宋体" w:hAnsi="宋体"/>
          <w:b/>
          <w:color w:val="auto"/>
          <w:sz w:val="32"/>
          <w:szCs w:val="32"/>
          <w:shd w:val="clear" w:color="auto" w:fill="FFFFFF"/>
        </w:rPr>
        <w:t>贵阳农村商业银行股份有限公司</w:t>
      </w:r>
    </w:p>
    <w:p>
      <w:pPr>
        <w:spacing w:before="156" w:beforeLines="50" w:after="156" w:afterLines="50" w:line="360" w:lineRule="auto"/>
        <w:jc w:val="center"/>
        <w:rPr>
          <w:rFonts w:ascii="宋体" w:hAnsi="宋体"/>
          <w:b/>
          <w:color w:val="auto"/>
          <w:sz w:val="32"/>
          <w:szCs w:val="32"/>
          <w:shd w:val="clear" w:color="auto" w:fill="FFFFFF"/>
        </w:rPr>
      </w:pPr>
      <w:r>
        <w:rPr>
          <w:rFonts w:hint="eastAsia" w:ascii="宋体" w:hAnsi="宋体"/>
          <w:b/>
          <w:color w:val="auto"/>
          <w:sz w:val="32"/>
          <w:szCs w:val="32"/>
          <w:shd w:val="clear" w:color="auto" w:fill="FFFFFF"/>
        </w:rPr>
        <w:t>产品托管人：</w:t>
      </w:r>
      <w:r>
        <w:rPr>
          <w:rFonts w:hint="eastAsia" w:ascii="宋体" w:hAnsi="宋体"/>
          <w:b/>
          <w:color w:val="auto"/>
          <w:sz w:val="32"/>
          <w:szCs w:val="32"/>
          <w:shd w:val="clear" w:color="auto" w:fill="FFFFFF"/>
        </w:rPr>
        <w:t>招商银行股份有限公司</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hint="eastAsia" w:ascii="宋体" w:hAnsi="宋体"/>
          <w:b/>
          <w:color w:val="auto"/>
          <w:sz w:val="32"/>
          <w:szCs w:val="32"/>
          <w:shd w:val="clear" w:color="auto" w:fill="FFFFFF"/>
        </w:rPr>
      </w:pP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shd w:val="clear" w:color="auto" w:fill="FFFFFF"/>
        </w:rPr>
        <w:t>§1  重要提示</w:t>
      </w:r>
    </w:p>
    <w:p>
      <w:pPr>
        <w:spacing w:before="156" w:beforeLines="50" w:after="156" w:afterLines="50" w:line="600" w:lineRule="exact"/>
        <w:ind w:firstLine="420" w:firstLineChars="200"/>
        <w:rPr>
          <w:color w:val="auto"/>
        </w:rPr>
      </w:pPr>
      <w:r>
        <w:rPr>
          <w:color w:val="auto"/>
        </w:rPr>
        <w:t>产品管理人保证本报告所载资料不存在虚假记载、误导性陈述或重大遗漏</w:t>
      </w:r>
      <w:r>
        <w:rPr>
          <w:rFonts w:hint="eastAsia"/>
          <w:color w:val="auto"/>
        </w:rPr>
        <w:t>，</w:t>
      </w:r>
      <w:r>
        <w:rPr>
          <w:color w:val="auto"/>
        </w:rPr>
        <w:t>并对其内容的真实性、准确性和完整性承担个别及连带责任。</w:t>
      </w:r>
    </w:p>
    <w:p>
      <w:pPr>
        <w:spacing w:before="156" w:beforeLines="50" w:after="156" w:afterLines="50" w:line="600" w:lineRule="exact"/>
        <w:ind w:firstLine="420" w:firstLineChars="200"/>
        <w:rPr>
          <w:rFonts w:ascii="宋体" w:hAnsi="宋体"/>
          <w:b/>
          <w:color w:val="auto"/>
          <w:sz w:val="32"/>
          <w:szCs w:val="32"/>
          <w:shd w:val="clear" w:color="auto" w:fill="FFFFFF"/>
        </w:rPr>
      </w:pPr>
      <w:r>
        <w:rPr>
          <w:color w:val="auto"/>
        </w:rPr>
        <w:t>产品托管人</w:t>
      </w:r>
      <w:r>
        <w:rPr>
          <w:rFonts w:hint="eastAsia"/>
          <w:color w:val="auto"/>
        </w:rPr>
        <w:t>招商</w:t>
      </w:r>
      <w:r>
        <w:rPr>
          <w:color w:val="auto"/>
        </w:rPr>
        <w:t>银行股份有限公司</w:t>
      </w:r>
      <w:r>
        <w:rPr>
          <w:rFonts w:hint="eastAsia"/>
          <w:color w:val="auto"/>
        </w:rPr>
        <w:t>，</w:t>
      </w:r>
      <w:r>
        <w:rPr>
          <w:color w:val="auto"/>
        </w:rPr>
        <w:t>已复核了本报告中的财务指标、净值表现和投资组合报告等内容</w:t>
      </w:r>
      <w:r>
        <w:rPr>
          <w:rFonts w:hint="eastAsia"/>
          <w:color w:val="auto"/>
        </w:rPr>
        <w:t>，</w:t>
      </w:r>
      <w:r>
        <w:rPr>
          <w:color w:val="auto"/>
        </w:rPr>
        <w:t>保证复核内容不存在虚假记载、误导性陈述或者重大遗漏</w:t>
      </w:r>
      <w:r>
        <w:rPr>
          <w:rFonts w:hint="eastAsia"/>
          <w:color w:val="auto"/>
        </w:rPr>
        <w:t>。</w:t>
      </w:r>
      <w:r>
        <w:rPr>
          <w:color w:val="auto"/>
        </w:rPr>
        <w:t>本报告中财务资料未经审计</w:t>
      </w:r>
      <w:r>
        <w:rPr>
          <w:rFonts w:hint="eastAsia"/>
          <w:color w:val="auto"/>
        </w:rPr>
        <w:t>。</w:t>
      </w:r>
      <w:r>
        <w:rPr>
          <w:color w:val="auto"/>
        </w:rPr>
        <w:t>2022年10月01日</w:t>
      </w:r>
      <w:bookmarkStart w:id="3" w:name="OLE_LINK5"/>
      <w:bookmarkEnd w:id="3"/>
      <w:bookmarkStart w:id="4" w:name="OLE_LINK6"/>
      <w:bookmarkEnd w:id="4"/>
      <w:r>
        <w:rPr>
          <w:color w:val="auto"/>
        </w:rPr>
        <w:t>起至2022年12月31日止。</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rPr>
          <w:rFonts w:ascii="宋体" w:hAnsi="宋体"/>
          <w:color w:val="auto"/>
          <w:sz w:val="24"/>
          <w:szCs w:val="24"/>
        </w:rPr>
      </w:pPr>
    </w:p>
    <w:p>
      <w:pPr>
        <w:spacing w:before="156" w:beforeLines="50" w:after="156" w:afterLines="50" w:line="360" w:lineRule="auto"/>
        <w:jc w:val="center"/>
        <w:rPr>
          <w:rFonts w:asciiTheme="minorEastAsia" w:hAnsiTheme="minorEastAsia" w:eastAsiaTheme="minorEastAsia"/>
          <w:b/>
          <w:color w:val="auto"/>
          <w:sz w:val="24"/>
          <w:szCs w:val="24"/>
          <w:shd w:val="clear" w:color="auto" w:fill="FFFFFF"/>
        </w:rPr>
      </w:pPr>
      <w:bookmarkStart w:id="5" w:name="_Toc528772556"/>
      <w:bookmarkStart w:id="6" w:name="_Toc194311890"/>
      <w:r>
        <w:rPr>
          <w:rFonts w:hint="eastAsia" w:asciiTheme="minorEastAsia" w:hAnsiTheme="minorEastAsia" w:eastAsiaTheme="minorEastAsia"/>
          <w:b/>
          <w:color w:val="auto"/>
          <w:sz w:val="24"/>
          <w:szCs w:val="24"/>
          <w:shd w:val="clear" w:color="auto" w:fill="FFFFFF"/>
        </w:rPr>
        <w:t>§2</w:t>
      </w:r>
      <w:bookmarkEnd w:id="5"/>
      <w:bookmarkEnd w:id="6"/>
      <w:r>
        <w:rPr>
          <w:rFonts w:hint="eastAsia" w:asciiTheme="minorEastAsia" w:hAnsiTheme="minorEastAsia" w:eastAsiaTheme="minorEastAsia"/>
          <w:b/>
          <w:color w:val="auto"/>
          <w:sz w:val="24"/>
          <w:szCs w:val="24"/>
          <w:shd w:val="clear" w:color="auto" w:fill="FFFFFF"/>
        </w:rPr>
        <w:t>产品概况</w:t>
      </w:r>
    </w:p>
    <w:p>
      <w:pPr>
        <w:spacing w:before="156" w:beforeLines="50" w:after="156" w:afterLines="50" w:line="360" w:lineRule="auto"/>
        <w:jc w:val="center"/>
        <w:rPr>
          <w:rFonts w:asciiTheme="minorEastAsia" w:hAnsiTheme="minorEastAsia" w:eastAsiaTheme="minorEastAsia"/>
          <w:b/>
          <w:color w:val="auto"/>
          <w:sz w:val="24"/>
          <w:szCs w:val="24"/>
          <w:shd w:val="clear" w:color="auto" w:fill="FFFFFF"/>
        </w:rPr>
      </w:pPr>
    </w:p>
    <w:tbl>
      <w:tblPr>
        <w:tblStyle w:val="11"/>
        <w:tblpPr w:leftFromText="180" w:rightFromText="180" w:vertAnchor="text" w:horzAnchor="margin" w:tblpY="81"/>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27"/>
        <w:gridCol w:w="5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产品名称</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ascii="宋体" w:hAnsi="宋体"/>
                <w:color w:val="auto"/>
                <w:kern w:val="0"/>
                <w:szCs w:val="21"/>
                <w:shd w:val="clear" w:color="auto" w:fill="FFFFFF"/>
              </w:rPr>
              <w:t>超值宝3年第6期理财产品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产品登记编码</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kern w:val="0"/>
                <w:szCs w:val="21"/>
                <w:shd w:val="clear" w:color="auto" w:fill="FFFFFF"/>
              </w:rPr>
              <w:t>C1188320000048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报告期末产品份额总额</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 w:val="22"/>
                <w:szCs w:val="22"/>
              </w:rPr>
            </w:pPr>
            <w:r>
              <w:rPr>
                <w:rFonts w:ascii="宋体" w:hAnsi="宋体"/>
                <w:color w:val="auto"/>
                <w:kern w:val="0"/>
                <w:szCs w:val="21"/>
                <w:shd w:val="clear" w:color="auto" w:fill="FFFFFF"/>
              </w:rPr>
              <w:t>31,860,000.00份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报告期末产品存续规模</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 w:val="22"/>
                <w:szCs w:val="22"/>
              </w:rPr>
            </w:pPr>
            <w:r>
              <w:rPr>
                <w:rFonts w:ascii="宋体" w:hAnsi="宋体"/>
                <w:color w:val="auto"/>
                <w:szCs w:val="21"/>
                <w:shd w:val="clear" w:color="auto" w:fill="FFFFFF"/>
              </w:rPr>
              <w:t>38,381,800.38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投资类型</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投资标的</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投资策略</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kern w:val="0"/>
                <w:szCs w:val="21"/>
                <w:shd w:val="clear" w:color="auto" w:fill="FFFFFF"/>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w:t>
            </w:r>
            <w:r>
              <w:rPr>
                <w:rFonts w:ascii="宋体" w:hAnsi="宋体"/>
                <w:color w:val="auto"/>
                <w:szCs w:val="21"/>
                <w:shd w:val="clear" w:color="auto" w:fill="FFFFFF"/>
              </w:rPr>
              <w:t>费率</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本产品收取固定销售费</w:t>
            </w:r>
            <w:r>
              <w:rPr>
                <w:rFonts w:ascii="宋体" w:hAnsi="宋体"/>
                <w:color w:val="auto"/>
                <w:szCs w:val="21"/>
                <w:shd w:val="clear" w:color="auto" w:fill="FFFFFF"/>
              </w:rPr>
              <w:t>0.20000</w:t>
            </w:r>
            <w:r>
              <w:rPr>
                <w:rFonts w:hint="eastAsia" w:ascii="宋体" w:hAnsi="宋体"/>
                <w:color w:val="auto"/>
                <w:szCs w:val="21"/>
                <w:shd w:val="clear" w:color="auto" w:fill="FFFFFF"/>
              </w:rPr>
              <w:t>%/年</w:t>
            </w:r>
            <w:r>
              <w:rPr>
                <w:rFonts w:hint="eastAsia" w:ascii="宋体" w:hAnsi="宋体"/>
                <w:color w:val="auto"/>
                <w:szCs w:val="21"/>
                <w:shd w:val="clear" w:color="auto" w:fill="FFFFFF"/>
              </w:rPr>
              <w:t>，固定管理费</w:t>
            </w:r>
            <w:r>
              <w:rPr>
                <w:rFonts w:ascii="宋体" w:hAnsi="宋体"/>
                <w:color w:val="auto"/>
                <w:szCs w:val="21"/>
                <w:shd w:val="clear" w:color="auto" w:fill="FFFFFF"/>
              </w:rPr>
              <w:t>0.30000</w:t>
            </w:r>
            <w:r>
              <w:rPr>
                <w:rFonts w:hint="eastAsia" w:ascii="宋体" w:hAnsi="宋体"/>
                <w:color w:val="auto"/>
                <w:szCs w:val="21"/>
                <w:shd w:val="clear" w:color="auto" w:fill="FFFFFF"/>
              </w:rPr>
              <w:t>%/年</w:t>
            </w:r>
            <w:r>
              <w:rPr>
                <w:rFonts w:hint="eastAsia" w:ascii="宋体" w:hAnsi="宋体"/>
                <w:color w:val="auto"/>
                <w:szCs w:val="21"/>
                <w:shd w:val="clear" w:color="auto" w:fill="FFFFFF"/>
              </w:rPr>
              <w:t>、固定托管费</w:t>
            </w:r>
            <w:r>
              <w:rPr>
                <w:rFonts w:ascii="宋体" w:hAnsi="宋体"/>
                <w:color w:val="auto"/>
                <w:szCs w:val="21"/>
                <w:shd w:val="clear" w:color="auto" w:fill="FFFFFF"/>
              </w:rPr>
              <w:t>0.02000</w:t>
            </w:r>
            <w:r>
              <w:rPr>
                <w:rFonts w:hint="eastAsia" w:ascii="宋体" w:hAnsi="宋体"/>
                <w:color w:val="auto"/>
                <w:szCs w:val="21"/>
                <w:shd w:val="clear" w:color="auto" w:fill="FFFFFF"/>
              </w:rPr>
              <w:t>%/年</w:t>
            </w:r>
            <w:r>
              <w:rPr>
                <w:rFonts w:hint="eastAsia" w:ascii="宋体" w:hAnsi="宋体"/>
                <w:color w:val="auto"/>
                <w:szCs w:val="21"/>
                <w:shd w:val="clear" w:color="auto" w:fill="FFFFFF"/>
              </w:rPr>
              <w:t>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成立日</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p>
          <w:p>
            <w:pPr>
              <w:rPr>
                <w:rFonts w:ascii="宋体" w:hAnsi="宋体"/>
                <w:color w:val="auto"/>
                <w:szCs w:val="21"/>
                <w:shd w:val="clear" w:color="auto" w:fill="FFFFFF"/>
              </w:rPr>
            </w:pPr>
            <w:r>
              <w:rPr>
                <w:rFonts w:ascii="宋体" w:hAnsi="宋体"/>
                <w:color w:val="auto"/>
                <w:szCs w:val="21"/>
                <w:shd w:val="clear" w:color="auto" w:fill="FFFFFF"/>
              </w:rPr>
              <w:t>2020年05月06日</w:t>
            </w:r>
          </w:p>
          <w:p>
            <w:pPr>
              <w:rPr>
                <w:rFonts w:ascii="宋体" w:hAnsi="宋体"/>
                <w:color w:val="auto"/>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终止日</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ascii="宋体" w:hAnsi="宋体"/>
                <w:color w:val="auto"/>
                <w:szCs w:val="21"/>
                <w:shd w:val="clear" w:color="auto" w:fill="FFFFFF"/>
              </w:rPr>
              <w:t>2023年04月27日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估值方法</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杠杆水平</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ascii="宋体" w:hAnsi="宋体"/>
                <w:color w:val="auto"/>
                <w:szCs w:val="21"/>
                <w:shd w:val="clear" w:color="auto" w:fill="FFFFFF"/>
              </w:rPr>
              <w:t>101.26%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业绩比较基准</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6.7%/年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风险等级</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产品管理人</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ascii="宋体" w:hAnsi="宋体"/>
                <w:color w:val="auto"/>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产品托管人</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招商银行股份有限公司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投资账户信息</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szCs w:val="21"/>
                <w:shd w:val="clear" w:color="auto" w:fill="FFFFFF"/>
              </w:rPr>
              <w:t xml:space="preserve">户名： </w:t>
            </w:r>
            <w:r>
              <w:rPr>
                <w:rFonts w:hint="eastAsia"/>
                <w:color w:val="auto"/>
              </w:rPr>
              <w:t>贵阳农村商业银行股份有限公司-超值宝3年第6期</w:t>
            </w:r>
          </w:p>
          <w:p>
            <w:pPr>
              <w:rPr>
                <w:rFonts w:ascii="宋体" w:hAnsi="宋体"/>
                <w:color w:val="auto"/>
                <w:szCs w:val="21"/>
                <w:shd w:val="clear" w:color="auto" w:fill="FFFFFF"/>
              </w:rPr>
            </w:pPr>
            <w:r>
              <w:rPr>
                <w:rFonts w:hint="eastAsia" w:ascii="宋体" w:hAnsi="宋体"/>
                <w:color w:val="auto"/>
                <w:szCs w:val="21"/>
                <w:shd w:val="clear" w:color="auto" w:fill="FFFFFF"/>
              </w:rPr>
              <w:t xml:space="preserve">账号： </w:t>
            </w:r>
            <w:r>
              <w:rPr>
                <w:color w:val="auto"/>
              </w:rPr>
              <w:t>851900159610358</w:t>
            </w:r>
          </w:p>
          <w:p>
            <w:pPr>
              <w:rPr>
                <w:rFonts w:ascii="宋体" w:hAnsi="宋体"/>
                <w:color w:val="auto"/>
                <w:szCs w:val="21"/>
                <w:shd w:val="clear" w:color="auto" w:fill="FFFFFF"/>
              </w:rPr>
            </w:pPr>
            <w:r>
              <w:rPr>
                <w:rFonts w:hint="eastAsia" w:ascii="宋体" w:hAnsi="宋体"/>
                <w:color w:val="auto"/>
                <w:szCs w:val="21"/>
                <w:shd w:val="clear" w:color="auto" w:fill="FFFFFF"/>
              </w:rPr>
              <w:t xml:space="preserve">开户行： </w:t>
            </w:r>
            <w:r>
              <w:rPr>
                <w:rFonts w:hint="eastAsia"/>
                <w:color w:val="auto"/>
              </w:rPr>
              <w:t>招商银行贵阳分行营业部</w:t>
            </w:r>
          </w:p>
        </w:tc>
      </w:tr>
    </w:tbl>
    <w:p>
      <w:pPr>
        <w:widowControl/>
        <w:jc w:val="left"/>
        <w:rPr>
          <w:rFonts w:asciiTheme="minorEastAsia" w:hAnsiTheme="minorEastAsia" w:eastAsiaTheme="minorEastAsia"/>
          <w:b/>
          <w:color w:val="auto"/>
          <w:sz w:val="24"/>
          <w:szCs w:val="24"/>
        </w:rPr>
      </w:pPr>
    </w:p>
    <w:p>
      <w:pPr>
        <w:spacing w:before="156" w:beforeLines="50" w:after="156" w:afterLines="50" w:line="360" w:lineRule="auto"/>
        <w:jc w:val="center"/>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3</w:t>
      </w:r>
      <w:r>
        <w:rPr>
          <w:rFonts w:hint="eastAsia" w:asciiTheme="minorEastAsia" w:hAnsiTheme="minorEastAsia" w:eastAsiaTheme="minorEastAsia"/>
          <w:b/>
          <w:color w:val="auto"/>
          <w:sz w:val="24"/>
          <w:szCs w:val="24"/>
        </w:rPr>
        <w:t xml:space="preserve">  主要财务指标和净值表现</w:t>
      </w:r>
    </w:p>
    <w:p>
      <w:pPr>
        <w:spacing w:before="156" w:beforeLines="50" w:line="360" w:lineRule="exact"/>
        <w:rPr>
          <w:b/>
          <w:color w:val="auto"/>
        </w:rPr>
      </w:pPr>
      <w:r>
        <w:rPr>
          <w:b/>
          <w:color w:val="auto"/>
        </w:rPr>
        <w:t xml:space="preserve">3.1 </w:t>
      </w:r>
      <w:r>
        <w:rPr>
          <w:rFonts w:hint="eastAsia"/>
          <w:b/>
          <w:color w:val="auto"/>
        </w:rPr>
        <w:t>主要财务指标</w:t>
      </w:r>
    </w:p>
    <w:p>
      <w:pPr>
        <w:spacing w:before="156" w:beforeLines="50" w:line="360" w:lineRule="exact"/>
        <w:jc w:val="right"/>
        <w:rPr>
          <w:color w:val="auto"/>
        </w:rPr>
      </w:pPr>
      <w:r>
        <w:rPr>
          <w:rFonts w:hint="eastAsia"/>
          <w:color w:val="auto"/>
        </w:rPr>
        <w:t>单位：人民币元</w:t>
      </w:r>
    </w:p>
    <w:tbl>
      <w:tblPr>
        <w:tblStyle w:val="12"/>
        <w:tblW w:w="8296"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551"/>
        <w:gridCol w:w="574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5" w:hRule="atLeast"/>
        </w:trPr>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主要财务指标</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报告期（</w:t>
            </w:r>
            <w:r>
              <w:rPr>
                <w:rFonts w:ascii="宋体" w:hAnsi="宋体"/>
                <w:color w:val="auto"/>
                <w:szCs w:val="21"/>
                <w:shd w:val="clear" w:color="auto" w:fill="FFFFFF"/>
              </w:rPr>
              <w:t>2022年10月01日</w:t>
            </w:r>
            <w:r>
              <w:rPr>
                <w:rFonts w:hint="eastAsia" w:ascii="宋体" w:hAnsi="宋体"/>
                <w:color w:val="auto"/>
                <w:szCs w:val="21"/>
                <w:shd w:val="clear" w:color="auto" w:fill="FFFFFF"/>
              </w:rPr>
              <w:t>-</w:t>
            </w:r>
            <w:r>
              <w:rPr>
                <w:rFonts w:ascii="宋体" w:hAnsi="宋体"/>
                <w:color w:val="auto"/>
                <w:szCs w:val="21"/>
                <w:shd w:val="clear" w:color="auto" w:fill="FFFFFF"/>
              </w:rPr>
              <w:t>2022年12月31日</w:t>
            </w:r>
            <w:r>
              <w:rPr>
                <w:rFonts w:hint="eastAsia" w:ascii="宋体" w:hAnsi="宋体"/>
                <w:color w:val="auto"/>
                <w:szCs w:val="21"/>
                <w:shd w:val="clear" w:color="auto" w:fill="FFFFFF"/>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1.</w:t>
            </w:r>
            <w:r>
              <w:rPr>
                <w:rFonts w:hint="eastAsia" w:ascii="宋体" w:hAnsi="宋体"/>
                <w:color w:val="auto"/>
                <w:szCs w:val="21"/>
              </w:rPr>
              <w:t>本期已实现收益</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-50,219.29</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2.本期利润</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258,038.94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3.期末产品资产净值</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38,381,800.38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4.期末产品份额净值</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1.2047</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5.期末产品份额累计净值</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1.2047</w:t>
            </w:r>
          </w:p>
        </w:tc>
      </w:tr>
    </w:tbl>
    <w:p>
      <w:pPr>
        <w:spacing w:before="156" w:beforeLines="50" w:line="360" w:lineRule="exact"/>
        <w:rPr>
          <w:color w:val="auto"/>
        </w:rPr>
      </w:pPr>
      <w:r>
        <w:rPr>
          <w:rFonts w:hint="eastAsia"/>
          <w:color w:val="auto"/>
        </w:rPr>
        <w:t>注：</w:t>
      </w:r>
      <w:r>
        <w:rPr>
          <w:color w:val="auto"/>
        </w:rPr>
        <w:t>1</w:t>
      </w:r>
      <w:r>
        <w:rPr>
          <w:rFonts w:hint="eastAsia"/>
          <w:color w:val="auto"/>
        </w:rPr>
        <w:t>、本期收益为本期已实现收益加上本期公允价值变动收益；</w:t>
      </w:r>
    </w:p>
    <w:p>
      <w:pPr>
        <w:spacing w:before="156" w:beforeLines="50" w:line="360" w:lineRule="exact"/>
        <w:rPr>
          <w:color w:val="auto"/>
        </w:rPr>
      </w:pPr>
      <w:r>
        <w:rPr>
          <w:color w:val="auto"/>
        </w:rPr>
        <w:t xml:space="preserve">    2</w:t>
      </w:r>
      <w:r>
        <w:rPr>
          <w:rFonts w:hint="eastAsia"/>
          <w:color w:val="auto"/>
        </w:rPr>
        <w:t>四舍五入法保留至小数点后第</w:t>
      </w:r>
      <w:r>
        <w:rPr>
          <w:color w:val="auto"/>
        </w:rPr>
        <w:t>4</w:t>
      </w:r>
      <w:r>
        <w:rPr>
          <w:rFonts w:hint="eastAsia"/>
          <w:color w:val="auto"/>
        </w:rPr>
        <w:t>位，其他财务指标保留至小数点后第</w:t>
      </w:r>
      <w:r>
        <w:rPr>
          <w:color w:val="auto"/>
        </w:rPr>
        <w:t>2</w:t>
      </w:r>
      <w:r>
        <w:rPr>
          <w:rFonts w:hint="eastAsia"/>
          <w:color w:val="auto"/>
        </w:rPr>
        <w:t>位；</w:t>
      </w:r>
    </w:p>
    <w:p>
      <w:pPr>
        <w:spacing w:before="156" w:beforeLines="50" w:line="360" w:lineRule="exact"/>
        <w:ind w:firstLine="420" w:firstLineChars="200"/>
        <w:rPr>
          <w:color w:val="auto"/>
        </w:rPr>
      </w:pPr>
      <w:r>
        <w:rPr>
          <w:color w:val="auto"/>
        </w:rPr>
        <w:t>3</w:t>
      </w:r>
      <w:r>
        <w:rPr>
          <w:rFonts w:hint="eastAsia"/>
          <w:color w:val="auto"/>
        </w:rPr>
        <w:t>、期末即最后一个自然日；</w:t>
      </w:r>
    </w:p>
    <w:p>
      <w:pPr>
        <w:spacing w:before="156" w:beforeLines="50" w:line="360" w:lineRule="exact"/>
        <w:rPr>
          <w:color w:val="auto"/>
        </w:rPr>
      </w:pPr>
      <w:r>
        <w:rPr>
          <w:color w:val="auto"/>
        </w:rPr>
        <w:tab/>
      </w:r>
      <w:r>
        <w:rPr>
          <w:color w:val="auto"/>
        </w:rPr>
        <w:t>4</w:t>
      </w:r>
      <w:r>
        <w:rPr>
          <w:rFonts w:hint="eastAsia"/>
          <w:color w:val="auto"/>
        </w:rPr>
        <w:t>、</w:t>
      </w:r>
      <w:r>
        <w:rPr>
          <w:rFonts w:hint="eastAsia"/>
          <w:color w:val="auto"/>
        </w:rPr>
        <w:t>未进行分红。</w:t>
      </w:r>
    </w:p>
    <w:p>
      <w:pPr>
        <w:spacing w:before="156" w:beforeLines="50" w:line="360" w:lineRule="exact"/>
        <w:rPr>
          <w:color w:val="auto"/>
        </w:rPr>
      </w:pPr>
    </w:p>
    <w:p>
      <w:pPr>
        <w:spacing w:before="156" w:beforeLines="50" w:line="360" w:lineRule="exact"/>
        <w:rPr>
          <w:b/>
          <w:color w:val="auto"/>
        </w:rPr>
      </w:pPr>
      <w:r>
        <w:rPr>
          <w:b/>
          <w:color w:val="auto"/>
        </w:rPr>
        <w:t xml:space="preserve">3.2 </w:t>
      </w:r>
      <w:r>
        <w:rPr>
          <w:rFonts w:hint="eastAsia"/>
          <w:b/>
          <w:color w:val="auto"/>
        </w:rPr>
        <w:t>产品净值表现</w:t>
      </w:r>
    </w:p>
    <w:p>
      <w:pPr>
        <w:spacing w:before="156" w:beforeLines="50" w:line="360" w:lineRule="exact"/>
        <w:rPr>
          <w:color w:val="auto"/>
        </w:rPr>
      </w:pPr>
      <w:r>
        <w:rPr>
          <w:color w:val="auto"/>
        </w:rPr>
        <w:t>3.2.1</w:t>
      </w:r>
      <w:r>
        <w:rPr>
          <w:rFonts w:hint="eastAsia"/>
          <w:color w:val="auto"/>
        </w:rPr>
        <w:t>产品份额净值增长率与同期业绩比较基准收益率的比较</w:t>
      </w:r>
    </w:p>
    <w:tbl>
      <w:tblPr>
        <w:tblStyle w:val="11"/>
        <w:tblW w:w="8276"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7"/>
        <w:gridCol w:w="1843"/>
        <w:gridCol w:w="184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747" w:type="dxa"/>
            <w:shd w:val="clear" w:color="auto" w:fill="D9D9D9"/>
            <w:vAlign w:val="center"/>
          </w:tcPr>
          <w:p>
            <w:pPr>
              <w:jc w:val="center"/>
              <w:rPr>
                <w:rFonts w:ascii="宋体" w:hAnsi="宋体"/>
                <w:b/>
                <w:color w:val="auto"/>
              </w:rPr>
            </w:pPr>
            <w:r>
              <w:rPr>
                <w:rFonts w:hint="eastAsia"/>
                <w:b/>
                <w:color w:val="auto"/>
              </w:rPr>
              <w:t>阶段</w:t>
            </w:r>
          </w:p>
        </w:tc>
        <w:tc>
          <w:tcPr>
            <w:tcW w:w="1843" w:type="dxa"/>
            <w:shd w:val="clear" w:color="auto" w:fill="D9D9D9"/>
            <w:vAlign w:val="center"/>
          </w:tcPr>
          <w:p>
            <w:pPr>
              <w:jc w:val="center"/>
              <w:rPr>
                <w:rFonts w:ascii="宋体" w:hAnsi="宋体"/>
                <w:b/>
                <w:color w:val="auto"/>
              </w:rPr>
            </w:pPr>
            <w:r>
              <w:rPr>
                <w:rFonts w:hint="eastAsia"/>
                <w:b/>
                <w:color w:val="auto"/>
              </w:rPr>
              <w:t>净值增长率（%）</w:t>
            </w:r>
          </w:p>
        </w:tc>
        <w:tc>
          <w:tcPr>
            <w:tcW w:w="1843" w:type="dxa"/>
            <w:shd w:val="clear" w:color="auto" w:fill="D9D9D9"/>
            <w:vAlign w:val="center"/>
          </w:tcPr>
          <w:p>
            <w:pPr>
              <w:jc w:val="center"/>
              <w:rPr>
                <w:rFonts w:ascii="宋体" w:hAnsi="宋体"/>
                <w:b/>
                <w:color w:val="auto"/>
              </w:rPr>
            </w:pPr>
            <w:r>
              <w:rPr>
                <w:rFonts w:hint="eastAsia"/>
                <w:b/>
                <w:color w:val="auto"/>
              </w:rPr>
              <w:t>业绩比较</w:t>
            </w:r>
            <w:r>
              <w:rPr>
                <w:b/>
                <w:color w:val="auto"/>
              </w:rPr>
              <w:t>基准</w:t>
            </w:r>
            <w:r>
              <w:rPr>
                <w:rFonts w:hint="eastAsia"/>
                <w:b/>
                <w:color w:val="auto"/>
              </w:rPr>
              <w:t>增长率-低（%）</w:t>
            </w:r>
          </w:p>
        </w:tc>
        <w:tc>
          <w:tcPr>
            <w:tcW w:w="1843" w:type="dxa"/>
            <w:shd w:val="clear" w:color="auto" w:fill="D9D9D9"/>
          </w:tcPr>
          <w:p>
            <w:pPr>
              <w:jc w:val="right"/>
              <w:rPr>
                <w:b/>
                <w:color w:val="auto"/>
              </w:rPr>
            </w:pPr>
            <w:r>
              <w:rPr>
                <w:rFonts w:hint="eastAsia"/>
                <w:b/>
                <w:color w:val="auto"/>
              </w:rPr>
              <w:t>业绩比较</w:t>
            </w:r>
            <w:r>
              <w:rPr>
                <w:b/>
                <w:color w:val="auto"/>
              </w:rPr>
              <w:t>基准</w:t>
            </w:r>
            <w:r>
              <w:rPr>
                <w:rFonts w:hint="eastAsia"/>
                <w:b/>
                <w:color w:val="auto"/>
              </w:rPr>
              <w:t>增长率-高（%）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auto"/>
              </w:rPr>
            </w:pPr>
            <w:r>
              <w:rPr>
                <w:rFonts w:hint="eastAsia" w:ascii="宋体" w:hAnsi="宋体"/>
                <w:color w:val="auto"/>
              </w:rPr>
              <w:t>当期（</w:t>
            </w:r>
            <w:r>
              <w:rPr>
                <w:rFonts w:ascii="宋体" w:hAnsi="宋体"/>
                <w:color w:val="auto"/>
              </w:rPr>
              <w:t>2022年10月01日</w:t>
            </w:r>
            <w:r>
              <w:rPr>
                <w:rFonts w:hint="eastAsia" w:ascii="宋体" w:hAnsi="宋体"/>
                <w:color w:val="auto"/>
              </w:rPr>
              <w:t>至</w:t>
            </w:r>
            <w:r>
              <w:rPr>
                <w:rFonts w:ascii="宋体" w:hAnsi="宋体"/>
                <w:color w:val="auto"/>
              </w:rPr>
              <w:t>2022年12月31日</w:t>
            </w:r>
            <w:r>
              <w:rPr>
                <w:rFonts w:hint="eastAsia" w:ascii="宋体" w:hAnsi="宋体"/>
                <w:color w:val="auto"/>
              </w:rPr>
              <w:t>）</w:t>
            </w:r>
          </w:p>
        </w:tc>
        <w:tc>
          <w:tcPr>
            <w:tcW w:w="1843" w:type="dxa"/>
            <w:vAlign w:val="center"/>
          </w:tcPr>
          <w:p>
            <w:pPr>
              <w:spacing w:line="300" w:lineRule="auto"/>
              <w:jc w:val="right"/>
              <w:rPr>
                <w:rFonts w:ascii="微软雅黑" w:hAnsi="微软雅黑" w:eastAsia="微软雅黑" w:cs="微软雅黑"/>
                <w:color w:val="auto"/>
              </w:rPr>
            </w:pPr>
            <w:r>
              <w:rPr>
                <w:rFonts w:ascii="宋体" w:hAnsi="宋体"/>
                <w:color w:val="auto"/>
              </w:rPr>
              <w:t>0.68</w:t>
            </w:r>
          </w:p>
        </w:tc>
        <w:tc>
          <w:tcPr>
            <w:tcW w:w="1843" w:type="dxa"/>
            <w:vAlign w:val="center"/>
          </w:tcPr>
          <w:p>
            <w:pPr>
              <w:jc w:val="right"/>
              <w:rPr>
                <w:rFonts w:ascii="宋体" w:hAnsi="宋体"/>
                <w:color w:val="auto"/>
              </w:rPr>
            </w:pPr>
            <w:r>
              <w:rPr>
                <w:rFonts w:ascii="宋体" w:hAnsi="宋体"/>
                <w:color w:val="auto"/>
              </w:rPr>
              <w:t>1.69</w:t>
            </w:r>
          </w:p>
        </w:tc>
        <w:tc>
          <w:tcPr>
            <w:tcW w:w="1843" w:type="dxa"/>
            <w:vAlign w:val="center"/>
          </w:tcPr>
          <w:p>
            <w:pPr>
              <w:jc w:val="right"/>
              <w:rPr>
                <w:rFonts w:ascii="宋体" w:hAnsi="宋体"/>
                <w:color w:val="auto"/>
              </w:rPr>
            </w:pPr>
            <w:r>
              <w:rPr>
                <w:rFonts w:ascii="宋体" w:hAnsi="宋体"/>
                <w:color w:val="auto"/>
              </w:rPr>
              <w:t>1.69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auto"/>
              </w:rPr>
            </w:pPr>
            <w:r>
              <w:rPr>
                <w:rFonts w:hint="eastAsia" w:ascii="宋体" w:hAnsi="宋体"/>
                <w:color w:val="auto"/>
              </w:rPr>
              <w:t>自产品成立日至今</w:t>
            </w:r>
          </w:p>
        </w:tc>
        <w:tc>
          <w:tcPr>
            <w:tcW w:w="1843" w:type="dxa"/>
            <w:vAlign w:val="center"/>
          </w:tcPr>
          <w:p>
            <w:pPr>
              <w:jc w:val="right"/>
              <w:rPr>
                <w:rFonts w:ascii="宋体" w:hAnsi="宋体"/>
                <w:color w:val="auto"/>
              </w:rPr>
            </w:pPr>
            <w:r>
              <w:rPr>
                <w:rFonts w:ascii="宋体" w:hAnsi="宋体"/>
                <w:color w:val="auto"/>
              </w:rPr>
              <w:t>20.47</w:t>
            </w:r>
            <w:bookmarkStart w:id="7" w:name="OLE_LINK4"/>
            <w:bookmarkEnd w:id="7"/>
            <w:bookmarkStart w:id="8" w:name="OLE_LINK7"/>
            <w:bookmarkEnd w:id="8"/>
          </w:p>
        </w:tc>
        <w:tc>
          <w:tcPr>
            <w:tcW w:w="1843" w:type="dxa"/>
            <w:vAlign w:val="center"/>
          </w:tcPr>
          <w:p>
            <w:pPr>
              <w:jc w:val="right"/>
              <w:rPr>
                <w:rFonts w:ascii="宋体" w:hAnsi="宋体"/>
                <w:color w:val="auto"/>
              </w:rPr>
            </w:pPr>
            <w:r>
              <w:rPr>
                <w:rFonts w:ascii="宋体" w:hAnsi="宋体"/>
                <w:color w:val="auto"/>
              </w:rPr>
              <w:t>17.81</w:t>
            </w:r>
          </w:p>
        </w:tc>
        <w:tc>
          <w:tcPr>
            <w:tcW w:w="1843" w:type="dxa"/>
            <w:vAlign w:val="center"/>
          </w:tcPr>
          <w:p>
            <w:pPr>
              <w:jc w:val="right"/>
              <w:rPr>
                <w:rFonts w:ascii="宋体" w:hAnsi="宋体"/>
                <w:color w:val="auto"/>
              </w:rPr>
            </w:pPr>
            <w:r>
              <w:rPr>
                <w:rFonts w:ascii="宋体" w:hAnsi="宋体"/>
                <w:color w:val="auto"/>
              </w:rPr>
              <w:t>17.81</w:t>
            </w:r>
          </w:p>
        </w:tc>
      </w:tr>
    </w:tbl>
    <w:p>
      <w:pPr>
        <w:spacing w:before="156" w:beforeLines="50" w:line="360" w:lineRule="exact"/>
        <w:rPr>
          <w:color w:val="auto"/>
        </w:rPr>
      </w:pPr>
    </w:p>
    <w:p>
      <w:pPr>
        <w:spacing w:before="156" w:beforeLines="50" w:line="360" w:lineRule="exact"/>
        <w:rPr>
          <w:color w:val="auto"/>
        </w:rPr>
      </w:pPr>
      <w:r>
        <w:rPr>
          <w:color w:val="auto"/>
        </w:rPr>
        <w:t>3.2.2</w:t>
      </w:r>
      <w:r>
        <w:rPr>
          <w:rFonts w:hint="eastAsia"/>
          <w:color w:val="auto"/>
        </w:rPr>
        <w:t>产品累计份额净值增长率与同期业绩比较基准收益率变动比较走势图</w:t>
      </w:r>
    </w:p>
    <w:p>
      <w:pPr>
        <w:spacing w:before="156" w:beforeLines="50" w:after="156" w:afterLines="50" w:line="360" w:lineRule="auto"/>
        <w:jc w:val="center"/>
        <w:rPr>
          <w:color w:val="auto"/>
        </w:rPr>
      </w:pPr>
      <w:bookmarkStart w:id="9" w:name="OLE_LINK12"/>
      <w:bookmarkStart w:id="10" w:name="OLE_LINK13"/>
      <w:r>
        <w:rPr>
          <w:color w:val="auto"/>
        </w:rPr>
        <w:drawing>
          <wp:inline distT="0" distB="0" distL="0" distR="0">
            <wp:extent cx="5238750" cy="2095500"/>
            <wp:effectExtent l="0" t="0" r="0" b="0"/>
            <wp:docPr id="1" name="图片 1" descr="JFreeChart/WB000524_Q_DQBGNSMB_JZBJJZZST_2022-12-3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JFreeChart/WB000524_Q_DQBGNSMB_JZBJJZZST_2022-12-31.jpeg"/>
                    <pic:cNvPicPr>
                      <a:picLocks noChangeAspect="1"/>
                    </pic:cNvPicPr>
                  </pic:nvPicPr>
                  <pic:blipFill>
                    <a:blip r:embed="rId5"/>
                    <a:stretch>
                      <a:fillRect/>
                    </a:stretch>
                  </pic:blipFill>
                  <pic:spPr>
                    <a:xfrm>
                      <a:off x="0" y="0"/>
                      <a:ext cx="5238750" cy="2095500"/>
                    </a:xfrm>
                    <a:prstGeom prst="rect">
                      <a:avLst/>
                    </a:prstGeom>
                  </pic:spPr>
                </pic:pic>
              </a:graphicData>
            </a:graphic>
          </wp:inline>
        </w:drawing>
      </w:r>
    </w:p>
    <w:bookmarkEnd w:id="9"/>
    <w:bookmarkEnd w:id="10"/>
    <w:p>
      <w:pPr>
        <w:spacing w:before="156" w:beforeLines="50" w:after="156" w:afterLines="50" w:line="360" w:lineRule="auto"/>
        <w:jc w:val="center"/>
        <w:rPr>
          <w:color w:val="auto"/>
        </w:rPr>
      </w:pP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4</w:t>
      </w:r>
      <w:r>
        <w:rPr>
          <w:rFonts w:hint="eastAsia" w:asciiTheme="minorEastAsia" w:hAnsiTheme="minorEastAsia" w:eastAsiaTheme="minorEastAsia"/>
          <w:b/>
          <w:color w:val="auto"/>
          <w:sz w:val="24"/>
          <w:szCs w:val="24"/>
        </w:rPr>
        <w:t xml:space="preserve"> 管理人报告</w:t>
      </w:r>
    </w:p>
    <w:p>
      <w:pPr>
        <w:spacing w:before="156" w:beforeLines="50" w:line="360" w:lineRule="exact"/>
        <w:rPr>
          <w:b/>
          <w:color w:val="auto"/>
        </w:rPr>
      </w:pPr>
      <w:r>
        <w:rPr>
          <w:b/>
          <w:color w:val="auto"/>
        </w:rPr>
        <w:t xml:space="preserve">4.1 </w:t>
      </w:r>
      <w:r>
        <w:rPr>
          <w:rFonts w:hint="eastAsia"/>
          <w:b/>
          <w:color w:val="auto"/>
        </w:rPr>
        <w:t>报告期内产品投资策略和运作分析</w:t>
      </w:r>
    </w:p>
    <w:p>
      <w:pPr>
        <w:spacing w:before="156" w:beforeLines="50" w:line="360" w:lineRule="exact"/>
        <w:ind w:firstLine="420" w:firstLineChars="200"/>
        <w:rPr>
          <w:rFonts w:ascii="宋体" w:hAnsi="宋体"/>
          <w:color w:val="auto"/>
          <w:szCs w:val="21"/>
        </w:rPr>
      </w:pPr>
      <w:r>
        <w:rPr>
          <w:rFonts w:hint="eastAsia" w:ascii="宋体" w:hAnsi="宋体"/>
          <w:color w:val="auto"/>
          <w:szCs w:val="21"/>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pPr>
        <w:spacing w:before="156" w:beforeLines="50" w:line="360" w:lineRule="exact"/>
        <w:rPr>
          <w:color w:val="auto"/>
        </w:rPr>
      </w:pPr>
    </w:p>
    <w:p>
      <w:pPr>
        <w:spacing w:before="156" w:beforeLines="50" w:line="360" w:lineRule="exact"/>
        <w:rPr>
          <w:b/>
          <w:color w:val="auto"/>
        </w:rPr>
      </w:pPr>
      <w:r>
        <w:rPr>
          <w:b/>
          <w:color w:val="auto"/>
        </w:rPr>
        <w:t xml:space="preserve">4.2 </w:t>
      </w:r>
      <w:r>
        <w:rPr>
          <w:rFonts w:hint="eastAsia"/>
          <w:b/>
          <w:color w:val="auto"/>
        </w:rPr>
        <w:t>报告期内产品的业绩表现</w:t>
      </w:r>
    </w:p>
    <w:p>
      <w:pPr>
        <w:spacing w:before="156" w:beforeLines="50" w:line="360" w:lineRule="exact"/>
        <w:ind w:firstLine="420" w:firstLineChars="200"/>
        <w:rPr>
          <w:rFonts w:ascii="宋体" w:hAnsi="宋体"/>
          <w:color w:val="auto"/>
          <w:szCs w:val="21"/>
        </w:rPr>
      </w:pPr>
      <w:r>
        <w:rPr>
          <w:rFonts w:ascii="宋体" w:hAnsi="宋体"/>
          <w:color w:val="auto"/>
          <w:szCs w:val="21"/>
        </w:rPr>
        <w:t>在报告期内</w:t>
      </w:r>
      <w:r>
        <w:rPr>
          <w:rFonts w:hint="eastAsia" w:ascii="宋体" w:hAnsi="宋体"/>
          <w:color w:val="auto"/>
          <w:szCs w:val="21"/>
        </w:rPr>
        <w:t>，</w:t>
      </w:r>
      <w:r>
        <w:rPr>
          <w:rFonts w:ascii="宋体" w:hAnsi="宋体"/>
          <w:color w:val="auto"/>
          <w:szCs w:val="21"/>
        </w:rPr>
        <w:t>产品份额净值增长率为</w:t>
      </w:r>
      <w:r>
        <w:rPr>
          <w:rFonts w:ascii="宋体" w:hAnsi="宋体"/>
          <w:color w:val="auto"/>
          <w:szCs w:val="21"/>
        </w:rPr>
        <w:t>0.68%</w:t>
      </w:r>
      <w:r>
        <w:rPr>
          <w:rFonts w:hint="eastAsia" w:ascii="宋体" w:hAnsi="宋体"/>
          <w:color w:val="auto"/>
          <w:szCs w:val="21"/>
        </w:rPr>
        <w:t>。</w:t>
      </w:r>
      <w:r>
        <w:rPr>
          <w:rFonts w:ascii="宋体" w:hAnsi="宋体"/>
          <w:color w:val="auto"/>
          <w:szCs w:val="21"/>
        </w:rPr>
        <w:t>报告期内</w:t>
      </w:r>
      <w:r>
        <w:rPr>
          <w:rFonts w:hint="eastAsia" w:ascii="宋体" w:hAnsi="宋体"/>
          <w:color w:val="auto"/>
          <w:szCs w:val="21"/>
        </w:rPr>
        <w:t>，</w:t>
      </w:r>
      <w:r>
        <w:rPr>
          <w:rFonts w:ascii="宋体" w:hAnsi="宋体"/>
          <w:color w:val="auto"/>
          <w:szCs w:val="21"/>
        </w:rPr>
        <w:t>本期产品配置债券价格</w:t>
      </w:r>
      <w:r>
        <w:rPr>
          <w:rFonts w:ascii="宋体" w:hAnsi="宋体"/>
          <w:color w:val="auto"/>
          <w:szCs w:val="21"/>
        </w:rPr>
        <w:t>整体波动不大</w:t>
      </w:r>
      <w:r>
        <w:rPr>
          <w:rFonts w:hint="eastAsia" w:ascii="宋体" w:hAnsi="宋体"/>
          <w:color w:val="auto"/>
          <w:szCs w:val="21"/>
        </w:rPr>
        <w:t>，</w:t>
      </w:r>
      <w:r>
        <w:rPr>
          <w:rFonts w:ascii="宋体" w:hAnsi="宋体"/>
          <w:color w:val="auto"/>
          <w:szCs w:val="21"/>
        </w:rPr>
        <w:t>在可控范围内</w:t>
      </w:r>
      <w:r>
        <w:rPr>
          <w:rFonts w:hint="eastAsia" w:ascii="宋体" w:hAnsi="宋体"/>
          <w:color w:val="auto"/>
          <w:szCs w:val="21"/>
        </w:rPr>
        <w:t>。</w:t>
      </w:r>
    </w:p>
    <w:p>
      <w:pPr>
        <w:spacing w:before="156" w:beforeLines="50" w:line="360" w:lineRule="exact"/>
        <w:rPr>
          <w:color w:val="auto"/>
        </w:rPr>
      </w:pPr>
    </w:p>
    <w:p>
      <w:pPr>
        <w:spacing w:before="156" w:beforeLines="50" w:line="360" w:lineRule="exact"/>
        <w:rPr>
          <w:b/>
          <w:color w:val="auto"/>
        </w:rPr>
      </w:pPr>
      <w:r>
        <w:rPr>
          <w:b/>
          <w:color w:val="auto"/>
        </w:rPr>
        <w:t>4.3</w:t>
      </w:r>
      <w:r>
        <w:rPr>
          <w:rFonts w:hint="eastAsia"/>
          <w:b/>
          <w:color w:val="auto"/>
        </w:rPr>
        <w:t>报告期内产品主要投资风险</w:t>
      </w:r>
    </w:p>
    <w:p>
      <w:pPr>
        <w:spacing w:before="156" w:beforeLines="50" w:after="156" w:afterLines="50" w:line="360" w:lineRule="auto"/>
        <w:jc w:val="left"/>
        <w:rPr>
          <w:rFonts w:ascii="宋体" w:hAnsi="宋体"/>
          <w:color w:val="auto"/>
          <w:szCs w:val="21"/>
        </w:rPr>
      </w:pPr>
      <w:r>
        <w:rPr>
          <w:rFonts w:hint="eastAsia" w:ascii="宋体" w:hAnsi="宋体"/>
          <w:color w:val="auto"/>
          <w:szCs w:val="21"/>
        </w:rPr>
        <w:tab/>
      </w:r>
      <w:r>
        <w:rPr>
          <w:rFonts w:hint="eastAsia" w:ascii="宋体" w:hAnsi="宋体"/>
          <w:color w:val="auto"/>
          <w:szCs w:val="21"/>
        </w:rPr>
        <w:t>产品的投资品种价格受经济因素、政治因素、投资心理和交易制度等各种因素影响引起波动，导致收益水平变化产生风险。主要包括：政策风险、经济周期风险、利率风险、信用风险、再投资风险等。</w:t>
      </w:r>
    </w:p>
    <w:p>
      <w:pPr>
        <w:widowControl/>
        <w:jc w:val="left"/>
        <w:rPr>
          <w:rFonts w:ascii="宋体" w:hAnsi="宋体"/>
          <w:color w:val="auto"/>
          <w:szCs w:val="21"/>
        </w:rPr>
      </w:pP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5</w:t>
      </w:r>
      <w:r>
        <w:rPr>
          <w:rFonts w:hint="eastAsia" w:asciiTheme="minorEastAsia" w:hAnsiTheme="minorEastAsia" w:eastAsiaTheme="minorEastAsia"/>
          <w:b/>
          <w:color w:val="auto"/>
          <w:sz w:val="24"/>
          <w:szCs w:val="24"/>
        </w:rPr>
        <w:t xml:space="preserve"> 投资组合报告</w:t>
      </w:r>
    </w:p>
    <w:p>
      <w:pPr>
        <w:spacing w:before="156" w:beforeLines="50" w:after="156" w:afterLines="50" w:line="360" w:lineRule="auto"/>
        <w:rPr>
          <w:b/>
          <w:color w:val="auto"/>
        </w:rPr>
      </w:pPr>
      <w:r>
        <w:rPr>
          <w:b/>
          <w:color w:val="auto"/>
        </w:rPr>
        <w:t>5.</w:t>
      </w:r>
      <w:r>
        <w:rPr>
          <w:rFonts w:hint="eastAsia"/>
          <w:b/>
          <w:color w:val="auto"/>
        </w:rPr>
        <w:t>1期末直接前十项持仓资产情况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878"/>
        <w:gridCol w:w="4179"/>
        <w:gridCol w:w="2066"/>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878" w:type="dxa"/>
            <w:shd w:val="clear" w:color="auto" w:fill="auto"/>
            <w:vAlign w:val="center"/>
          </w:tcPr>
          <w:p>
            <w:pPr>
              <w:jc w:val="center"/>
              <w:rPr>
                <w:color w:val="auto"/>
                <w:szCs w:val="21"/>
              </w:rPr>
            </w:pPr>
            <w:r>
              <w:rPr>
                <w:rFonts w:hint="eastAsia" w:ascii="宋体"/>
                <w:color w:val="auto"/>
                <w:szCs w:val="21"/>
              </w:rPr>
              <w:t>序号</w:t>
            </w:r>
          </w:p>
        </w:tc>
        <w:tc>
          <w:tcPr>
            <w:tcW w:w="4179" w:type="dxa"/>
            <w:shd w:val="clear" w:color="auto" w:fill="auto"/>
            <w:vAlign w:val="center"/>
          </w:tcPr>
          <w:p>
            <w:pPr>
              <w:jc w:val="center"/>
              <w:rPr>
                <w:color w:val="auto"/>
                <w:szCs w:val="21"/>
              </w:rPr>
            </w:pPr>
            <w:r>
              <w:rPr>
                <w:rFonts w:hint="eastAsia" w:ascii="宋体"/>
                <w:color w:val="auto"/>
                <w:szCs w:val="21"/>
              </w:rPr>
              <w:t>项目</w:t>
            </w:r>
          </w:p>
        </w:tc>
        <w:tc>
          <w:tcPr>
            <w:tcW w:w="2066" w:type="dxa"/>
            <w:shd w:val="clear" w:color="auto" w:fill="auto"/>
            <w:vAlign w:val="center"/>
          </w:tcPr>
          <w:p>
            <w:pPr>
              <w:jc w:val="center"/>
              <w:rPr>
                <w:color w:val="auto"/>
                <w:szCs w:val="21"/>
              </w:rPr>
            </w:pPr>
            <w:r>
              <w:rPr>
                <w:rFonts w:hint="eastAsia" w:ascii="宋体"/>
                <w:color w:val="auto"/>
                <w:szCs w:val="21"/>
              </w:rPr>
              <w:t>金额(元)</w:t>
            </w:r>
          </w:p>
        </w:tc>
        <w:tc>
          <w:tcPr>
            <w:tcW w:w="2069" w:type="dxa"/>
            <w:shd w:val="clear" w:color="auto" w:fill="auto"/>
            <w:vAlign w:val="center"/>
          </w:tcPr>
          <w:p>
            <w:pPr>
              <w:jc w:val="center"/>
              <w:rPr>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auto"/>
                <w:sz w:val="22"/>
                <w:szCs w:val="22"/>
              </w:rPr>
            </w:pPr>
            <w:r>
              <w:rPr>
                <w:color w:val="auto"/>
              </w:rPr>
              <w:t>1</w:t>
            </w:r>
          </w:p>
        </w:tc>
        <w:tc>
          <w:tcPr>
            <w:tcW w:w="4179" w:type="dxa"/>
            <w:shd w:val="clear" w:color="auto" w:fill="auto"/>
          </w:tcPr>
          <w:p>
            <w:pPr>
              <w:jc w:val="left"/>
              <w:rPr>
                <w:rFonts w:ascii="宋体"/>
                <w:color w:val="auto"/>
                <w:szCs w:val="21"/>
              </w:rPr>
            </w:pPr>
            <w:r>
              <w:rPr>
                <w:color w:val="auto"/>
              </w:rPr>
              <w:t>鑫沅资产鑫梅花456号集合资产管理计划</w:t>
            </w:r>
          </w:p>
        </w:tc>
        <w:tc>
          <w:tcPr>
            <w:tcW w:w="2066" w:type="dxa"/>
            <w:shd w:val="clear" w:color="auto" w:fill="auto"/>
          </w:tcPr>
          <w:p>
            <w:pPr>
              <w:jc w:val="right"/>
              <w:rPr>
                <w:rFonts w:ascii="宋体"/>
                <w:color w:val="auto"/>
                <w:szCs w:val="21"/>
              </w:rPr>
            </w:pPr>
            <w:r>
              <w:rPr>
                <w:color w:val="auto"/>
              </w:rPr>
              <w:t>38,863,739.30</w:t>
            </w:r>
          </w:p>
        </w:tc>
        <w:tc>
          <w:tcPr>
            <w:tcW w:w="2069" w:type="dxa"/>
            <w:shd w:val="clear" w:color="auto" w:fill="auto"/>
          </w:tcPr>
          <w:p>
            <w:pPr>
              <w:jc w:val="right"/>
              <w:rPr>
                <w:rFonts w:ascii="宋体"/>
                <w:color w:val="auto"/>
                <w:szCs w:val="21"/>
              </w:rPr>
            </w:pPr>
            <w:r>
              <w:rPr>
                <w:color w:val="auto"/>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auto"/>
                <w:sz w:val="22"/>
                <w:szCs w:val="22"/>
              </w:rPr>
            </w:pPr>
          </w:p>
        </w:tc>
        <w:tc>
          <w:tcPr>
            <w:tcW w:w="4179" w:type="dxa"/>
            <w:shd w:val="clear" w:color="auto" w:fill="auto"/>
          </w:tcPr>
          <w:p>
            <w:pPr>
              <w:jc w:val="left"/>
              <w:rPr>
                <w:rFonts w:ascii="宋体"/>
                <w:color w:val="auto"/>
                <w:szCs w:val="21"/>
              </w:rPr>
            </w:pPr>
            <w:r>
              <w:rPr>
                <w:color w:val="auto"/>
              </w:rPr>
              <w:t>合计</w:t>
            </w:r>
          </w:p>
        </w:tc>
        <w:tc>
          <w:tcPr>
            <w:tcW w:w="2066" w:type="dxa"/>
            <w:shd w:val="clear" w:color="auto" w:fill="auto"/>
          </w:tcPr>
          <w:p>
            <w:pPr>
              <w:jc w:val="right"/>
              <w:rPr>
                <w:rFonts w:ascii="宋体"/>
                <w:color w:val="auto"/>
                <w:szCs w:val="21"/>
              </w:rPr>
            </w:pPr>
            <w:r>
              <w:rPr>
                <w:color w:val="auto"/>
              </w:rPr>
              <w:t>38,863,739.30</w:t>
            </w:r>
          </w:p>
        </w:tc>
        <w:tc>
          <w:tcPr>
            <w:tcW w:w="2069" w:type="dxa"/>
            <w:shd w:val="clear" w:color="auto" w:fill="auto"/>
          </w:tcPr>
          <w:p>
            <w:pPr>
              <w:jc w:val="right"/>
              <w:rPr>
                <w:rFonts w:ascii="宋体"/>
                <w:color w:val="auto"/>
                <w:szCs w:val="21"/>
              </w:rPr>
            </w:pPr>
            <w:r>
              <w:rPr>
                <w:color w:val="auto"/>
              </w:rPr>
              <w:t>100.00</w:t>
            </w:r>
          </w:p>
        </w:tc>
      </w:tr>
    </w:tbl>
    <w:p>
      <w:pPr>
        <w:spacing w:before="156" w:beforeLines="50" w:after="156" w:afterLines="50" w:line="360" w:lineRule="auto"/>
        <w:rPr>
          <w:color w:val="auto"/>
        </w:rPr>
      </w:pPr>
      <w:r>
        <w:rPr>
          <w:color w:val="auto"/>
        </w:rPr>
        <w:tab/>
      </w:r>
      <w:r>
        <w:rPr>
          <w:rFonts w:hint="eastAsia"/>
          <w:color w:val="auto"/>
        </w:rPr>
        <w:t>注：由于四舍五入原因，各分项占资产总值的比例之和与合计可能存在尾差。</w:t>
      </w:r>
    </w:p>
    <w:p>
      <w:pPr>
        <w:spacing w:before="156" w:beforeLines="50" w:after="156" w:afterLines="50" w:line="360" w:lineRule="auto"/>
        <w:rPr>
          <w:b/>
          <w:color w:val="auto"/>
        </w:rPr>
      </w:pPr>
    </w:p>
    <w:p>
      <w:pPr>
        <w:spacing w:before="156" w:beforeLines="50" w:after="156" w:afterLines="50" w:line="360" w:lineRule="auto"/>
        <w:rPr>
          <w:b/>
          <w:color w:val="auto"/>
        </w:rPr>
      </w:pPr>
      <w:r>
        <w:rPr>
          <w:b/>
          <w:color w:val="auto"/>
        </w:rPr>
        <w:t>5.</w:t>
      </w:r>
      <w:r>
        <w:rPr>
          <w:rFonts w:hint="eastAsia"/>
          <w:b/>
          <w:color w:val="auto"/>
        </w:rPr>
        <w:t>2期末理财产品资产组合情况</w:t>
      </w:r>
    </w:p>
    <w:p>
      <w:pPr>
        <w:spacing w:before="156" w:beforeLines="50" w:after="156" w:afterLines="50" w:line="360" w:lineRule="auto"/>
        <w:rPr>
          <w:color w:val="auto"/>
        </w:rPr>
      </w:pPr>
      <w:r>
        <w:rPr>
          <w:color w:val="auto"/>
        </w:rPr>
        <w:t>5.</w:t>
      </w:r>
      <w:r>
        <w:rPr>
          <w:rFonts w:hint="eastAsia"/>
          <w:color w:val="auto"/>
        </w:rPr>
        <w:t>2</w:t>
      </w:r>
      <w:r>
        <w:rPr>
          <w:color w:val="auto"/>
        </w:rPr>
        <w:t>.1</w:t>
      </w:r>
      <w:r>
        <w:rPr>
          <w:rFonts w:hint="eastAsia"/>
          <w:color w:val="auto"/>
        </w:rPr>
        <w:t>期末理财产品直接投资资产组合情况</w:t>
      </w:r>
    </w:p>
    <w:p>
      <w:pPr>
        <w:ind w:right="105"/>
        <w:jc w:val="right"/>
        <w:rPr>
          <w:color w:val="auto"/>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auto"/>
                <w:szCs w:val="21"/>
              </w:rPr>
            </w:pPr>
            <w:r>
              <w:rPr>
                <w:rFonts w:hint="eastAsia" w:ascii="宋体" w:hAnsi="宋体"/>
                <w:color w:val="auto"/>
                <w:szCs w:val="21"/>
              </w:rPr>
              <w:t>序号</w:t>
            </w:r>
          </w:p>
        </w:tc>
        <w:tc>
          <w:tcPr>
            <w:tcW w:w="3402" w:type="dxa"/>
            <w:shd w:val="clear" w:color="auto" w:fill="auto"/>
            <w:vAlign w:val="center"/>
          </w:tcPr>
          <w:p>
            <w:pPr>
              <w:jc w:val="center"/>
              <w:rPr>
                <w:rFonts w:ascii="宋体" w:hAnsi="宋体"/>
                <w:color w:val="auto"/>
                <w:szCs w:val="21"/>
              </w:rPr>
            </w:pPr>
            <w:r>
              <w:rPr>
                <w:rFonts w:hint="eastAsia" w:ascii="宋体" w:hAnsi="宋体"/>
                <w:color w:val="auto"/>
                <w:szCs w:val="21"/>
              </w:rPr>
              <w:t>项目</w:t>
            </w:r>
          </w:p>
        </w:tc>
        <w:tc>
          <w:tcPr>
            <w:tcW w:w="2126" w:type="dxa"/>
            <w:shd w:val="clear" w:color="auto" w:fill="auto"/>
            <w:vAlign w:val="center"/>
          </w:tcPr>
          <w:p>
            <w:pPr>
              <w:jc w:val="center"/>
              <w:rPr>
                <w:rFonts w:ascii="宋体" w:hAnsi="宋体"/>
                <w:color w:val="auto"/>
                <w:szCs w:val="21"/>
              </w:rPr>
            </w:pPr>
            <w:r>
              <w:rPr>
                <w:rFonts w:hint="eastAsia" w:ascii="宋体" w:hAnsi="宋体"/>
                <w:color w:val="auto"/>
                <w:szCs w:val="21"/>
              </w:rPr>
              <w:t>金额(元)</w:t>
            </w:r>
          </w:p>
        </w:tc>
        <w:tc>
          <w:tcPr>
            <w:tcW w:w="2127" w:type="dxa"/>
            <w:shd w:val="clear" w:color="auto" w:fill="auto"/>
            <w:vAlign w:val="center"/>
          </w:tcPr>
          <w:p>
            <w:pPr>
              <w:jc w:val="center"/>
              <w:rPr>
                <w:rFonts w:ascii="宋体" w:hAnsi="宋体"/>
                <w:b/>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1</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权益投资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其中：普通股</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存托凭证</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2</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基金投资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3</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固定收益投资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其中：债券</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资产支持证券</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4</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金融衍生品投资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其中：远期</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期货</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xml:space="preserve">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期权</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权证</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5</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其中：买断式回购的买入返售金融资产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6</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货币市场工具</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7</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银行存款和结算备付金合计</w:t>
            </w:r>
          </w:p>
        </w:tc>
        <w:tc>
          <w:tcPr>
            <w:tcW w:w="2126" w:type="dxa"/>
            <w:shd w:val="clear" w:color="auto" w:fill="auto"/>
            <w:vAlign w:val="center"/>
          </w:tcPr>
          <w:p>
            <w:pPr>
              <w:jc w:val="right"/>
              <w:rPr>
                <w:rFonts w:ascii="宋体" w:hAnsi="宋体"/>
                <w:color w:val="auto"/>
              </w:rPr>
            </w:pPr>
            <w:r>
              <w:rPr>
                <w:rFonts w:hint="eastAsia" w:ascii="宋体" w:hAnsi="宋体"/>
                <w:color w:val="auto"/>
              </w:rPr>
              <w:t>146.77</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8</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拆放同业</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9</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资管产品</w:t>
            </w:r>
          </w:p>
        </w:tc>
        <w:tc>
          <w:tcPr>
            <w:tcW w:w="2126" w:type="dxa"/>
            <w:shd w:val="clear" w:color="auto" w:fill="auto"/>
            <w:vAlign w:val="center"/>
          </w:tcPr>
          <w:p>
            <w:pPr>
              <w:jc w:val="right"/>
              <w:rPr>
                <w:rFonts w:ascii="宋体" w:hAnsi="宋体"/>
                <w:color w:val="auto"/>
              </w:rPr>
            </w:pPr>
            <w:r>
              <w:rPr>
                <w:rFonts w:hint="eastAsia" w:ascii="宋体" w:hAnsi="宋体"/>
                <w:color w:val="auto"/>
              </w:rPr>
              <w:t>38,863,739.30</w:t>
            </w:r>
          </w:p>
        </w:tc>
        <w:tc>
          <w:tcPr>
            <w:tcW w:w="2127" w:type="dxa"/>
            <w:shd w:val="clear" w:color="auto" w:fill="auto"/>
            <w:vAlign w:val="center"/>
          </w:tcPr>
          <w:p>
            <w:pPr>
              <w:jc w:val="right"/>
              <w:rPr>
                <w:rFonts w:ascii="宋体" w:hAnsi="宋体"/>
                <w:color w:val="auto"/>
              </w:rPr>
            </w:pPr>
            <w:r>
              <w:rPr>
                <w:rFonts w:hint="eastAsia" w:ascii="宋体" w:hAnsi="宋体"/>
                <w:color w:val="auto"/>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ascii="宋体" w:hAnsi="宋体" w:cs="宋体"/>
                <w:color w:val="auto"/>
                <w:kern w:val="0"/>
                <w:sz w:val="22"/>
                <w:szCs w:val="22"/>
              </w:rPr>
              <w:t>10</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其他资产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auto"/>
                <w:szCs w:val="21"/>
              </w:rPr>
            </w:pPr>
          </w:p>
        </w:tc>
        <w:tc>
          <w:tcPr>
            <w:tcW w:w="3402" w:type="dxa"/>
            <w:shd w:val="clear" w:color="auto" w:fill="auto"/>
          </w:tcPr>
          <w:p>
            <w:pPr>
              <w:jc w:val="left"/>
              <w:rPr>
                <w:rFonts w:ascii="宋体" w:hAnsi="宋体"/>
                <w:color w:val="auto"/>
                <w:szCs w:val="21"/>
              </w:rPr>
            </w:pPr>
            <w:r>
              <w:rPr>
                <w:rFonts w:hint="eastAsia" w:ascii="宋体" w:hAnsi="宋体"/>
                <w:color w:val="auto"/>
                <w:szCs w:val="21"/>
              </w:rPr>
              <w:t>合计</w:t>
            </w:r>
          </w:p>
        </w:tc>
        <w:tc>
          <w:tcPr>
            <w:tcW w:w="2126" w:type="dxa"/>
            <w:shd w:val="clear" w:color="auto" w:fill="auto"/>
          </w:tcPr>
          <w:p>
            <w:pPr>
              <w:jc w:val="right"/>
              <w:rPr>
                <w:rFonts w:ascii="宋体" w:hAnsi="宋体"/>
                <w:color w:val="auto"/>
              </w:rPr>
            </w:pPr>
            <w:r>
              <w:rPr>
                <w:rFonts w:hint="eastAsia" w:ascii="宋体" w:hAnsi="宋体"/>
                <w:color w:val="auto"/>
              </w:rPr>
              <w:t>38,863,886.07</w:t>
            </w:r>
          </w:p>
        </w:tc>
        <w:tc>
          <w:tcPr>
            <w:tcW w:w="2127" w:type="dxa"/>
            <w:shd w:val="clear" w:color="auto" w:fill="auto"/>
          </w:tcPr>
          <w:p>
            <w:pPr>
              <w:jc w:val="right"/>
              <w:rPr>
                <w:rFonts w:ascii="宋体" w:hAnsi="宋体"/>
                <w:color w:val="auto"/>
              </w:rPr>
            </w:pPr>
            <w:r>
              <w:rPr>
                <w:rFonts w:hint="eastAsia" w:ascii="宋体" w:hAnsi="宋体"/>
                <w:color w:val="auto"/>
              </w:rPr>
              <w:t>100.00</w:t>
            </w:r>
          </w:p>
        </w:tc>
      </w:tr>
    </w:tbl>
    <w:p>
      <w:pPr>
        <w:spacing w:before="156" w:beforeLines="50" w:after="156" w:afterLines="50" w:line="360" w:lineRule="auto"/>
        <w:rPr>
          <w:color w:val="auto"/>
        </w:rPr>
      </w:pPr>
    </w:p>
    <w:p>
      <w:pPr>
        <w:spacing w:before="156" w:beforeLines="50" w:after="156" w:afterLines="50" w:line="360" w:lineRule="auto"/>
        <w:rPr>
          <w:color w:val="auto"/>
        </w:rPr>
      </w:pPr>
      <w:r>
        <w:rPr>
          <w:color w:val="auto"/>
        </w:rPr>
        <w:tab/>
      </w:r>
      <w:r>
        <w:rPr>
          <w:rFonts w:hint="eastAsia"/>
          <w:color w:val="auto"/>
        </w:rPr>
        <w:t>注：由于四舍五入原因，各分项占资产总值的比例之和与合计可能存在尾差。</w:t>
      </w:r>
    </w:p>
    <w:p>
      <w:pPr>
        <w:spacing w:before="156" w:beforeLines="50" w:after="156" w:afterLines="50" w:line="360" w:lineRule="auto"/>
        <w:rPr>
          <w:color w:val="auto"/>
        </w:rPr>
      </w:pPr>
      <w:r>
        <w:rPr>
          <w:color w:val="auto"/>
        </w:rPr>
        <w:t>5.</w:t>
      </w:r>
      <w:r>
        <w:rPr>
          <w:rFonts w:hint="eastAsia"/>
          <w:color w:val="auto"/>
        </w:rPr>
        <w:t>2</w:t>
      </w:r>
      <w:r>
        <w:rPr>
          <w:color w:val="auto"/>
        </w:rPr>
        <w:t>.2</w:t>
      </w:r>
      <w:r>
        <w:rPr>
          <w:rFonts w:hint="eastAsia"/>
          <w:color w:val="auto"/>
        </w:rPr>
        <w:t>期末理财产品间接投资资产组合情况</w:t>
      </w:r>
    </w:p>
    <w:p>
      <w:pPr>
        <w:jc w:val="right"/>
        <w:rPr>
          <w:color w:val="auto"/>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auto"/>
                <w:szCs w:val="21"/>
              </w:rPr>
            </w:pPr>
            <w:r>
              <w:rPr>
                <w:rFonts w:hint="eastAsia" w:ascii="宋体" w:hAnsi="宋体"/>
                <w:color w:val="auto"/>
                <w:szCs w:val="21"/>
              </w:rPr>
              <w:t>序号</w:t>
            </w:r>
          </w:p>
        </w:tc>
        <w:tc>
          <w:tcPr>
            <w:tcW w:w="3402" w:type="dxa"/>
            <w:shd w:val="clear" w:color="auto" w:fill="auto"/>
            <w:vAlign w:val="center"/>
          </w:tcPr>
          <w:p>
            <w:pPr>
              <w:jc w:val="center"/>
              <w:rPr>
                <w:rFonts w:ascii="宋体" w:hAnsi="宋体"/>
                <w:color w:val="auto"/>
                <w:szCs w:val="21"/>
              </w:rPr>
            </w:pPr>
            <w:r>
              <w:rPr>
                <w:rFonts w:hint="eastAsia" w:ascii="宋体" w:hAnsi="宋体"/>
                <w:color w:val="auto"/>
                <w:szCs w:val="21"/>
              </w:rPr>
              <w:t>项目</w:t>
            </w:r>
          </w:p>
        </w:tc>
        <w:tc>
          <w:tcPr>
            <w:tcW w:w="2126" w:type="dxa"/>
            <w:shd w:val="clear" w:color="auto" w:fill="auto"/>
            <w:vAlign w:val="center"/>
          </w:tcPr>
          <w:p>
            <w:pPr>
              <w:jc w:val="center"/>
              <w:rPr>
                <w:rFonts w:ascii="宋体" w:hAnsi="宋体"/>
                <w:color w:val="auto"/>
                <w:szCs w:val="21"/>
              </w:rPr>
            </w:pPr>
            <w:r>
              <w:rPr>
                <w:rFonts w:hint="eastAsia" w:ascii="宋体" w:hAnsi="宋体"/>
                <w:color w:val="auto"/>
                <w:szCs w:val="21"/>
              </w:rPr>
              <w:t>金额(元)</w:t>
            </w:r>
          </w:p>
        </w:tc>
        <w:tc>
          <w:tcPr>
            <w:tcW w:w="2127" w:type="dxa"/>
            <w:shd w:val="clear" w:color="auto" w:fill="auto"/>
            <w:vAlign w:val="center"/>
          </w:tcPr>
          <w:p>
            <w:pPr>
              <w:jc w:val="center"/>
              <w:rPr>
                <w:rFonts w:ascii="宋体" w:hAnsi="宋体"/>
                <w:b/>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1</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权益投资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其中：普通股</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存托凭证</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2</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基金投资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3</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固定收益投资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31,630,142.82</w:t>
            </w:r>
          </w:p>
        </w:tc>
        <w:tc>
          <w:tcPr>
            <w:tcW w:w="2127" w:type="dxa"/>
            <w:shd w:val="clear" w:color="auto" w:fill="auto"/>
            <w:vAlign w:val="center"/>
          </w:tcPr>
          <w:p>
            <w:pPr>
              <w:jc w:val="right"/>
              <w:rPr>
                <w:rFonts w:ascii="宋体" w:hAnsi="宋体"/>
                <w:color w:val="auto"/>
              </w:rPr>
            </w:pPr>
            <w:r>
              <w:rPr>
                <w:rFonts w:hint="eastAsia" w:ascii="宋体" w:hAnsi="宋体"/>
                <w:color w:val="auto"/>
              </w:rPr>
              <w:t>81.39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其中：债券</w:t>
            </w:r>
          </w:p>
        </w:tc>
        <w:tc>
          <w:tcPr>
            <w:tcW w:w="2126" w:type="dxa"/>
            <w:shd w:val="clear" w:color="auto" w:fill="auto"/>
            <w:vAlign w:val="center"/>
          </w:tcPr>
          <w:p>
            <w:pPr>
              <w:jc w:val="right"/>
              <w:rPr>
                <w:rFonts w:ascii="宋体" w:hAnsi="宋体"/>
                <w:color w:val="auto"/>
              </w:rPr>
            </w:pPr>
            <w:r>
              <w:rPr>
                <w:rFonts w:hint="eastAsia" w:ascii="宋体" w:hAnsi="宋体"/>
                <w:color w:val="auto"/>
              </w:rPr>
              <w:t>31,630,142.82</w:t>
            </w:r>
          </w:p>
        </w:tc>
        <w:tc>
          <w:tcPr>
            <w:tcW w:w="2127" w:type="dxa"/>
            <w:shd w:val="clear" w:color="auto" w:fill="auto"/>
            <w:vAlign w:val="center"/>
          </w:tcPr>
          <w:p>
            <w:pPr>
              <w:jc w:val="right"/>
              <w:rPr>
                <w:rFonts w:ascii="宋体" w:hAnsi="宋体"/>
                <w:color w:val="auto"/>
              </w:rPr>
            </w:pPr>
            <w:r>
              <w:rPr>
                <w:rFonts w:hint="eastAsia" w:ascii="宋体" w:hAnsi="宋体"/>
                <w:color w:val="auto"/>
              </w:rPr>
              <w:t>81.39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资产支持证券</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4</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金融衍生品投资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其中：远期</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期货</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xml:space="preserve">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期权</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权证</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5</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6,896,655.59</w:t>
            </w:r>
          </w:p>
        </w:tc>
        <w:tc>
          <w:tcPr>
            <w:tcW w:w="2127" w:type="dxa"/>
            <w:shd w:val="clear" w:color="auto" w:fill="auto"/>
            <w:vAlign w:val="center"/>
          </w:tcPr>
          <w:p>
            <w:pPr>
              <w:jc w:val="right"/>
              <w:rPr>
                <w:rFonts w:ascii="宋体" w:hAnsi="宋体"/>
                <w:color w:val="auto"/>
              </w:rPr>
            </w:pPr>
            <w:r>
              <w:rPr>
                <w:rFonts w:hint="eastAsia" w:ascii="宋体" w:hAnsi="宋体"/>
                <w:color w:val="auto"/>
              </w:rPr>
              <w:t>17.75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其中：买断式回购的买入返售金融资产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6</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货币市场工具</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7</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银行存款和结算备付金合计</w:t>
            </w:r>
          </w:p>
        </w:tc>
        <w:tc>
          <w:tcPr>
            <w:tcW w:w="2126" w:type="dxa"/>
            <w:shd w:val="clear" w:color="auto" w:fill="auto"/>
            <w:vAlign w:val="center"/>
          </w:tcPr>
          <w:p>
            <w:pPr>
              <w:jc w:val="right"/>
              <w:rPr>
                <w:rFonts w:ascii="宋体" w:hAnsi="宋体"/>
                <w:color w:val="auto"/>
              </w:rPr>
            </w:pPr>
            <w:r>
              <w:rPr>
                <w:rFonts w:hint="eastAsia" w:ascii="宋体" w:hAnsi="宋体"/>
                <w:color w:val="auto"/>
              </w:rPr>
              <w:t>364,543.56</w:t>
            </w:r>
          </w:p>
        </w:tc>
        <w:tc>
          <w:tcPr>
            <w:tcW w:w="2127" w:type="dxa"/>
            <w:shd w:val="clear" w:color="auto" w:fill="auto"/>
            <w:vAlign w:val="center"/>
          </w:tcPr>
          <w:p>
            <w:pPr>
              <w:jc w:val="right"/>
              <w:rPr>
                <w:rFonts w:ascii="宋体" w:hAnsi="宋体"/>
                <w:color w:val="auto"/>
              </w:rPr>
            </w:pPr>
            <w:r>
              <w:rPr>
                <w:rFonts w:hint="eastAsia" w:ascii="宋体" w:hAnsi="宋体"/>
                <w:color w:val="auto"/>
              </w:rPr>
              <w:t>0.94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8</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拆放同业</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9</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资管产品</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ascii="宋体" w:hAnsi="宋体" w:cs="宋体"/>
                <w:color w:val="auto"/>
                <w:kern w:val="0"/>
                <w:sz w:val="22"/>
                <w:szCs w:val="22"/>
              </w:rPr>
              <w:t>10</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其他资产</w:t>
            </w:r>
          </w:p>
        </w:tc>
        <w:tc>
          <w:tcPr>
            <w:tcW w:w="2126" w:type="dxa"/>
            <w:shd w:val="clear" w:color="auto" w:fill="auto"/>
            <w:vAlign w:val="center"/>
          </w:tcPr>
          <w:p>
            <w:pPr>
              <w:jc w:val="right"/>
              <w:rPr>
                <w:rFonts w:ascii="宋体" w:hAnsi="宋体"/>
                <w:color w:val="auto"/>
              </w:rPr>
            </w:pPr>
            <w:r>
              <w:rPr>
                <w:rFonts w:hint="eastAsia" w:ascii="宋体" w:hAnsi="宋体"/>
                <w:color w:val="auto"/>
              </w:rPr>
              <w:t>1,880.83</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auto"/>
                <w:szCs w:val="21"/>
              </w:rPr>
            </w:pPr>
          </w:p>
        </w:tc>
        <w:tc>
          <w:tcPr>
            <w:tcW w:w="3402" w:type="dxa"/>
            <w:shd w:val="clear" w:color="auto" w:fill="auto"/>
          </w:tcPr>
          <w:p>
            <w:pPr>
              <w:jc w:val="left"/>
              <w:rPr>
                <w:rFonts w:ascii="宋体" w:hAnsi="宋体"/>
                <w:color w:val="auto"/>
                <w:szCs w:val="21"/>
              </w:rPr>
            </w:pPr>
            <w:r>
              <w:rPr>
                <w:rFonts w:hint="eastAsia" w:ascii="宋体" w:hAnsi="宋体"/>
                <w:color w:val="auto"/>
                <w:szCs w:val="21"/>
              </w:rPr>
              <w:t>合计</w:t>
            </w:r>
          </w:p>
        </w:tc>
        <w:tc>
          <w:tcPr>
            <w:tcW w:w="2126" w:type="dxa"/>
            <w:shd w:val="clear" w:color="auto" w:fill="auto"/>
          </w:tcPr>
          <w:p>
            <w:pPr>
              <w:jc w:val="right"/>
              <w:rPr>
                <w:rFonts w:ascii="宋体" w:hAnsi="宋体"/>
                <w:color w:val="auto"/>
              </w:rPr>
            </w:pPr>
            <w:r>
              <w:rPr>
                <w:rFonts w:hint="eastAsia" w:ascii="宋体" w:hAnsi="宋体"/>
                <w:color w:val="auto"/>
              </w:rPr>
              <w:t>38,893,222.80</w:t>
            </w:r>
          </w:p>
        </w:tc>
        <w:tc>
          <w:tcPr>
            <w:tcW w:w="2127" w:type="dxa"/>
            <w:shd w:val="clear" w:color="auto" w:fill="auto"/>
          </w:tcPr>
          <w:p>
            <w:pPr>
              <w:jc w:val="right"/>
              <w:rPr>
                <w:rFonts w:ascii="宋体" w:hAnsi="宋体"/>
                <w:color w:val="auto"/>
              </w:rPr>
            </w:pPr>
            <w:r>
              <w:rPr>
                <w:rFonts w:hint="eastAsia" w:ascii="宋体" w:hAnsi="宋体"/>
                <w:color w:val="auto"/>
              </w:rPr>
              <w:t>100.08</w:t>
            </w:r>
          </w:p>
        </w:tc>
      </w:tr>
    </w:tbl>
    <w:p>
      <w:pPr>
        <w:spacing w:before="156" w:beforeLines="50" w:after="156" w:afterLines="50" w:line="360" w:lineRule="auto"/>
        <w:rPr>
          <w:color w:val="auto"/>
        </w:rPr>
      </w:pPr>
    </w:p>
    <w:p>
      <w:pPr>
        <w:spacing w:before="156" w:beforeLines="50" w:after="156" w:afterLines="50" w:line="360" w:lineRule="auto"/>
        <w:rPr>
          <w:color w:val="auto"/>
        </w:rPr>
      </w:pPr>
      <w:r>
        <w:rPr>
          <w:rFonts w:hint="eastAsia"/>
          <w:color w:val="auto"/>
        </w:rPr>
        <w:t>注：由于四舍五入原因，各分项占资产总值的比例之和与合计可能存在尾差。</w:t>
      </w:r>
    </w:p>
    <w:p>
      <w:pPr>
        <w:spacing w:before="156" w:beforeLines="50" w:after="156" w:afterLines="50" w:line="360" w:lineRule="auto"/>
        <w:rPr>
          <w:color w:val="auto"/>
        </w:rPr>
      </w:pPr>
    </w:p>
    <w:p>
      <w:pPr>
        <w:spacing w:before="156" w:beforeLines="50" w:after="156" w:afterLines="50" w:line="360" w:lineRule="auto"/>
        <w:rPr>
          <w:color w:val="auto"/>
        </w:rPr>
      </w:pPr>
      <w:r>
        <w:rPr>
          <w:color w:val="auto"/>
        </w:rPr>
        <w:t>5.2.</w:t>
      </w:r>
      <w:r>
        <w:rPr>
          <w:rFonts w:hint="eastAsia"/>
          <w:color w:val="auto"/>
        </w:rPr>
        <w:t>3期末间接投资前十项持仓资产情况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146"/>
        <w:gridCol w:w="3994"/>
        <w:gridCol w:w="2006"/>
        <w:gridCol w:w="2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1146" w:type="dxa"/>
            <w:shd w:val="clear" w:color="auto" w:fill="auto"/>
            <w:vAlign w:val="center"/>
          </w:tcPr>
          <w:p>
            <w:pPr>
              <w:jc w:val="center"/>
              <w:rPr>
                <w:color w:val="auto"/>
                <w:szCs w:val="21"/>
              </w:rPr>
            </w:pPr>
            <w:r>
              <w:rPr>
                <w:rFonts w:hint="eastAsia" w:ascii="宋体"/>
                <w:color w:val="auto"/>
                <w:szCs w:val="21"/>
              </w:rPr>
              <w:t>序号</w:t>
            </w:r>
          </w:p>
        </w:tc>
        <w:tc>
          <w:tcPr>
            <w:tcW w:w="3994" w:type="dxa"/>
            <w:shd w:val="clear" w:color="auto" w:fill="auto"/>
            <w:vAlign w:val="center"/>
          </w:tcPr>
          <w:p>
            <w:pPr>
              <w:jc w:val="center"/>
              <w:rPr>
                <w:color w:val="auto"/>
                <w:szCs w:val="21"/>
              </w:rPr>
            </w:pPr>
            <w:r>
              <w:rPr>
                <w:rFonts w:hint="eastAsia" w:ascii="宋体"/>
                <w:color w:val="auto"/>
                <w:szCs w:val="21"/>
              </w:rPr>
              <w:t>项目</w:t>
            </w:r>
          </w:p>
        </w:tc>
        <w:tc>
          <w:tcPr>
            <w:tcW w:w="2006" w:type="dxa"/>
            <w:shd w:val="clear" w:color="auto" w:fill="auto"/>
            <w:vAlign w:val="center"/>
          </w:tcPr>
          <w:p>
            <w:pPr>
              <w:jc w:val="center"/>
              <w:rPr>
                <w:color w:val="auto"/>
                <w:szCs w:val="21"/>
              </w:rPr>
            </w:pPr>
            <w:r>
              <w:rPr>
                <w:rFonts w:hint="eastAsia" w:ascii="宋体"/>
                <w:color w:val="auto"/>
                <w:szCs w:val="21"/>
              </w:rPr>
              <w:t>金额(元)</w:t>
            </w:r>
          </w:p>
        </w:tc>
        <w:tc>
          <w:tcPr>
            <w:tcW w:w="2046" w:type="dxa"/>
            <w:shd w:val="clear" w:color="auto" w:fill="auto"/>
            <w:vAlign w:val="center"/>
          </w:tcPr>
          <w:p>
            <w:pPr>
              <w:jc w:val="center"/>
              <w:rPr>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1</w:t>
            </w:r>
          </w:p>
        </w:tc>
        <w:tc>
          <w:tcPr>
            <w:tcW w:w="3994" w:type="dxa"/>
            <w:shd w:val="clear" w:color="auto" w:fill="auto"/>
          </w:tcPr>
          <w:p>
            <w:pPr>
              <w:jc w:val="left"/>
              <w:rPr>
                <w:rFonts w:ascii="宋体"/>
                <w:color w:val="auto"/>
                <w:szCs w:val="21"/>
              </w:rPr>
            </w:pPr>
            <w:r>
              <w:rPr>
                <w:color w:val="auto"/>
              </w:rPr>
              <w:t>GC002</w:t>
            </w:r>
          </w:p>
        </w:tc>
        <w:tc>
          <w:tcPr>
            <w:tcW w:w="2006" w:type="dxa"/>
            <w:shd w:val="clear" w:color="auto" w:fill="auto"/>
          </w:tcPr>
          <w:p>
            <w:pPr>
              <w:jc w:val="right"/>
              <w:rPr>
                <w:rFonts w:ascii="宋体"/>
                <w:color w:val="auto"/>
                <w:szCs w:val="21"/>
              </w:rPr>
            </w:pPr>
            <w:r>
              <w:rPr>
                <w:color w:val="auto"/>
              </w:rPr>
              <w:t>6,896,655.59</w:t>
            </w:r>
          </w:p>
        </w:tc>
        <w:tc>
          <w:tcPr>
            <w:tcW w:w="2046" w:type="dxa"/>
            <w:shd w:val="clear" w:color="auto" w:fill="auto"/>
          </w:tcPr>
          <w:p>
            <w:pPr>
              <w:jc w:val="right"/>
              <w:rPr>
                <w:rFonts w:ascii="宋体"/>
                <w:color w:val="auto"/>
                <w:szCs w:val="21"/>
              </w:rPr>
            </w:pPr>
            <w:r>
              <w:rPr>
                <w:color w:val="auto"/>
              </w:rPr>
              <w:t>17.75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2</w:t>
            </w:r>
          </w:p>
        </w:tc>
        <w:tc>
          <w:tcPr>
            <w:tcW w:w="3994" w:type="dxa"/>
            <w:shd w:val="clear" w:color="auto" w:fill="auto"/>
          </w:tcPr>
          <w:p>
            <w:pPr>
              <w:jc w:val="left"/>
              <w:rPr>
                <w:rFonts w:ascii="宋体"/>
                <w:color w:val="auto"/>
                <w:szCs w:val="21"/>
              </w:rPr>
            </w:pPr>
            <w:r>
              <w:rPr>
                <w:color w:val="auto"/>
              </w:rPr>
              <w:t>21安投01</w:t>
            </w:r>
          </w:p>
        </w:tc>
        <w:tc>
          <w:tcPr>
            <w:tcW w:w="2006" w:type="dxa"/>
            <w:shd w:val="clear" w:color="auto" w:fill="auto"/>
          </w:tcPr>
          <w:p>
            <w:pPr>
              <w:jc w:val="right"/>
              <w:rPr>
                <w:rFonts w:ascii="宋体"/>
                <w:color w:val="auto"/>
                <w:szCs w:val="21"/>
              </w:rPr>
            </w:pPr>
            <w:r>
              <w:rPr>
                <w:color w:val="auto"/>
              </w:rPr>
              <w:t>2,186,315.39</w:t>
            </w:r>
          </w:p>
        </w:tc>
        <w:tc>
          <w:tcPr>
            <w:tcW w:w="2046" w:type="dxa"/>
            <w:shd w:val="clear" w:color="auto" w:fill="auto"/>
          </w:tcPr>
          <w:p>
            <w:pPr>
              <w:jc w:val="right"/>
              <w:rPr>
                <w:rFonts w:ascii="宋体"/>
                <w:color w:val="auto"/>
                <w:szCs w:val="21"/>
              </w:rPr>
            </w:pPr>
            <w:r>
              <w:rPr>
                <w:color w:val="auto"/>
              </w:rPr>
              <w:t>5.63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3</w:t>
            </w:r>
          </w:p>
        </w:tc>
        <w:tc>
          <w:tcPr>
            <w:tcW w:w="3994" w:type="dxa"/>
            <w:shd w:val="clear" w:color="auto" w:fill="auto"/>
          </w:tcPr>
          <w:p>
            <w:pPr>
              <w:jc w:val="left"/>
              <w:rPr>
                <w:rFonts w:ascii="宋体"/>
                <w:color w:val="auto"/>
                <w:szCs w:val="21"/>
              </w:rPr>
            </w:pPr>
            <w:r>
              <w:rPr>
                <w:color w:val="auto"/>
              </w:rPr>
              <w:t>20铜开01</w:t>
            </w:r>
          </w:p>
        </w:tc>
        <w:tc>
          <w:tcPr>
            <w:tcW w:w="2006" w:type="dxa"/>
            <w:shd w:val="clear" w:color="auto" w:fill="auto"/>
          </w:tcPr>
          <w:p>
            <w:pPr>
              <w:jc w:val="right"/>
              <w:rPr>
                <w:rFonts w:ascii="宋体"/>
                <w:color w:val="auto"/>
                <w:szCs w:val="21"/>
              </w:rPr>
            </w:pPr>
            <w:r>
              <w:rPr>
                <w:color w:val="auto"/>
              </w:rPr>
              <w:t>1,549,050.93</w:t>
            </w:r>
          </w:p>
        </w:tc>
        <w:tc>
          <w:tcPr>
            <w:tcW w:w="2046" w:type="dxa"/>
            <w:shd w:val="clear" w:color="auto" w:fill="auto"/>
          </w:tcPr>
          <w:p>
            <w:pPr>
              <w:jc w:val="right"/>
              <w:rPr>
                <w:rFonts w:ascii="宋体"/>
                <w:color w:val="auto"/>
                <w:szCs w:val="21"/>
              </w:rPr>
            </w:pPr>
            <w:r>
              <w:rPr>
                <w:color w:val="auto"/>
              </w:rPr>
              <w:t>3.99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4</w:t>
            </w:r>
          </w:p>
        </w:tc>
        <w:tc>
          <w:tcPr>
            <w:tcW w:w="3994" w:type="dxa"/>
            <w:shd w:val="clear" w:color="auto" w:fill="auto"/>
          </w:tcPr>
          <w:p>
            <w:pPr>
              <w:jc w:val="left"/>
              <w:rPr>
                <w:rFonts w:ascii="宋体"/>
                <w:color w:val="auto"/>
                <w:szCs w:val="21"/>
              </w:rPr>
            </w:pPr>
            <w:r>
              <w:rPr>
                <w:color w:val="auto"/>
              </w:rPr>
              <w:t>20遵旅01</w:t>
            </w:r>
          </w:p>
        </w:tc>
        <w:tc>
          <w:tcPr>
            <w:tcW w:w="2006" w:type="dxa"/>
            <w:shd w:val="clear" w:color="auto" w:fill="auto"/>
          </w:tcPr>
          <w:p>
            <w:pPr>
              <w:jc w:val="right"/>
              <w:rPr>
                <w:rFonts w:ascii="宋体"/>
                <w:color w:val="auto"/>
                <w:szCs w:val="21"/>
              </w:rPr>
            </w:pPr>
            <w:r>
              <w:rPr>
                <w:color w:val="auto"/>
              </w:rPr>
              <w:t>1,192,421.72</w:t>
            </w:r>
          </w:p>
        </w:tc>
        <w:tc>
          <w:tcPr>
            <w:tcW w:w="2046" w:type="dxa"/>
            <w:shd w:val="clear" w:color="auto" w:fill="auto"/>
          </w:tcPr>
          <w:p>
            <w:pPr>
              <w:jc w:val="right"/>
              <w:rPr>
                <w:rFonts w:ascii="宋体"/>
                <w:color w:val="auto"/>
                <w:szCs w:val="21"/>
              </w:rPr>
            </w:pPr>
            <w:r>
              <w:rPr>
                <w:color w:val="auto"/>
              </w:rPr>
              <w:t>3.07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5</w:t>
            </w:r>
          </w:p>
        </w:tc>
        <w:tc>
          <w:tcPr>
            <w:tcW w:w="3994" w:type="dxa"/>
            <w:shd w:val="clear" w:color="auto" w:fill="auto"/>
          </w:tcPr>
          <w:p>
            <w:pPr>
              <w:jc w:val="left"/>
              <w:rPr>
                <w:rFonts w:ascii="宋体"/>
                <w:color w:val="auto"/>
                <w:szCs w:val="21"/>
              </w:rPr>
            </w:pPr>
            <w:r>
              <w:rPr>
                <w:color w:val="auto"/>
              </w:rPr>
              <w:t>20贵产01</w:t>
            </w:r>
          </w:p>
        </w:tc>
        <w:tc>
          <w:tcPr>
            <w:tcW w:w="2006" w:type="dxa"/>
            <w:shd w:val="clear" w:color="auto" w:fill="auto"/>
          </w:tcPr>
          <w:p>
            <w:pPr>
              <w:jc w:val="right"/>
              <w:rPr>
                <w:rFonts w:ascii="宋体"/>
                <w:color w:val="auto"/>
                <w:szCs w:val="21"/>
              </w:rPr>
            </w:pPr>
            <w:r>
              <w:rPr>
                <w:color w:val="auto"/>
              </w:rPr>
              <w:t>1,102,498.79</w:t>
            </w:r>
          </w:p>
        </w:tc>
        <w:tc>
          <w:tcPr>
            <w:tcW w:w="2046" w:type="dxa"/>
            <w:shd w:val="clear" w:color="auto" w:fill="auto"/>
          </w:tcPr>
          <w:p>
            <w:pPr>
              <w:jc w:val="right"/>
              <w:rPr>
                <w:rFonts w:ascii="宋体"/>
                <w:color w:val="auto"/>
                <w:szCs w:val="21"/>
              </w:rPr>
            </w:pPr>
            <w:r>
              <w:rPr>
                <w:color w:val="auto"/>
              </w:rPr>
              <w:t>2.84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6</w:t>
            </w:r>
          </w:p>
        </w:tc>
        <w:tc>
          <w:tcPr>
            <w:tcW w:w="3994" w:type="dxa"/>
            <w:shd w:val="clear" w:color="auto" w:fill="auto"/>
          </w:tcPr>
          <w:p>
            <w:pPr>
              <w:jc w:val="left"/>
              <w:rPr>
                <w:rFonts w:ascii="宋体"/>
                <w:color w:val="auto"/>
                <w:szCs w:val="21"/>
              </w:rPr>
            </w:pPr>
            <w:r>
              <w:rPr>
                <w:color w:val="auto"/>
              </w:rPr>
              <w:t>20铜旅01</w:t>
            </w:r>
          </w:p>
        </w:tc>
        <w:tc>
          <w:tcPr>
            <w:tcW w:w="2006" w:type="dxa"/>
            <w:shd w:val="clear" w:color="auto" w:fill="auto"/>
          </w:tcPr>
          <w:p>
            <w:pPr>
              <w:jc w:val="right"/>
              <w:rPr>
                <w:rFonts w:ascii="宋体"/>
                <w:color w:val="auto"/>
                <w:szCs w:val="21"/>
              </w:rPr>
            </w:pPr>
            <w:r>
              <w:rPr>
                <w:color w:val="auto"/>
              </w:rPr>
              <w:t>1,095,936.40</w:t>
            </w:r>
          </w:p>
        </w:tc>
        <w:tc>
          <w:tcPr>
            <w:tcW w:w="2046" w:type="dxa"/>
            <w:shd w:val="clear" w:color="auto" w:fill="auto"/>
          </w:tcPr>
          <w:p>
            <w:pPr>
              <w:jc w:val="right"/>
              <w:rPr>
                <w:rFonts w:ascii="宋体"/>
                <w:color w:val="auto"/>
                <w:szCs w:val="21"/>
              </w:rPr>
            </w:pPr>
            <w:r>
              <w:rPr>
                <w:color w:val="auto"/>
              </w:rPr>
              <w:t>2.82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7</w:t>
            </w:r>
          </w:p>
        </w:tc>
        <w:tc>
          <w:tcPr>
            <w:tcW w:w="3994" w:type="dxa"/>
            <w:shd w:val="clear" w:color="auto" w:fill="auto"/>
          </w:tcPr>
          <w:p>
            <w:pPr>
              <w:jc w:val="left"/>
              <w:rPr>
                <w:rFonts w:ascii="宋体"/>
                <w:color w:val="auto"/>
                <w:szCs w:val="21"/>
              </w:rPr>
            </w:pPr>
            <w:r>
              <w:rPr>
                <w:color w:val="auto"/>
              </w:rPr>
              <w:t>20文旅01</w:t>
            </w:r>
          </w:p>
        </w:tc>
        <w:tc>
          <w:tcPr>
            <w:tcW w:w="2006" w:type="dxa"/>
            <w:shd w:val="clear" w:color="auto" w:fill="auto"/>
          </w:tcPr>
          <w:p>
            <w:pPr>
              <w:jc w:val="right"/>
              <w:rPr>
                <w:rFonts w:ascii="宋体"/>
                <w:color w:val="auto"/>
                <w:szCs w:val="21"/>
              </w:rPr>
            </w:pPr>
            <w:r>
              <w:rPr>
                <w:color w:val="auto"/>
              </w:rPr>
              <w:t>1,007,319.84</w:t>
            </w:r>
          </w:p>
        </w:tc>
        <w:tc>
          <w:tcPr>
            <w:tcW w:w="2046" w:type="dxa"/>
            <w:shd w:val="clear" w:color="auto" w:fill="auto"/>
          </w:tcPr>
          <w:p>
            <w:pPr>
              <w:jc w:val="right"/>
              <w:rPr>
                <w:rFonts w:ascii="宋体"/>
                <w:color w:val="auto"/>
                <w:szCs w:val="21"/>
              </w:rPr>
            </w:pPr>
            <w:r>
              <w:rPr>
                <w:color w:val="auto"/>
              </w:rPr>
              <w:t>2.59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8</w:t>
            </w:r>
          </w:p>
        </w:tc>
        <w:tc>
          <w:tcPr>
            <w:tcW w:w="3994" w:type="dxa"/>
            <w:shd w:val="clear" w:color="auto" w:fill="auto"/>
          </w:tcPr>
          <w:p>
            <w:pPr>
              <w:jc w:val="left"/>
              <w:rPr>
                <w:rFonts w:ascii="宋体"/>
                <w:color w:val="auto"/>
                <w:szCs w:val="21"/>
              </w:rPr>
            </w:pPr>
            <w:r>
              <w:rPr>
                <w:color w:val="auto"/>
              </w:rPr>
              <w:t>20花竹01</w:t>
            </w:r>
          </w:p>
        </w:tc>
        <w:tc>
          <w:tcPr>
            <w:tcW w:w="2006" w:type="dxa"/>
            <w:shd w:val="clear" w:color="auto" w:fill="auto"/>
          </w:tcPr>
          <w:p>
            <w:pPr>
              <w:jc w:val="right"/>
              <w:rPr>
                <w:rFonts w:ascii="宋体"/>
                <w:color w:val="auto"/>
                <w:szCs w:val="21"/>
              </w:rPr>
            </w:pPr>
            <w:r>
              <w:rPr>
                <w:color w:val="auto"/>
              </w:rPr>
              <w:t>1,004,341.26</w:t>
            </w:r>
          </w:p>
        </w:tc>
        <w:tc>
          <w:tcPr>
            <w:tcW w:w="2046" w:type="dxa"/>
            <w:shd w:val="clear" w:color="auto" w:fill="auto"/>
          </w:tcPr>
          <w:p>
            <w:pPr>
              <w:jc w:val="right"/>
              <w:rPr>
                <w:rFonts w:ascii="宋体"/>
                <w:color w:val="auto"/>
                <w:szCs w:val="21"/>
              </w:rPr>
            </w:pPr>
            <w:r>
              <w:rPr>
                <w:color w:val="auto"/>
              </w:rPr>
              <w:t>2.58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9</w:t>
            </w:r>
          </w:p>
        </w:tc>
        <w:tc>
          <w:tcPr>
            <w:tcW w:w="3994" w:type="dxa"/>
            <w:shd w:val="clear" w:color="auto" w:fill="auto"/>
          </w:tcPr>
          <w:p>
            <w:pPr>
              <w:jc w:val="left"/>
              <w:rPr>
                <w:rFonts w:ascii="宋体"/>
                <w:color w:val="auto"/>
                <w:szCs w:val="21"/>
              </w:rPr>
            </w:pPr>
            <w:r>
              <w:rPr>
                <w:color w:val="auto"/>
              </w:rPr>
              <w:t>20安投债</w:t>
            </w:r>
          </w:p>
        </w:tc>
        <w:tc>
          <w:tcPr>
            <w:tcW w:w="2006" w:type="dxa"/>
            <w:shd w:val="clear" w:color="auto" w:fill="auto"/>
          </w:tcPr>
          <w:p>
            <w:pPr>
              <w:jc w:val="right"/>
              <w:rPr>
                <w:rFonts w:ascii="宋体"/>
                <w:color w:val="auto"/>
                <w:szCs w:val="21"/>
              </w:rPr>
            </w:pPr>
            <w:r>
              <w:rPr>
                <w:color w:val="auto"/>
              </w:rPr>
              <w:t>972,399.23</w:t>
            </w:r>
          </w:p>
        </w:tc>
        <w:tc>
          <w:tcPr>
            <w:tcW w:w="2046" w:type="dxa"/>
            <w:shd w:val="clear" w:color="auto" w:fill="auto"/>
          </w:tcPr>
          <w:p>
            <w:pPr>
              <w:jc w:val="right"/>
              <w:rPr>
                <w:rFonts w:ascii="宋体"/>
                <w:color w:val="auto"/>
                <w:szCs w:val="21"/>
              </w:rPr>
            </w:pPr>
            <w:r>
              <w:rPr>
                <w:color w:val="auto"/>
              </w:rPr>
              <w:t>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10</w:t>
            </w:r>
          </w:p>
        </w:tc>
        <w:tc>
          <w:tcPr>
            <w:tcW w:w="3994" w:type="dxa"/>
            <w:shd w:val="clear" w:color="auto" w:fill="auto"/>
          </w:tcPr>
          <w:p>
            <w:pPr>
              <w:jc w:val="left"/>
              <w:rPr>
                <w:rFonts w:ascii="宋体"/>
                <w:color w:val="auto"/>
                <w:szCs w:val="21"/>
              </w:rPr>
            </w:pPr>
            <w:r>
              <w:rPr>
                <w:color w:val="auto"/>
              </w:rPr>
              <w:t>22贵安01</w:t>
            </w:r>
          </w:p>
        </w:tc>
        <w:tc>
          <w:tcPr>
            <w:tcW w:w="2006" w:type="dxa"/>
            <w:shd w:val="clear" w:color="auto" w:fill="auto"/>
          </w:tcPr>
          <w:p>
            <w:pPr>
              <w:jc w:val="right"/>
              <w:rPr>
                <w:rFonts w:ascii="宋体"/>
                <w:color w:val="auto"/>
                <w:szCs w:val="21"/>
              </w:rPr>
            </w:pPr>
            <w:r>
              <w:rPr>
                <w:color w:val="auto"/>
              </w:rPr>
              <w:t>930,938.82</w:t>
            </w:r>
          </w:p>
        </w:tc>
        <w:tc>
          <w:tcPr>
            <w:tcW w:w="2046" w:type="dxa"/>
            <w:shd w:val="clear" w:color="auto" w:fill="auto"/>
          </w:tcPr>
          <w:p>
            <w:pPr>
              <w:jc w:val="right"/>
              <w:rPr>
                <w:rFonts w:ascii="宋体"/>
                <w:color w:val="auto"/>
                <w:szCs w:val="21"/>
              </w:rPr>
            </w:pPr>
            <w:r>
              <w:rPr>
                <w:color w:val="auto"/>
              </w:rPr>
              <w:t>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p>
        </w:tc>
        <w:tc>
          <w:tcPr>
            <w:tcW w:w="3994" w:type="dxa"/>
            <w:shd w:val="clear" w:color="auto" w:fill="auto"/>
          </w:tcPr>
          <w:p>
            <w:pPr>
              <w:jc w:val="left"/>
              <w:rPr>
                <w:rFonts w:ascii="宋体"/>
                <w:color w:val="auto"/>
                <w:szCs w:val="21"/>
              </w:rPr>
            </w:pPr>
            <w:r>
              <w:rPr>
                <w:color w:val="auto"/>
              </w:rPr>
              <w:t>合计</w:t>
            </w:r>
          </w:p>
        </w:tc>
        <w:tc>
          <w:tcPr>
            <w:tcW w:w="2006" w:type="dxa"/>
            <w:shd w:val="clear" w:color="auto" w:fill="auto"/>
          </w:tcPr>
          <w:p>
            <w:pPr>
              <w:jc w:val="right"/>
              <w:rPr>
                <w:rFonts w:ascii="宋体"/>
                <w:color w:val="auto"/>
                <w:szCs w:val="21"/>
              </w:rPr>
            </w:pPr>
            <w:r>
              <w:rPr>
                <w:color w:val="auto"/>
              </w:rPr>
              <w:t>17,937,877.97</w:t>
            </w:r>
          </w:p>
        </w:tc>
        <w:tc>
          <w:tcPr>
            <w:tcW w:w="2046" w:type="dxa"/>
            <w:shd w:val="clear" w:color="auto" w:fill="auto"/>
          </w:tcPr>
          <w:p>
            <w:pPr>
              <w:jc w:val="right"/>
              <w:rPr>
                <w:rFonts w:ascii="宋体"/>
                <w:color w:val="auto"/>
                <w:szCs w:val="21"/>
              </w:rPr>
            </w:pPr>
            <w:r>
              <w:rPr>
                <w:color w:val="auto"/>
              </w:rPr>
              <w:t>46.16</w:t>
            </w:r>
          </w:p>
        </w:tc>
      </w:tr>
    </w:tbl>
    <w:p>
      <w:pPr>
        <w:spacing w:before="156" w:beforeLines="50" w:after="156" w:afterLines="50" w:line="360" w:lineRule="auto"/>
        <w:rPr>
          <w:color w:val="auto"/>
        </w:rPr>
      </w:pPr>
      <w:r>
        <w:rPr>
          <w:color w:val="auto"/>
        </w:rPr>
        <w:tab/>
      </w:r>
      <w:r>
        <w:rPr>
          <w:rFonts w:hint="eastAsia"/>
          <w:color w:val="auto"/>
        </w:rPr>
        <w:t>注：由于四舍五入原因，各分项占资产总值的比例之和与合计可能存在尾差。</w:t>
      </w:r>
    </w:p>
    <w:p>
      <w:pPr>
        <w:spacing w:before="156" w:beforeLines="50" w:after="156" w:afterLines="50" w:line="360" w:lineRule="auto"/>
        <w:rPr>
          <w:color w:val="auto"/>
        </w:rPr>
      </w:pPr>
    </w:p>
    <w:p>
      <w:pPr>
        <w:spacing w:before="156" w:beforeLines="50" w:after="156" w:afterLines="50" w:line="360" w:lineRule="auto"/>
        <w:rPr>
          <w:b/>
          <w:color w:val="auto"/>
        </w:rPr>
      </w:pPr>
      <w:r>
        <w:rPr>
          <w:b/>
          <w:color w:val="auto"/>
        </w:rPr>
        <w:t>5.3</w:t>
      </w:r>
      <w:r>
        <w:rPr>
          <w:rFonts w:hint="eastAsia"/>
          <w:b/>
          <w:color w:val="auto"/>
        </w:rPr>
        <w:t>所投资非标准化债权类资产情况</w:t>
      </w:r>
    </w:p>
    <w:p>
      <w:pPr>
        <w:spacing w:before="156" w:beforeLines="50" w:after="156" w:afterLines="50" w:line="360" w:lineRule="auto"/>
        <w:rPr>
          <w:rFonts w:ascii="宋体" w:hAnsi="宋体"/>
          <w:color w:val="auto"/>
          <w:szCs w:val="21"/>
        </w:rPr>
      </w:pPr>
      <w:r>
        <w:rPr>
          <w:rFonts w:hint="eastAsia" w:ascii="宋体" w:hAnsi="宋体"/>
          <w:color w:val="auto"/>
          <w:szCs w:val="21"/>
        </w:rPr>
        <w:tab/>
      </w:r>
      <w:r>
        <w:rPr>
          <w:rFonts w:ascii="宋体" w:hAnsi="宋体"/>
          <w:color w:val="auto"/>
          <w:szCs w:val="21"/>
        </w:rPr>
        <w:t>本报告期内，本理财计划未投资非标准化债权类资产。</w:t>
      </w:r>
    </w:p>
    <w:p>
      <w:pPr>
        <w:spacing w:before="156" w:beforeLines="50" w:after="156" w:afterLines="50" w:line="360" w:lineRule="auto"/>
        <w:rPr>
          <w:b/>
          <w:color w:val="auto"/>
        </w:rPr>
      </w:pPr>
    </w:p>
    <w:p>
      <w:pPr>
        <w:spacing w:before="156" w:beforeLines="50" w:after="156" w:afterLines="50" w:line="360" w:lineRule="auto"/>
        <w:rPr>
          <w:b/>
          <w:color w:val="auto"/>
        </w:rPr>
      </w:pPr>
      <w:r>
        <w:rPr>
          <w:b/>
          <w:color w:val="auto"/>
        </w:rPr>
        <w:t>5.4</w:t>
      </w:r>
      <w:r>
        <w:rPr>
          <w:rFonts w:hint="eastAsia"/>
          <w:b/>
          <w:color w:val="auto"/>
        </w:rPr>
        <w:t>投资组合的流动性风险分析</w:t>
      </w:r>
    </w:p>
    <w:p>
      <w:pPr>
        <w:spacing w:before="156" w:beforeLines="50" w:after="156" w:afterLines="50" w:line="360" w:lineRule="atLeast"/>
        <w:ind w:firstLine="420" w:firstLineChars="200"/>
        <w:rPr>
          <w:rFonts w:ascii="宋体"/>
          <w:color w:val="auto"/>
        </w:rPr>
      </w:pPr>
      <w:r>
        <w:rPr>
          <w:rFonts w:hint="eastAsia" w:ascii="宋体"/>
          <w:color w:val="auto"/>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p>
    <w:p>
      <w:pPr>
        <w:spacing w:before="156" w:beforeLines="50" w:after="156" w:afterLines="50" w:line="360" w:lineRule="atLeast"/>
        <w:ind w:firstLine="420" w:firstLineChars="200"/>
        <w:rPr>
          <w:rFonts w:ascii="宋体"/>
          <w:color w:val="auto"/>
        </w:rPr>
      </w:pPr>
      <w:r>
        <w:rPr>
          <w:rFonts w:hint="eastAsia" w:ascii="宋体"/>
          <w:color w:val="auto"/>
        </w:rPr>
        <w:t xml:space="preserve"> </w:t>
      </w: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6</w:t>
      </w:r>
      <w:r>
        <w:rPr>
          <w:rFonts w:hint="eastAsia" w:asciiTheme="minorEastAsia" w:hAnsiTheme="minorEastAsia" w:eastAsiaTheme="minorEastAsia"/>
          <w:b/>
          <w:color w:val="auto"/>
          <w:sz w:val="24"/>
          <w:szCs w:val="24"/>
        </w:rPr>
        <w:t xml:space="preserve"> 关联交易情况说明</w:t>
      </w:r>
    </w:p>
    <w:p>
      <w:pPr>
        <w:rPr>
          <w:color w:val="auto"/>
        </w:rPr>
      </w:pPr>
      <w:r>
        <w:rPr>
          <w:rFonts w:hint="eastAsia" w:ascii="宋体"/>
          <w:color w:val="auto"/>
        </w:rPr>
        <w:tab/>
      </w:r>
      <w:r>
        <w:rPr>
          <w:rFonts w:hint="eastAsia" w:ascii="宋体"/>
          <w:color w:val="auto"/>
        </w:rPr>
        <w:t>本报告期内，本计划未发生关联交易。</w:t>
      </w:r>
    </w:p>
    <w:p>
      <w:pPr>
        <w:spacing w:line="360" w:lineRule="auto"/>
        <w:rPr>
          <w:color w:val="auto"/>
        </w:rPr>
      </w:pP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7</w:t>
      </w:r>
      <w:r>
        <w:rPr>
          <w:rFonts w:hint="eastAsia" w:asciiTheme="minorEastAsia" w:hAnsiTheme="minorEastAsia" w:eastAsiaTheme="minorEastAsia"/>
          <w:b/>
          <w:color w:val="auto"/>
          <w:sz w:val="24"/>
          <w:szCs w:val="24"/>
        </w:rPr>
        <w:t xml:space="preserve"> 影响投资者决策的其他重要信息</w:t>
      </w:r>
    </w:p>
    <w:p>
      <w:pPr>
        <w:spacing w:line="360" w:lineRule="auto"/>
        <w:rPr>
          <w:color w:val="auto"/>
        </w:rPr>
      </w:pPr>
      <w:r>
        <w:rPr>
          <w:color w:val="auto"/>
        </w:rPr>
        <w:t>7.1 影响投资者决策的其他重要信息</w:t>
      </w:r>
    </w:p>
    <w:p>
      <w:pPr>
        <w:spacing w:line="360" w:lineRule="auto"/>
        <w:rPr>
          <w:color w:val="auto"/>
        </w:rPr>
      </w:pPr>
      <w:r>
        <w:rPr>
          <w:color w:val="auto"/>
        </w:rPr>
        <w:t>无。</w:t>
      </w:r>
    </w:p>
    <w:p>
      <w:pPr>
        <w:spacing w:line="360" w:lineRule="auto"/>
        <w:rPr>
          <w:color w:val="auto"/>
        </w:rPr>
      </w:pPr>
    </w:p>
    <w:p>
      <w:pPr>
        <w:spacing w:line="360" w:lineRule="auto"/>
        <w:rPr>
          <w:color w:val="auto"/>
        </w:rPr>
      </w:pPr>
      <w:r>
        <w:rPr>
          <w:color w:val="auto"/>
        </w:rPr>
        <w:t>7.2其他事项。</w:t>
      </w:r>
    </w:p>
    <w:p>
      <w:pPr>
        <w:spacing w:line="360" w:lineRule="auto"/>
        <w:rPr>
          <w:color w:val="auto"/>
        </w:rPr>
      </w:pPr>
      <w:r>
        <w:rPr>
          <w:color w:val="auto"/>
        </w:rPr>
        <w:t>无。</w:t>
      </w:r>
    </w:p>
    <w:p>
      <w:pPr>
        <w:spacing w:before="156" w:beforeLines="50" w:after="156" w:afterLines="50" w:line="360" w:lineRule="auto"/>
        <w:jc w:val="center"/>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8</w:t>
      </w:r>
      <w:r>
        <w:rPr>
          <w:rFonts w:hint="eastAsia" w:asciiTheme="minorEastAsia" w:hAnsiTheme="minorEastAsia" w:eastAsiaTheme="minorEastAsia"/>
          <w:b/>
          <w:color w:val="auto"/>
          <w:sz w:val="24"/>
          <w:szCs w:val="24"/>
        </w:rPr>
        <w:t xml:space="preserve"> 托管人报告</w:t>
      </w:r>
    </w:p>
    <w:p>
      <w:pPr>
        <w:spacing w:line="360" w:lineRule="auto"/>
        <w:ind w:right="-107" w:rightChars="-51" w:firstLine="420" w:firstLineChars="200"/>
        <w:jc w:val="left"/>
        <w:rPr>
          <w:rFonts w:ascii="宋体" w:hAnsi="宋体"/>
          <w:color w:val="auto"/>
          <w:szCs w:val="21"/>
        </w:rPr>
      </w:pPr>
      <w:r>
        <w:rPr>
          <w:rFonts w:hint="eastAsia" w:ascii="宋体" w:hAnsi="宋体"/>
          <w:color w:val="auto"/>
          <w:szCs w:val="21"/>
        </w:rPr>
        <w:t>招商银行具备完善的公司治理结构、内部稽核监控制度和风险控制制度，我行在履行托管职责中，严格遵守有关法律法规、托管协议的规定，尽职尽责地履行托管义务并安全保管托管资产。</w:t>
      </w:r>
    </w:p>
    <w:p>
      <w:pPr>
        <w:spacing w:line="360" w:lineRule="auto"/>
        <w:rPr>
          <w:color w:val="auto"/>
        </w:rPr>
      </w:pPr>
    </w:p>
    <w:p>
      <w:pPr>
        <w:spacing w:line="360" w:lineRule="auto"/>
        <w:rPr>
          <w:color w:val="auto"/>
        </w:rPr>
      </w:pPr>
    </w:p>
    <w:p>
      <w:pPr>
        <w:spacing w:line="360" w:lineRule="auto"/>
        <w:rPr>
          <w:color w:val="auto"/>
        </w:rPr>
      </w:pPr>
      <w:r>
        <w:rPr>
          <w:color w:val="auto"/>
        </w:rPr>
        <w:t>查阅方式网站：http://www.gynsh.com咨询电话：0851-88115057</w:t>
      </w:r>
    </w:p>
    <w:p>
      <w:pPr>
        <w:spacing w:line="360" w:lineRule="auto"/>
        <w:rPr>
          <w:color w:val="auto"/>
        </w:rPr>
      </w:pPr>
      <w:bookmarkStart w:id="13" w:name="_GoBack"/>
      <w:bookmarkEnd w:id="13"/>
    </w:p>
    <w:p>
      <w:pPr>
        <w:spacing w:line="360" w:lineRule="auto"/>
        <w:jc w:val="right"/>
        <w:rPr>
          <w:rFonts w:ascii="宋体" w:hAnsi="宋体"/>
          <w:color w:val="auto"/>
          <w:szCs w:val="21"/>
        </w:rPr>
      </w:pPr>
      <w:r>
        <w:rPr>
          <w:rFonts w:ascii="宋体" w:hAnsi="宋体"/>
          <w:color w:val="auto"/>
          <w:szCs w:val="21"/>
        </w:rPr>
        <w:t>贵阳农村商业银行股份有限公司</w:t>
      </w:r>
    </w:p>
    <w:p>
      <w:pPr>
        <w:spacing w:line="360" w:lineRule="auto"/>
        <w:jc w:val="right"/>
        <w:rPr>
          <w:rFonts w:ascii="宋体" w:hAnsi="宋体"/>
          <w:color w:val="auto"/>
          <w:szCs w:val="21"/>
        </w:rPr>
      </w:pPr>
      <w:bookmarkStart w:id="11" w:name="OLE_LINK11"/>
      <w:bookmarkStart w:id="12" w:name="OLE_LINK10"/>
      <w:r>
        <w:rPr>
          <w:rFonts w:ascii="宋体" w:hAnsi="宋体"/>
          <w:color w:val="auto"/>
          <w:szCs w:val="21"/>
        </w:rPr>
        <w:t>2023年01月15日</w:t>
      </w:r>
      <w:bookmarkEnd w:id="11"/>
      <w:bookmarkEnd w:id="12"/>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w:pict>
        <v:shape id="PowerPlusWaterMarkObject24930" o:spid="_x0000_s2049" o:spt="136" type="#_x0000_t136" style="position:absolute;left:0pt;height:105.85pt;width:481.4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贵阳农商银行"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documentProtection w:edit="readOnly" w:enforcement="1" w:cryptProviderType="rsaFull" w:cryptAlgorithmClass="hash" w:cryptAlgorithmType="typeAny" w:cryptAlgorithmSid="4" w:cryptSpinCount="0" w:hash="Q3QGU7ydTvuCO2milUjxtsUWbNQ=" w:salt="YHT9iQRvwwseXknOpDEJZA=="/>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88229F"/>
    <w:rsid w:val="000016F0"/>
    <w:rsid w:val="000019DD"/>
    <w:rsid w:val="00015FAD"/>
    <w:rsid w:val="00027C01"/>
    <w:rsid w:val="00030234"/>
    <w:rsid w:val="00030D78"/>
    <w:rsid w:val="000420CB"/>
    <w:rsid w:val="00051A5E"/>
    <w:rsid w:val="00051F66"/>
    <w:rsid w:val="000841F1"/>
    <w:rsid w:val="00091C41"/>
    <w:rsid w:val="000A071D"/>
    <w:rsid w:val="000B1DF6"/>
    <w:rsid w:val="000D2B57"/>
    <w:rsid w:val="000D55B2"/>
    <w:rsid w:val="000E7CE6"/>
    <w:rsid w:val="00107817"/>
    <w:rsid w:val="00126D1F"/>
    <w:rsid w:val="00154BFD"/>
    <w:rsid w:val="00167423"/>
    <w:rsid w:val="00183822"/>
    <w:rsid w:val="001A7E08"/>
    <w:rsid w:val="001C3FD1"/>
    <w:rsid w:val="001C5AB6"/>
    <w:rsid w:val="001D4A06"/>
    <w:rsid w:val="001D65A6"/>
    <w:rsid w:val="00201555"/>
    <w:rsid w:val="00203DE0"/>
    <w:rsid w:val="002173B4"/>
    <w:rsid w:val="002173D7"/>
    <w:rsid w:val="002271D8"/>
    <w:rsid w:val="002339B0"/>
    <w:rsid w:val="00237338"/>
    <w:rsid w:val="002406B1"/>
    <w:rsid w:val="0026096E"/>
    <w:rsid w:val="00280EA8"/>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2CDE"/>
    <w:rsid w:val="003030A1"/>
    <w:rsid w:val="00332BF6"/>
    <w:rsid w:val="00345138"/>
    <w:rsid w:val="00347B23"/>
    <w:rsid w:val="00357D78"/>
    <w:rsid w:val="00383097"/>
    <w:rsid w:val="00383F8D"/>
    <w:rsid w:val="003862F3"/>
    <w:rsid w:val="003962BF"/>
    <w:rsid w:val="003A233F"/>
    <w:rsid w:val="003C0D70"/>
    <w:rsid w:val="003F11E9"/>
    <w:rsid w:val="0040100E"/>
    <w:rsid w:val="0040185E"/>
    <w:rsid w:val="00416640"/>
    <w:rsid w:val="004249DF"/>
    <w:rsid w:val="00425A8D"/>
    <w:rsid w:val="004276F4"/>
    <w:rsid w:val="00456DD0"/>
    <w:rsid w:val="004725E7"/>
    <w:rsid w:val="00477D60"/>
    <w:rsid w:val="00483E7F"/>
    <w:rsid w:val="00494EE4"/>
    <w:rsid w:val="004C51C7"/>
    <w:rsid w:val="004E4337"/>
    <w:rsid w:val="005006CE"/>
    <w:rsid w:val="0050305E"/>
    <w:rsid w:val="005030C6"/>
    <w:rsid w:val="00531FE9"/>
    <w:rsid w:val="005411B2"/>
    <w:rsid w:val="00553420"/>
    <w:rsid w:val="00571FC5"/>
    <w:rsid w:val="00581537"/>
    <w:rsid w:val="00582CFB"/>
    <w:rsid w:val="00587297"/>
    <w:rsid w:val="005A3474"/>
    <w:rsid w:val="005C161C"/>
    <w:rsid w:val="005D6CCB"/>
    <w:rsid w:val="005D790B"/>
    <w:rsid w:val="005F2112"/>
    <w:rsid w:val="005F441A"/>
    <w:rsid w:val="005F62A5"/>
    <w:rsid w:val="0063629A"/>
    <w:rsid w:val="00636BDB"/>
    <w:rsid w:val="00645054"/>
    <w:rsid w:val="006451EF"/>
    <w:rsid w:val="00646CFC"/>
    <w:rsid w:val="00653D36"/>
    <w:rsid w:val="00667327"/>
    <w:rsid w:val="006A1341"/>
    <w:rsid w:val="006B2602"/>
    <w:rsid w:val="006C22D1"/>
    <w:rsid w:val="00702058"/>
    <w:rsid w:val="00712AEC"/>
    <w:rsid w:val="007159FC"/>
    <w:rsid w:val="00726F60"/>
    <w:rsid w:val="00742837"/>
    <w:rsid w:val="00762513"/>
    <w:rsid w:val="00767B2A"/>
    <w:rsid w:val="00780405"/>
    <w:rsid w:val="0078617B"/>
    <w:rsid w:val="00786475"/>
    <w:rsid w:val="007901B6"/>
    <w:rsid w:val="007948E4"/>
    <w:rsid w:val="007B0C45"/>
    <w:rsid w:val="007C435E"/>
    <w:rsid w:val="007C5664"/>
    <w:rsid w:val="007D5CDC"/>
    <w:rsid w:val="007F0C0F"/>
    <w:rsid w:val="00804B54"/>
    <w:rsid w:val="00814183"/>
    <w:rsid w:val="00825FC3"/>
    <w:rsid w:val="00854720"/>
    <w:rsid w:val="0086104D"/>
    <w:rsid w:val="00877FC5"/>
    <w:rsid w:val="0088229F"/>
    <w:rsid w:val="00883B68"/>
    <w:rsid w:val="00894A82"/>
    <w:rsid w:val="008953C8"/>
    <w:rsid w:val="00895911"/>
    <w:rsid w:val="008A542C"/>
    <w:rsid w:val="008B7B35"/>
    <w:rsid w:val="008C5DB1"/>
    <w:rsid w:val="008E26E4"/>
    <w:rsid w:val="008E5482"/>
    <w:rsid w:val="008E6772"/>
    <w:rsid w:val="008F796E"/>
    <w:rsid w:val="00900D24"/>
    <w:rsid w:val="00920C08"/>
    <w:rsid w:val="00943B76"/>
    <w:rsid w:val="00963A2D"/>
    <w:rsid w:val="00994DD5"/>
    <w:rsid w:val="009A3C83"/>
    <w:rsid w:val="009B2149"/>
    <w:rsid w:val="009C466A"/>
    <w:rsid w:val="00A07646"/>
    <w:rsid w:val="00A14A90"/>
    <w:rsid w:val="00A1566D"/>
    <w:rsid w:val="00A16A26"/>
    <w:rsid w:val="00A21EB6"/>
    <w:rsid w:val="00A228AA"/>
    <w:rsid w:val="00A2478C"/>
    <w:rsid w:val="00A503C0"/>
    <w:rsid w:val="00A66732"/>
    <w:rsid w:val="00A772DE"/>
    <w:rsid w:val="00A77E80"/>
    <w:rsid w:val="00A91C04"/>
    <w:rsid w:val="00A9388B"/>
    <w:rsid w:val="00AA2376"/>
    <w:rsid w:val="00AB12BE"/>
    <w:rsid w:val="00AC072E"/>
    <w:rsid w:val="00B21D79"/>
    <w:rsid w:val="00B405D7"/>
    <w:rsid w:val="00B41475"/>
    <w:rsid w:val="00B44902"/>
    <w:rsid w:val="00B55514"/>
    <w:rsid w:val="00B60E75"/>
    <w:rsid w:val="00B74FAC"/>
    <w:rsid w:val="00B92A2E"/>
    <w:rsid w:val="00BA1947"/>
    <w:rsid w:val="00BA7A4A"/>
    <w:rsid w:val="00BB2712"/>
    <w:rsid w:val="00BC4AD6"/>
    <w:rsid w:val="00BC77E0"/>
    <w:rsid w:val="00BF504D"/>
    <w:rsid w:val="00C104F2"/>
    <w:rsid w:val="00C20261"/>
    <w:rsid w:val="00C27DAA"/>
    <w:rsid w:val="00C418EC"/>
    <w:rsid w:val="00C6693D"/>
    <w:rsid w:val="00C723E7"/>
    <w:rsid w:val="00C97FFD"/>
    <w:rsid w:val="00CA12EC"/>
    <w:rsid w:val="00CA43AB"/>
    <w:rsid w:val="00CC3B52"/>
    <w:rsid w:val="00CE0966"/>
    <w:rsid w:val="00CE55DB"/>
    <w:rsid w:val="00D14180"/>
    <w:rsid w:val="00D279D1"/>
    <w:rsid w:val="00D65694"/>
    <w:rsid w:val="00D81A57"/>
    <w:rsid w:val="00D84094"/>
    <w:rsid w:val="00D946BC"/>
    <w:rsid w:val="00DA126F"/>
    <w:rsid w:val="00DA31CC"/>
    <w:rsid w:val="00DD4936"/>
    <w:rsid w:val="00DE13C5"/>
    <w:rsid w:val="00E13B74"/>
    <w:rsid w:val="00E27134"/>
    <w:rsid w:val="00E351A8"/>
    <w:rsid w:val="00E406D9"/>
    <w:rsid w:val="00E41A55"/>
    <w:rsid w:val="00E4232D"/>
    <w:rsid w:val="00E47D15"/>
    <w:rsid w:val="00E54AC0"/>
    <w:rsid w:val="00E64F2B"/>
    <w:rsid w:val="00E67BA7"/>
    <w:rsid w:val="00E80493"/>
    <w:rsid w:val="00EC4139"/>
    <w:rsid w:val="00ED09B9"/>
    <w:rsid w:val="00EF6952"/>
    <w:rsid w:val="00F00CEE"/>
    <w:rsid w:val="00F102BC"/>
    <w:rsid w:val="00F33553"/>
    <w:rsid w:val="00F41A65"/>
    <w:rsid w:val="00F41C91"/>
    <w:rsid w:val="00F85C1D"/>
    <w:rsid w:val="00FA3ABD"/>
    <w:rsid w:val="00FB3B64"/>
    <w:rsid w:val="00FB3BCD"/>
    <w:rsid w:val="00FB604B"/>
    <w:rsid w:val="00FB6F22"/>
    <w:rsid w:val="00FC30A1"/>
    <w:rsid w:val="00FE0EB8"/>
    <w:rsid w:val="00FE6999"/>
    <w:rsid w:val="02CA262D"/>
    <w:rsid w:val="11CF6489"/>
    <w:rsid w:val="1E8C1798"/>
    <w:rsid w:val="5EAB525C"/>
  </w:rsids>
  <m:mathPr>
    <m:mathFont m:val="Cambria Math"/>
    <m:brkBin m:val="before"/>
    <m:brkBinSub m:val="--"/>
    <m:smallFrac m:val="1"/>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iPriority="10" w:name="Title"/>
    <w:lsdException w:uiPriority="99" w:name="Closing"/>
    <w:lsdException w:uiPriority="99" w:name="Signature"/>
    <w:lsdException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iPriority="11"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iPriority="22" w:name="Strong"/>
    <w:lsdException w:qFormat="1" w:uiPriority="2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semiHidden/>
    <w:unhideWhenUsed/>
    <w:qFormat/>
    <w:uiPriority w:val="0"/>
    <w:pPr>
      <w:keepNext/>
      <w:keepLines/>
      <w:spacing w:before="260" w:after="260" w:line="408" w:lineRule="auto"/>
      <w:outlineLvl w:val="1"/>
    </w:pPr>
    <w:rPr>
      <w:rFonts w:ascii="Arial" w:hAnsi="Arial" w:eastAsia="黑体"/>
      <w:b/>
      <w:sz w:val="32"/>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17"/>
    <w:semiHidden/>
    <w:unhideWhenUsed/>
    <w:uiPriority w:val="0"/>
    <w:pPr>
      <w:jc w:val="left"/>
    </w:pPr>
    <w:rPr>
      <w:rFonts w:asciiTheme="minorHAnsi" w:hAnsiTheme="minorHAnsi" w:cstheme="minorBidi"/>
      <w:szCs w:val="22"/>
    </w:rPr>
  </w:style>
  <w:style w:type="paragraph" w:styleId="5">
    <w:name w:val="Body Text"/>
    <w:basedOn w:val="1"/>
    <w:link w:val="20"/>
    <w:semiHidden/>
    <w:unhideWhenUsed/>
    <w:qFormat/>
    <w:uiPriority w:val="1"/>
    <w:pPr>
      <w:spacing w:before="19"/>
      <w:ind w:left="479"/>
      <w:jc w:val="left"/>
    </w:pPr>
    <w:rPr>
      <w:rFonts w:ascii="宋体" w:hAnsi="宋体" w:cstheme="minorBidi"/>
      <w:kern w:val="0"/>
      <w:sz w:val="18"/>
      <w:szCs w:val="18"/>
      <w:lang w:eastAsia="en-US"/>
    </w:rPr>
  </w:style>
  <w:style w:type="paragraph" w:styleId="6">
    <w:name w:val="Date"/>
    <w:basedOn w:val="1"/>
    <w:next w:val="1"/>
    <w:link w:val="24"/>
    <w:semiHidden/>
    <w:unhideWhenUsed/>
    <w:uiPriority w:val="99"/>
    <w:pPr>
      <w:ind w:left="100" w:leftChars="2500"/>
    </w:pPr>
  </w:style>
  <w:style w:type="paragraph" w:styleId="7">
    <w:name w:val="Balloon Text"/>
    <w:basedOn w:val="1"/>
    <w:link w:val="22"/>
    <w:semiHidden/>
    <w:unhideWhenUsed/>
    <w:qFormat/>
    <w:uiPriority w:val="99"/>
    <w:rPr>
      <w:sz w:val="18"/>
      <w:szCs w:val="18"/>
    </w:rPr>
  </w:style>
  <w:style w:type="paragraph" w:styleId="8">
    <w:name w:val="footer"/>
    <w:basedOn w:val="1"/>
    <w:link w:val="1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4"/>
    <w:next w:val="4"/>
    <w:link w:val="21"/>
    <w:semiHidden/>
    <w:unhideWhenUsed/>
    <w:qFormat/>
    <w:uiPriority w:val="99"/>
    <w:rPr>
      <w:rFonts w:ascii="Times New Roman" w:hAnsi="Times New Roman" w:cs="Times New Roman"/>
      <w:b/>
      <w:bCs/>
      <w:szCs w:val="20"/>
    </w:rPr>
  </w:style>
  <w:style w:type="table" w:styleId="12">
    <w:name w:val="Table Grid"/>
    <w:basedOn w:val="1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4">
    <w:name w:val="annotation reference"/>
    <w:semiHidden/>
    <w:unhideWhenUsed/>
    <w:qFormat/>
    <w:uiPriority w:val="0"/>
    <w:rPr>
      <w:sz w:val="21"/>
    </w:rPr>
  </w:style>
  <w:style w:type="character" w:customStyle="1" w:styleId="15">
    <w:name w:val="标题 1 字符"/>
    <w:basedOn w:val="13"/>
    <w:link w:val="2"/>
    <w:qFormat/>
    <w:locked/>
    <w:uiPriority w:val="0"/>
    <w:rPr>
      <w:rFonts w:ascii="Times New Roman" w:hAnsi="Times New Roman" w:eastAsia="宋体" w:cs="Times New Roman"/>
      <w:b/>
      <w:kern w:val="44"/>
      <w:sz w:val="44"/>
      <w:szCs w:val="20"/>
    </w:rPr>
  </w:style>
  <w:style w:type="character" w:customStyle="1" w:styleId="16">
    <w:name w:val="标题 2 字符"/>
    <w:basedOn w:val="13"/>
    <w:link w:val="3"/>
    <w:semiHidden/>
    <w:qFormat/>
    <w:locked/>
    <w:uiPriority w:val="0"/>
    <w:rPr>
      <w:rFonts w:ascii="Arial" w:hAnsi="Arial" w:eastAsia="黑体" w:cs="Times New Roman"/>
      <w:b/>
      <w:sz w:val="32"/>
      <w:szCs w:val="20"/>
    </w:rPr>
  </w:style>
  <w:style w:type="character" w:customStyle="1" w:styleId="17">
    <w:name w:val="批注文字 字符"/>
    <w:link w:val="4"/>
    <w:semiHidden/>
    <w:qFormat/>
    <w:locked/>
    <w:uiPriority w:val="0"/>
    <w:rPr>
      <w:rFonts w:hint="eastAsia" w:ascii="宋体" w:hAnsi="宋体" w:eastAsia="宋体"/>
    </w:rPr>
  </w:style>
  <w:style w:type="character" w:customStyle="1" w:styleId="18">
    <w:name w:val="页眉 字符"/>
    <w:basedOn w:val="13"/>
    <w:link w:val="9"/>
    <w:qFormat/>
    <w:locked/>
    <w:uiPriority w:val="99"/>
    <w:rPr>
      <w:sz w:val="18"/>
      <w:szCs w:val="18"/>
    </w:rPr>
  </w:style>
  <w:style w:type="character" w:customStyle="1" w:styleId="19">
    <w:name w:val="页脚 字符"/>
    <w:basedOn w:val="13"/>
    <w:link w:val="8"/>
    <w:qFormat/>
    <w:locked/>
    <w:uiPriority w:val="99"/>
    <w:rPr>
      <w:sz w:val="18"/>
      <w:szCs w:val="18"/>
    </w:rPr>
  </w:style>
  <w:style w:type="character" w:customStyle="1" w:styleId="20">
    <w:name w:val="正文文本 字符"/>
    <w:basedOn w:val="13"/>
    <w:link w:val="5"/>
    <w:semiHidden/>
    <w:qFormat/>
    <w:locked/>
    <w:uiPriority w:val="1"/>
    <w:rPr>
      <w:rFonts w:hint="eastAsia" w:ascii="宋体" w:hAnsi="宋体" w:eastAsia="宋体"/>
      <w:sz w:val="18"/>
      <w:szCs w:val="18"/>
      <w:lang w:eastAsia="en-US"/>
    </w:rPr>
  </w:style>
  <w:style w:type="character" w:customStyle="1" w:styleId="21">
    <w:name w:val="批注主题 字符"/>
    <w:basedOn w:val="17"/>
    <w:link w:val="10"/>
    <w:semiHidden/>
    <w:qFormat/>
    <w:locked/>
    <w:uiPriority w:val="99"/>
    <w:rPr>
      <w:rFonts w:ascii="Times New Roman" w:hAnsi="Times New Roman" w:eastAsia="宋体" w:cs="Times New Roman"/>
      <w:b/>
      <w:bCs/>
      <w:kern w:val="2"/>
      <w:sz w:val="21"/>
    </w:rPr>
  </w:style>
  <w:style w:type="character" w:customStyle="1" w:styleId="22">
    <w:name w:val="批注框文本 字符"/>
    <w:basedOn w:val="13"/>
    <w:link w:val="7"/>
    <w:semiHidden/>
    <w:qFormat/>
    <w:locked/>
    <w:uiPriority w:val="99"/>
    <w:rPr>
      <w:rFonts w:ascii="Times New Roman" w:hAnsi="Times New Roman" w:eastAsia="宋体" w:cs="Times New Roman"/>
      <w:sz w:val="18"/>
      <w:szCs w:val="18"/>
    </w:rPr>
  </w:style>
  <w:style w:type="character" w:customStyle="1" w:styleId="23">
    <w:name w:val="批注文字 Char1"/>
    <w:basedOn w:val="13"/>
    <w:semiHidden/>
    <w:qFormat/>
    <w:uiPriority w:val="99"/>
    <w:rPr>
      <w:rFonts w:ascii="Times New Roman" w:hAnsi="Times New Roman" w:eastAsia="宋体" w:cs="Times New Roman"/>
      <w:szCs w:val="20"/>
    </w:rPr>
  </w:style>
  <w:style w:type="character" w:customStyle="1" w:styleId="24">
    <w:name w:val="日期 字符"/>
    <w:basedOn w:val="13"/>
    <w:link w:val="6"/>
    <w:semiHidden/>
    <w:qFormat/>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76A4025-CFBB-420A-9C7F-6B19F8C707C9}">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9</Pages>
  <Words>707</Words>
  <Characters>4032</Characters>
  <Lines>33</Lines>
  <Paragraphs>9</Paragraphs>
  <TotalTime>0</TotalTime>
  <ScaleCrop>false</ScaleCrop>
  <LinksUpToDate>false</LinksUpToDate>
  <CharactersWithSpaces>4730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2020-03-06T01:21:00Z</dcterms:created>
  <dc:creator>gynsh</dc:creator>
  <cp:lastModifiedBy>gynsh</cp:lastModifiedBy>
  <cp:lastPrinted>2019-10-15T07:44:00Z</cp:lastPrinted>
  <dcterms:modified xsi:type="dcterms:W3CDTF">2023-01-17T06:18:39Z</dcterms:modified>
  <cp:revision>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Generator">
    <vt:lpwstr>NPOI</vt:lpwstr>
  </property>
  <property fmtid="{D5CDD505-2E9C-101B-9397-08002B2CF9AE}" pid="4" name="Generator Version">
    <vt:lpwstr>2.2.1</vt:lpwstr>
  </property>
</Properties>
</file>