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style1.xml" ContentType="application/vnd.ms-office.chartstyle+xml"/>
  <Override PartName="/word/charts/style2.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方正小标宋简体" w:hAnsi="宋体" w:eastAsia="方正小标宋简体"/>
          <w:sz w:val="36"/>
          <w:szCs w:val="24"/>
        </w:rPr>
      </w:pPr>
      <w:r>
        <w:rPr>
          <w:rFonts w:hint="eastAsia" w:ascii="方正小标宋简体" w:hAnsi="宋体" w:eastAsia="方正小标宋简体"/>
          <w:color w:val="000000"/>
          <w:sz w:val="44"/>
          <w:szCs w:val="32"/>
          <w:shd w:val="clear" w:color="auto" w:fill="FFFFFF"/>
        </w:rPr>
        <w:t>贵阳农商银行超值宝</w:t>
      </w:r>
      <w:r>
        <w:rPr>
          <w:rFonts w:hint="eastAsia" w:ascii="方正小标宋简体" w:hAnsi="宋体" w:eastAsia="方正小标宋简体"/>
          <w:color w:val="000000"/>
          <w:sz w:val="44"/>
          <w:szCs w:val="32"/>
          <w:shd w:val="clear" w:color="auto" w:fill="FFFFFF"/>
          <w:lang w:val="en-US" w:eastAsia="zh-CN"/>
        </w:rPr>
        <w:t>3年25</w:t>
      </w:r>
      <w:r>
        <w:rPr>
          <w:rFonts w:hint="eastAsia" w:ascii="方正小标宋简体" w:hAnsi="宋体" w:eastAsia="方正小标宋简体"/>
          <w:color w:val="000000"/>
          <w:sz w:val="44"/>
          <w:szCs w:val="32"/>
          <w:shd w:val="clear" w:color="auto" w:fill="FFFFFF"/>
        </w:rPr>
        <w:t>期理财产品20</w:t>
      </w:r>
      <w:r>
        <w:rPr>
          <w:rFonts w:hint="eastAsia" w:ascii="方正小标宋简体" w:hAnsi="宋体" w:eastAsia="方正小标宋简体"/>
          <w:color w:val="000000"/>
          <w:sz w:val="44"/>
          <w:szCs w:val="32"/>
          <w:shd w:val="clear" w:color="auto" w:fill="FFFFFF"/>
          <w:lang w:val="en-US" w:eastAsia="zh-CN"/>
        </w:rPr>
        <w:t>22</w:t>
      </w:r>
      <w:r>
        <w:rPr>
          <w:rFonts w:hint="eastAsia" w:ascii="方正小标宋简体" w:hAnsi="宋体" w:eastAsia="方正小标宋简体"/>
          <w:color w:val="000000"/>
          <w:sz w:val="44"/>
          <w:szCs w:val="32"/>
          <w:shd w:val="clear" w:color="auto" w:fill="FFFFFF"/>
        </w:rPr>
        <w:t>年</w:t>
      </w:r>
      <w:r>
        <w:rPr>
          <w:rFonts w:hint="eastAsia" w:ascii="方正小标宋简体" w:hAnsi="宋体" w:eastAsia="方正小标宋简体"/>
          <w:color w:val="000000"/>
          <w:sz w:val="44"/>
          <w:szCs w:val="32"/>
          <w:shd w:val="clear" w:color="auto" w:fill="FFFFFF"/>
          <w:lang w:eastAsia="zh-CN"/>
        </w:rPr>
        <w:t>第</w:t>
      </w:r>
      <w:r>
        <w:rPr>
          <w:rFonts w:hint="eastAsia" w:ascii="方正小标宋简体" w:hAnsi="宋体" w:eastAsia="方正小标宋简体"/>
          <w:color w:val="000000"/>
          <w:sz w:val="44"/>
          <w:szCs w:val="32"/>
          <w:shd w:val="clear" w:color="auto" w:fill="FFFFFF"/>
          <w:lang w:val="en-US" w:eastAsia="zh-CN"/>
        </w:rPr>
        <w:t>4</w:t>
      </w:r>
      <w:r>
        <w:rPr>
          <w:rFonts w:hint="eastAsia" w:ascii="方正小标宋简体" w:hAnsi="宋体" w:eastAsia="方正小标宋简体"/>
          <w:color w:val="000000"/>
          <w:sz w:val="44"/>
          <w:szCs w:val="32"/>
          <w:shd w:val="clear" w:color="auto" w:fill="FFFFFF"/>
          <w:lang w:eastAsia="zh-CN"/>
        </w:rPr>
        <w:t>季度报告</w:t>
      </w: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r>
        <w:rPr>
          <w:rFonts w:hint="eastAsia" w:ascii="仿宋" w:hAnsi="仿宋" w:eastAsia="仿宋"/>
          <w:b/>
          <w:color w:val="000000"/>
          <w:sz w:val="32"/>
          <w:szCs w:val="32"/>
          <w:shd w:val="clear" w:color="auto" w:fill="FFFFFF"/>
        </w:rPr>
        <w:t>20</w:t>
      </w:r>
      <w:r>
        <w:rPr>
          <w:rFonts w:hint="eastAsia" w:ascii="仿宋" w:hAnsi="仿宋" w:eastAsia="仿宋"/>
          <w:b/>
          <w:color w:val="000000"/>
          <w:sz w:val="32"/>
          <w:szCs w:val="32"/>
          <w:shd w:val="clear" w:color="auto" w:fill="FFFFFF"/>
          <w:lang w:val="en-US" w:eastAsia="zh-CN"/>
        </w:rPr>
        <w:t>22</w:t>
      </w:r>
      <w:r>
        <w:rPr>
          <w:rFonts w:hint="eastAsia" w:ascii="仿宋" w:hAnsi="仿宋" w:eastAsia="仿宋"/>
          <w:b/>
          <w:color w:val="000000"/>
          <w:sz w:val="32"/>
          <w:szCs w:val="32"/>
          <w:shd w:val="clear" w:color="auto" w:fill="FFFFFF"/>
        </w:rPr>
        <w:t>年</w:t>
      </w:r>
      <w:r>
        <w:rPr>
          <w:rFonts w:hint="eastAsia" w:ascii="仿宋" w:hAnsi="仿宋" w:eastAsia="仿宋"/>
          <w:b/>
          <w:color w:val="000000"/>
          <w:sz w:val="32"/>
          <w:szCs w:val="32"/>
          <w:shd w:val="clear" w:color="auto" w:fill="FFFFFF"/>
          <w:lang w:val="en-US" w:eastAsia="zh-CN"/>
        </w:rPr>
        <w:t>12</w:t>
      </w:r>
      <w:r>
        <w:rPr>
          <w:rFonts w:hint="eastAsia" w:ascii="仿宋" w:hAnsi="仿宋" w:eastAsia="仿宋"/>
          <w:b/>
          <w:color w:val="000000"/>
          <w:sz w:val="32"/>
          <w:szCs w:val="32"/>
          <w:shd w:val="clear" w:color="auto" w:fill="FFFFFF"/>
        </w:rPr>
        <w:t>月3</w:t>
      </w:r>
      <w:r>
        <w:rPr>
          <w:rFonts w:hint="eastAsia" w:ascii="仿宋" w:hAnsi="仿宋" w:eastAsia="仿宋"/>
          <w:b/>
          <w:color w:val="000000"/>
          <w:sz w:val="32"/>
          <w:szCs w:val="32"/>
          <w:shd w:val="clear" w:color="auto" w:fill="FFFFFF"/>
          <w:lang w:val="en-US" w:eastAsia="zh-CN"/>
        </w:rPr>
        <w:t>1</w:t>
      </w:r>
      <w:r>
        <w:rPr>
          <w:rFonts w:hint="eastAsia" w:ascii="仿宋" w:hAnsi="仿宋" w:eastAsia="仿宋"/>
          <w:b/>
          <w:color w:val="000000"/>
          <w:sz w:val="32"/>
          <w:szCs w:val="32"/>
          <w:shd w:val="clear" w:color="auto" w:fill="FFFFFF"/>
        </w:rPr>
        <w:t>日</w:t>
      </w: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r>
        <w:rPr>
          <w:rFonts w:hint="eastAsia" w:ascii="仿宋" w:hAnsi="仿宋" w:eastAsia="仿宋"/>
          <w:b/>
          <w:color w:val="000000"/>
          <w:sz w:val="32"/>
          <w:szCs w:val="32"/>
          <w:shd w:val="clear" w:color="auto" w:fill="FFFFFF"/>
        </w:rPr>
        <w:t>产品管理人：贵阳农村商业银行股份有限公司</w:t>
      </w:r>
    </w:p>
    <w:p>
      <w:pPr>
        <w:spacing w:before="156" w:beforeLines="50" w:after="156" w:afterLines="50" w:line="360" w:lineRule="auto"/>
        <w:jc w:val="center"/>
        <w:rPr>
          <w:rFonts w:ascii="仿宋" w:hAnsi="仿宋" w:eastAsia="仿宋"/>
          <w:b/>
          <w:color w:val="000000"/>
          <w:sz w:val="32"/>
          <w:szCs w:val="32"/>
          <w:shd w:val="clear" w:color="auto" w:fill="FFFFFF"/>
        </w:rPr>
      </w:pPr>
      <w:r>
        <w:rPr>
          <w:rFonts w:hint="eastAsia" w:ascii="仿宋" w:hAnsi="仿宋" w:eastAsia="仿宋"/>
          <w:b/>
          <w:color w:val="000000"/>
          <w:sz w:val="32"/>
          <w:szCs w:val="32"/>
          <w:shd w:val="clear" w:color="auto" w:fill="FFFFFF"/>
        </w:rPr>
        <w:t>产品托管人：</w:t>
      </w:r>
      <w:r>
        <w:rPr>
          <w:rFonts w:hint="eastAsia" w:ascii="仿宋" w:hAnsi="仿宋" w:eastAsia="仿宋"/>
          <w:b/>
          <w:color w:val="000000"/>
          <w:sz w:val="32"/>
          <w:szCs w:val="32"/>
          <w:shd w:val="clear" w:color="auto" w:fill="FFFFFF"/>
          <w:lang w:eastAsia="zh-CN"/>
        </w:rPr>
        <w:t>中国工商银行</w:t>
      </w:r>
      <w:r>
        <w:rPr>
          <w:rFonts w:hint="eastAsia" w:ascii="仿宋" w:hAnsi="仿宋" w:eastAsia="仿宋"/>
          <w:b/>
          <w:color w:val="000000"/>
          <w:sz w:val="32"/>
          <w:szCs w:val="32"/>
          <w:shd w:val="clear" w:color="auto" w:fill="FFFFFF"/>
        </w:rPr>
        <w:t>股份有限公司</w:t>
      </w:r>
      <w:r>
        <w:rPr>
          <w:rFonts w:hint="eastAsia" w:ascii="仿宋" w:hAnsi="仿宋" w:eastAsia="仿宋"/>
          <w:b/>
          <w:color w:val="000000"/>
          <w:sz w:val="32"/>
          <w:szCs w:val="32"/>
          <w:shd w:val="clear" w:color="auto" w:fill="FFFFFF"/>
          <w:lang w:eastAsia="zh-CN"/>
        </w:rPr>
        <w:t>广州分行</w:t>
      </w: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黑体" w:hAnsi="黑体" w:eastAsia="黑体"/>
        </w:rPr>
      </w:pPr>
      <w:r>
        <w:rPr>
          <w:rFonts w:hint="eastAsia" w:ascii="黑体" w:hAnsi="黑体" w:eastAsia="黑体"/>
          <w:sz w:val="24"/>
          <w:szCs w:val="24"/>
          <w:shd w:val="clear" w:color="auto" w:fill="FFFFFF"/>
        </w:rPr>
        <w:t>§1  重要提示</w:t>
      </w:r>
    </w:p>
    <w:p>
      <w:pPr>
        <w:spacing w:before="156" w:beforeLines="50" w:after="156" w:afterLines="50" w:line="600" w:lineRule="exact"/>
        <w:ind w:firstLine="420" w:firstLineChars="200"/>
        <w:rPr>
          <w:rFonts w:ascii="仿宋" w:hAnsi="仿宋" w:eastAsia="仿宋"/>
        </w:rPr>
      </w:pPr>
      <w:r>
        <w:rPr>
          <w:rFonts w:ascii="仿宋" w:hAnsi="仿宋" w:eastAsia="仿宋"/>
        </w:rPr>
        <w:t>产品管理人保证本报告所载资料不存在虚假记载、误导性陈述或重大遗漏</w:t>
      </w:r>
      <w:r>
        <w:rPr>
          <w:rFonts w:hint="eastAsia" w:ascii="仿宋" w:hAnsi="仿宋" w:eastAsia="仿宋"/>
        </w:rPr>
        <w:t>，</w:t>
      </w:r>
      <w:r>
        <w:rPr>
          <w:rFonts w:ascii="仿宋" w:hAnsi="仿宋" w:eastAsia="仿宋"/>
        </w:rPr>
        <w:t>并对其内容的真实性、准确性和完整性承担个别及连带责任。</w:t>
      </w:r>
    </w:p>
    <w:p>
      <w:pPr>
        <w:spacing w:before="156" w:beforeLines="50" w:after="156" w:afterLines="50" w:line="600" w:lineRule="exact"/>
        <w:ind w:firstLine="420" w:firstLineChars="200"/>
        <w:rPr>
          <w:rFonts w:ascii="仿宋" w:hAnsi="仿宋" w:eastAsia="仿宋"/>
        </w:rPr>
      </w:pPr>
      <w:r>
        <w:rPr>
          <w:rFonts w:ascii="仿宋" w:hAnsi="仿宋" w:eastAsia="仿宋"/>
        </w:rPr>
        <w:t>产品托管人</w:t>
      </w:r>
      <w:r>
        <w:rPr>
          <w:rFonts w:hint="eastAsia" w:ascii="仿宋" w:hAnsi="仿宋" w:eastAsia="仿宋"/>
          <w:lang w:eastAsia="zh-CN"/>
        </w:rPr>
        <w:t>中国工商银行</w:t>
      </w:r>
      <w:r>
        <w:rPr>
          <w:rFonts w:ascii="仿宋" w:hAnsi="仿宋" w:eastAsia="仿宋"/>
        </w:rPr>
        <w:t>股份有限公司</w:t>
      </w:r>
      <w:r>
        <w:rPr>
          <w:rFonts w:hint="eastAsia" w:ascii="仿宋" w:hAnsi="仿宋" w:eastAsia="仿宋"/>
          <w:lang w:eastAsia="zh-CN"/>
        </w:rPr>
        <w:t>广州分行</w:t>
      </w:r>
      <w:r>
        <w:rPr>
          <w:rFonts w:hint="eastAsia" w:ascii="仿宋" w:hAnsi="仿宋" w:eastAsia="仿宋"/>
        </w:rPr>
        <w:t>，</w:t>
      </w:r>
      <w:r>
        <w:rPr>
          <w:rFonts w:ascii="仿宋" w:hAnsi="仿宋" w:eastAsia="仿宋"/>
        </w:rPr>
        <w:t>已复核了本报告中的财务指标、净值表现和投资组合报告等内容</w:t>
      </w:r>
      <w:r>
        <w:rPr>
          <w:rFonts w:hint="eastAsia" w:ascii="仿宋" w:hAnsi="仿宋" w:eastAsia="仿宋"/>
        </w:rPr>
        <w:t>，</w:t>
      </w:r>
      <w:r>
        <w:rPr>
          <w:rFonts w:ascii="仿宋" w:hAnsi="仿宋" w:eastAsia="仿宋"/>
        </w:rPr>
        <w:t>保证复核内容不存在虚假记载、误导性陈述或者重大遗漏</w:t>
      </w:r>
      <w:r>
        <w:rPr>
          <w:rFonts w:hint="eastAsia" w:ascii="仿宋" w:hAnsi="仿宋" w:eastAsia="仿宋"/>
        </w:rPr>
        <w:t>。</w:t>
      </w:r>
    </w:p>
    <w:p>
      <w:pPr>
        <w:spacing w:before="156" w:beforeLines="50" w:after="156" w:afterLines="50" w:line="600" w:lineRule="exact"/>
        <w:ind w:firstLine="420" w:firstLineChars="200"/>
        <w:rPr>
          <w:rFonts w:ascii="仿宋" w:hAnsi="仿宋" w:eastAsia="仿宋"/>
        </w:rPr>
      </w:pPr>
      <w:r>
        <w:rPr>
          <w:rFonts w:ascii="仿宋" w:hAnsi="仿宋" w:eastAsia="仿宋"/>
        </w:rPr>
        <w:t>本报告中财务资料未经审计</w:t>
      </w:r>
      <w:r>
        <w:rPr>
          <w:rFonts w:hint="eastAsia" w:ascii="仿宋" w:hAnsi="仿宋" w:eastAsia="仿宋"/>
        </w:rPr>
        <w:t>。</w:t>
      </w:r>
    </w:p>
    <w:p>
      <w:pPr>
        <w:spacing w:before="156" w:beforeLines="50" w:after="156" w:afterLines="50" w:line="600" w:lineRule="exact"/>
        <w:ind w:firstLine="420" w:firstLineChars="200"/>
        <w:rPr>
          <w:rFonts w:ascii="仿宋" w:hAnsi="仿宋" w:eastAsia="仿宋"/>
          <w:b/>
          <w:color w:val="000000"/>
          <w:sz w:val="32"/>
          <w:szCs w:val="32"/>
          <w:shd w:val="clear" w:color="auto" w:fill="FFFFFF"/>
        </w:rPr>
      </w:pPr>
      <w:r>
        <w:rPr>
          <w:rFonts w:ascii="仿宋" w:hAnsi="仿宋" w:eastAsia="仿宋"/>
        </w:rPr>
        <w:t>本</w:t>
      </w:r>
      <w:r>
        <w:rPr>
          <w:rFonts w:hint="eastAsia" w:ascii="仿宋" w:hAnsi="仿宋" w:eastAsia="仿宋"/>
        </w:rPr>
        <w:t>报告期自2022年10月01日起至2022年12月31日止。</w:t>
      </w: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rPr>
          <w:rFonts w:ascii="宋体" w:hAnsi="宋体"/>
          <w:sz w:val="24"/>
          <w:szCs w:val="24"/>
        </w:rPr>
      </w:pPr>
    </w:p>
    <w:tbl>
      <w:tblPr>
        <w:tblStyle w:val="10"/>
        <w:tblpPr w:leftFromText="180" w:rightFromText="180" w:vertAnchor="text" w:horzAnchor="page" w:tblpX="1537" w:tblpY="1171"/>
        <w:tblW w:w="98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00"/>
        <w:gridCol w:w="70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bookmarkStart w:id="0" w:name="_Toc528772556"/>
            <w:bookmarkStart w:id="1" w:name="_Toc194311890"/>
            <w:r>
              <w:rPr>
                <w:rFonts w:hint="eastAsia" w:ascii="仿宋" w:hAnsi="仿宋" w:eastAsia="仿宋"/>
                <w:b/>
                <w:szCs w:val="21"/>
                <w:shd w:val="clear" w:color="auto" w:fill="FFFFFF"/>
              </w:rPr>
              <w:t>产品名称</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kern w:val="0"/>
                <w:szCs w:val="21"/>
                <w:shd w:val="clear" w:color="auto" w:fill="FFFFFF"/>
              </w:rPr>
            </w:pPr>
            <w:r>
              <w:rPr>
                <w:rFonts w:hint="eastAsia" w:ascii="仿宋" w:hAnsi="仿宋" w:eastAsia="仿宋"/>
                <w:kern w:val="0"/>
                <w:szCs w:val="21"/>
                <w:shd w:val="clear" w:color="auto" w:fill="FFFFFF"/>
              </w:rPr>
              <w:t>超值宝</w:t>
            </w:r>
            <w:r>
              <w:rPr>
                <w:rFonts w:hint="eastAsia" w:ascii="仿宋" w:hAnsi="仿宋" w:eastAsia="仿宋"/>
                <w:kern w:val="0"/>
                <w:szCs w:val="21"/>
                <w:shd w:val="clear" w:color="auto" w:fill="FFFFFF"/>
                <w:lang w:val="en-US" w:eastAsia="zh-CN"/>
              </w:rPr>
              <w:t>3年25</w:t>
            </w:r>
            <w:r>
              <w:rPr>
                <w:rFonts w:hint="eastAsia" w:ascii="仿宋" w:hAnsi="仿宋" w:eastAsia="仿宋"/>
                <w:kern w:val="0"/>
                <w:szCs w:val="21"/>
                <w:shd w:val="clear" w:color="auto" w:fill="FFFFFF"/>
              </w:rPr>
              <w:t>期理财产品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产品登记编码</w:t>
            </w:r>
          </w:p>
        </w:tc>
        <w:tc>
          <w:tcPr>
            <w:tcW w:w="7085" w:type="dxa"/>
            <w:tcBorders>
              <w:top w:val="single" w:color="auto" w:sz="4" w:space="0"/>
              <w:left w:val="single" w:color="auto" w:sz="4" w:space="0"/>
              <w:bottom w:val="single" w:color="auto" w:sz="4" w:space="0"/>
              <w:right w:val="single" w:color="auto" w:sz="4" w:space="0"/>
            </w:tcBorders>
            <w:vAlign w:val="center"/>
          </w:tcPr>
          <w:p>
            <w:pPr>
              <w:pStyle w:val="14"/>
              <w:ind w:left="10"/>
              <w:jc w:val="left"/>
              <w:rPr>
                <w:rFonts w:hint="default" w:ascii="仿宋" w:hAnsi="仿宋" w:eastAsia="仿宋"/>
                <w:kern w:val="0"/>
                <w:szCs w:val="21"/>
                <w:shd w:val="clear" w:color="auto" w:fill="FFFFFF"/>
                <w:lang w:val="en-US" w:eastAsia="zh-CN"/>
              </w:rPr>
            </w:pPr>
            <w:r>
              <w:rPr>
                <w:rFonts w:hint="eastAsia" w:ascii="仿宋" w:hAnsi="仿宋" w:eastAsia="仿宋"/>
                <w:kern w:val="0"/>
                <w:szCs w:val="21"/>
                <w:shd w:val="clear" w:color="auto" w:fill="FFFFFF"/>
                <w:lang w:val="en-US" w:eastAsia="zh-CN"/>
              </w:rPr>
              <w:t>C1188322000072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产品类型</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kern w:val="0"/>
                <w:szCs w:val="21"/>
                <w:shd w:val="clear" w:color="auto" w:fill="FFFFFF"/>
              </w:rPr>
            </w:pPr>
            <w:r>
              <w:rPr>
                <w:rFonts w:hint="eastAsia" w:ascii="仿宋" w:hAnsi="仿宋" w:eastAsia="仿宋"/>
                <w:kern w:val="0"/>
                <w:szCs w:val="21"/>
                <w:shd w:val="clear" w:color="auto" w:fill="FFFFFF"/>
                <w:lang w:eastAsia="zh-CN"/>
              </w:rPr>
              <w:t>公募</w:t>
            </w:r>
            <w:r>
              <w:rPr>
                <w:rFonts w:hint="eastAsia" w:ascii="仿宋" w:hAnsi="仿宋" w:eastAsia="仿宋"/>
                <w:kern w:val="0"/>
                <w:szCs w:val="21"/>
                <w:shd w:val="clear" w:color="auto" w:fill="FFFFFF"/>
              </w:rPr>
              <w:t>封闭式净值型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报告期末产品存续规模（份）</w:t>
            </w:r>
          </w:p>
        </w:tc>
        <w:tc>
          <w:tcPr>
            <w:tcW w:w="708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cs="宋体"/>
                <w:color w:val="000000"/>
                <w:sz w:val="22"/>
                <w:szCs w:val="22"/>
                <w:lang w:eastAsia="zh-CN"/>
              </w:rPr>
            </w:pPr>
            <w:r>
              <w:rPr>
                <w:rFonts w:hint="eastAsia" w:ascii="仿宋" w:hAnsi="仿宋" w:eastAsia="仿宋" w:cs="宋体"/>
                <w:color w:val="000000"/>
                <w:sz w:val="22"/>
                <w:szCs w:val="22"/>
                <w:lang w:val="en-US" w:eastAsia="zh-CN"/>
              </w:rPr>
              <w:t>16,960,000.00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投资类型</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kern w:val="0"/>
                <w:szCs w:val="21"/>
                <w:shd w:val="clear" w:color="auto" w:fill="FFFFFF"/>
              </w:rPr>
            </w:pPr>
            <w:r>
              <w:rPr>
                <w:rFonts w:hint="eastAsia" w:ascii="仿宋" w:hAnsi="仿宋" w:eastAsia="仿宋"/>
                <w:kern w:val="0"/>
                <w:szCs w:val="21"/>
                <w:shd w:val="clear" w:color="auto" w:fill="FFFFFF"/>
              </w:rPr>
              <w:t>固定收益类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投资范围</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kern w:val="0"/>
                <w:szCs w:val="21"/>
                <w:shd w:val="clear" w:color="auto" w:fill="FFFFFF"/>
              </w:rPr>
            </w:pPr>
            <w:r>
              <w:rPr>
                <w:rFonts w:hint="eastAsia" w:ascii="仿宋" w:hAnsi="仿宋" w:eastAsia="仿宋"/>
                <w:kern w:val="0"/>
                <w:szCs w:val="21"/>
                <w:shd w:val="clear" w:color="auto" w:fill="FFFFFF"/>
              </w:rPr>
              <w:t>本期产品理财资金投资于符合监管要求的投资工具，包括：现金类资产、货币类资产、标准化固定收益类资产、符合前述投向的信托计划及资产管理计划；投资于现金类资产、货币类资产、标准化固定收益类资产及符合前述投向的信托计划、资产管理计划的比例为80%-100%；其他符合监管要求的资产0%-20%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投资策略</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rPr>
              <w:t>通过自上而下的定性分析和定量分析方法，综合分析宏观经济形势、国家政策、市场流动性等因素，综合判断利率走势、收益率曲线变化趋势和信用风险变化等，同时通过自下而上加强行业研究和个券选择，构建和调整固定收益投资组合，采取票息策略，严格控制组合久期和杠杆水平，力求获得稳健的投资收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产品费率</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rPr>
              <w:t>本产品收取固定销售费0</w:t>
            </w:r>
            <w:r>
              <w:rPr>
                <w:rFonts w:ascii="仿宋" w:hAnsi="仿宋" w:eastAsia="仿宋"/>
                <w:szCs w:val="21"/>
                <w:shd w:val="clear" w:color="auto" w:fill="FFFFFF"/>
              </w:rPr>
              <w:t>.</w:t>
            </w:r>
            <w:r>
              <w:rPr>
                <w:rFonts w:hint="eastAsia" w:ascii="仿宋" w:hAnsi="仿宋" w:eastAsia="仿宋"/>
                <w:szCs w:val="21"/>
                <w:shd w:val="clear" w:color="auto" w:fill="FFFFFF"/>
                <w:lang w:val="en-US" w:eastAsia="zh-CN"/>
              </w:rPr>
              <w:t>2</w:t>
            </w:r>
            <w:r>
              <w:rPr>
                <w:rFonts w:ascii="仿宋" w:hAnsi="仿宋" w:eastAsia="仿宋"/>
                <w:szCs w:val="21"/>
                <w:shd w:val="clear" w:color="auto" w:fill="FFFFFF"/>
              </w:rPr>
              <w:t>0</w:t>
            </w:r>
            <w:r>
              <w:rPr>
                <w:rFonts w:hint="eastAsia" w:ascii="仿宋" w:hAnsi="仿宋" w:eastAsia="仿宋"/>
                <w:szCs w:val="21"/>
                <w:shd w:val="clear" w:color="auto" w:fill="FFFFFF"/>
              </w:rPr>
              <w:t>%/年，固定管理费0</w:t>
            </w:r>
            <w:r>
              <w:rPr>
                <w:rFonts w:ascii="仿宋" w:hAnsi="仿宋" w:eastAsia="仿宋"/>
                <w:szCs w:val="21"/>
                <w:shd w:val="clear" w:color="auto" w:fill="FFFFFF"/>
              </w:rPr>
              <w:t>.</w:t>
            </w:r>
            <w:r>
              <w:rPr>
                <w:rFonts w:hint="eastAsia" w:ascii="仿宋" w:hAnsi="仿宋" w:eastAsia="仿宋"/>
                <w:szCs w:val="21"/>
                <w:shd w:val="clear" w:color="auto" w:fill="FFFFFF"/>
                <w:lang w:val="en-US" w:eastAsia="zh-CN"/>
              </w:rPr>
              <w:t>2</w:t>
            </w:r>
            <w:r>
              <w:rPr>
                <w:rFonts w:ascii="仿宋" w:hAnsi="仿宋" w:eastAsia="仿宋"/>
                <w:szCs w:val="21"/>
                <w:shd w:val="clear" w:color="auto" w:fill="FFFFFF"/>
              </w:rPr>
              <w:t>0</w:t>
            </w:r>
            <w:r>
              <w:rPr>
                <w:rFonts w:hint="eastAsia" w:ascii="仿宋" w:hAnsi="仿宋" w:eastAsia="仿宋"/>
                <w:szCs w:val="21"/>
                <w:shd w:val="clear" w:color="auto" w:fill="FFFFFF"/>
              </w:rPr>
              <w:t>%/年、固定托管费0</w:t>
            </w:r>
            <w:r>
              <w:rPr>
                <w:rFonts w:ascii="仿宋" w:hAnsi="仿宋" w:eastAsia="仿宋"/>
                <w:szCs w:val="21"/>
                <w:shd w:val="clear" w:color="auto" w:fill="FFFFFF"/>
              </w:rPr>
              <w:t>.0</w:t>
            </w:r>
            <w:r>
              <w:rPr>
                <w:rFonts w:hint="eastAsia" w:ascii="仿宋" w:hAnsi="仿宋" w:eastAsia="仿宋"/>
                <w:szCs w:val="21"/>
                <w:shd w:val="clear" w:color="auto" w:fill="FFFFFF"/>
                <w:lang w:val="en-US" w:eastAsia="zh-CN"/>
              </w:rPr>
              <w:t>2</w:t>
            </w:r>
            <w:r>
              <w:rPr>
                <w:rFonts w:hint="eastAsia" w:ascii="仿宋" w:hAnsi="仿宋" w:eastAsia="仿宋"/>
                <w:szCs w:val="21"/>
                <w:shd w:val="clear" w:color="auto" w:fill="FFFFFF"/>
              </w:rPr>
              <w:t>%/年和超额业绩报酬（如有），上述费用在计算产品单位净值前扣除。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产品成立日</w:t>
            </w:r>
          </w:p>
        </w:tc>
        <w:tc>
          <w:tcPr>
            <w:tcW w:w="708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szCs w:val="21"/>
                <w:shd w:val="clear" w:color="auto" w:fill="FFFFFF"/>
                <w:lang w:val="en-US" w:eastAsia="zh-CN"/>
              </w:rPr>
            </w:pPr>
            <w:r>
              <w:rPr>
                <w:rFonts w:hint="eastAsia" w:ascii="仿宋" w:hAnsi="仿宋" w:eastAsia="仿宋"/>
                <w:szCs w:val="21"/>
                <w:shd w:val="clear" w:color="auto" w:fill="FFFFFF"/>
                <w:lang w:val="en-US" w:eastAsia="zh-CN"/>
              </w:rPr>
              <w:t>2022年6月21日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产品终止日</w:t>
            </w:r>
          </w:p>
        </w:tc>
        <w:tc>
          <w:tcPr>
            <w:tcW w:w="708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szCs w:val="21"/>
                <w:shd w:val="clear" w:color="auto" w:fill="FFFFFF"/>
                <w:lang w:val="en-US" w:eastAsia="zh-CN"/>
              </w:rPr>
            </w:pPr>
            <w:r>
              <w:rPr>
                <w:rFonts w:hint="eastAsia" w:ascii="仿宋" w:hAnsi="仿宋" w:eastAsia="仿宋"/>
                <w:szCs w:val="21"/>
                <w:shd w:val="clear" w:color="auto" w:fill="FFFFFF"/>
                <w:lang w:val="en-US" w:eastAsia="zh-CN"/>
              </w:rPr>
              <w:t>2025年6月19日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1"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产品估值方法</w:t>
            </w:r>
          </w:p>
        </w:tc>
        <w:tc>
          <w:tcPr>
            <w:tcW w:w="708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szCs w:val="21"/>
                <w:shd w:val="clear" w:color="auto" w:fill="FFFFFF"/>
                <w:lang w:eastAsia="zh-CN"/>
              </w:rPr>
            </w:pPr>
            <w:r>
              <w:rPr>
                <w:rFonts w:hint="eastAsia" w:ascii="仿宋" w:hAnsi="仿宋" w:eastAsia="仿宋"/>
                <w:szCs w:val="21"/>
                <w:shd w:val="clear" w:color="auto" w:fill="FFFFFF"/>
                <w:lang w:val="en-US" w:eastAsia="zh-CN"/>
              </w:rPr>
              <w:t>1.现金、银行存款以本金列示，逐日计提银行存款利息，按约定利率确认存款利息收入；2.对于未在交易所上市的货币市场基金，按基金管理公司披露的估值日前一交易日的每万份收益计提收益；3.标准化固定收益类资产：交易所及银行间公开发行的债券按市场价格估值，按中央国债登记结算有限责任公司或中国证券登记结算有限公司公布的在估值日的估值净价进行估值；交易所上市的资产支持证券、中小企业私募债券等非公开发行债券，由于不存在活跃交易、且估值技术难以可靠计量公允价值，按成本估值；4.投资资产管理产品、非标债权或其他特殊目的载体等的估值：（1）资产管理产品、非标债权或其他特殊目的载体等披露份额净值的，按最近一日的份额净值估值。（2）资产管理产品、非标债权或其他特殊目的载体等披露收益率的，按成本估值，按收益率计提收益；5.其它符合监管要求的资产，存在可以确定公允价值的，以公允价值估值；公允价值不能确定的，按取得时成本按摊余成本法估值；6.国家有最新规定的，按其规定进行估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lang w:eastAsia="zh-CN"/>
              </w:rPr>
              <w:t>杠杆</w:t>
            </w:r>
            <w:r>
              <w:rPr>
                <w:rFonts w:hint="eastAsia" w:ascii="仿宋" w:hAnsi="仿宋" w:eastAsia="仿宋"/>
                <w:b/>
                <w:szCs w:val="21"/>
                <w:shd w:val="clear" w:color="auto" w:fill="FFFFFF"/>
              </w:rPr>
              <w:t>水平</w:t>
            </w:r>
          </w:p>
        </w:tc>
        <w:tc>
          <w:tcPr>
            <w:tcW w:w="708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szCs w:val="21"/>
                <w:shd w:val="clear" w:color="auto" w:fill="FFFFFF"/>
                <w:lang w:val="en-US" w:eastAsia="zh-CN"/>
              </w:rPr>
            </w:pPr>
            <w:r>
              <w:rPr>
                <w:rFonts w:hint="eastAsia" w:ascii="仿宋" w:hAnsi="仿宋" w:eastAsia="仿宋"/>
                <w:szCs w:val="21"/>
                <w:shd w:val="clear" w:color="auto" w:fill="FFFFFF"/>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业绩比较基准</w:t>
            </w:r>
          </w:p>
        </w:tc>
        <w:tc>
          <w:tcPr>
            <w:tcW w:w="708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szCs w:val="21"/>
                <w:shd w:val="clear" w:color="auto" w:fill="FFFFFF"/>
                <w:lang w:val="en-US" w:eastAsia="zh-CN"/>
              </w:rPr>
            </w:pPr>
            <w:r>
              <w:rPr>
                <w:rFonts w:hint="eastAsia" w:ascii="仿宋" w:hAnsi="仿宋" w:eastAsia="仿宋"/>
                <w:szCs w:val="21"/>
                <w:shd w:val="clear" w:color="auto" w:fill="FFFFFF"/>
                <w:lang w:val="en-US" w:eastAsia="zh-CN"/>
              </w:rPr>
              <w:t>5.10%-5.80%/年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风险等级</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rPr>
              <w:t>二级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产品管理人</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rPr>
              <w:t>贵阳农村商业银行股份有限公司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产品托管人</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lang w:eastAsia="zh-CN"/>
              </w:rPr>
              <w:t>中国工商银行</w:t>
            </w:r>
            <w:r>
              <w:rPr>
                <w:rFonts w:hint="eastAsia" w:ascii="仿宋" w:hAnsi="仿宋" w:eastAsia="仿宋"/>
                <w:szCs w:val="21"/>
                <w:shd w:val="clear" w:color="auto" w:fill="FFFFFF"/>
              </w:rPr>
              <w:t>股份有限公司</w:t>
            </w:r>
            <w:r>
              <w:rPr>
                <w:rFonts w:hint="eastAsia" w:ascii="仿宋" w:hAnsi="仿宋" w:eastAsia="仿宋"/>
                <w:szCs w:val="21"/>
                <w:shd w:val="clear" w:color="auto" w:fill="FFFFFF"/>
                <w:lang w:eastAsia="zh-CN"/>
              </w:rPr>
              <w:t>广州分行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投资账户信息</w:t>
            </w:r>
          </w:p>
        </w:tc>
        <w:tc>
          <w:tcPr>
            <w:tcW w:w="708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szCs w:val="21"/>
                <w:shd w:val="clear" w:color="auto" w:fill="FFFFFF"/>
                <w:lang w:eastAsia="zh-CN"/>
              </w:rPr>
            </w:pPr>
            <w:r>
              <w:rPr>
                <w:rFonts w:hint="eastAsia" w:ascii="仿宋" w:hAnsi="仿宋" w:eastAsia="仿宋"/>
                <w:szCs w:val="21"/>
                <w:shd w:val="clear" w:color="auto" w:fill="FFFFFF"/>
              </w:rPr>
              <w:t>户名：工商银行贵阳农商银行超值宝３年２５期理财产品</w:t>
            </w:r>
            <w:r>
              <w:rPr>
                <w:rFonts w:hint="eastAsia" w:ascii="仿宋" w:hAnsi="仿宋" w:eastAsia="仿宋"/>
                <w:szCs w:val="21"/>
                <w:shd w:val="clear" w:color="auto" w:fill="FFFFFF"/>
                <w:lang w:val="en-US" w:eastAsia="zh-CN"/>
              </w:rPr>
              <w:t xml:space="preserve"> </w:t>
            </w:r>
          </w:p>
          <w:p>
            <w:pPr>
              <w:rPr>
                <w:rFonts w:hint="eastAsia" w:ascii="仿宋" w:hAnsi="仿宋" w:eastAsia="仿宋"/>
                <w:szCs w:val="21"/>
                <w:shd w:val="clear" w:color="auto" w:fill="FFFFFF"/>
                <w:lang w:eastAsia="zh-CN"/>
              </w:rPr>
            </w:pPr>
            <w:r>
              <w:rPr>
                <w:rFonts w:hint="eastAsia" w:ascii="仿宋" w:hAnsi="仿宋" w:eastAsia="仿宋"/>
                <w:szCs w:val="21"/>
                <w:shd w:val="clear" w:color="auto" w:fill="FFFFFF"/>
              </w:rPr>
              <w:t>账号：</w:t>
            </w:r>
            <w:r>
              <w:rPr>
                <w:rFonts w:hint="eastAsia" w:ascii="仿宋" w:hAnsi="仿宋" w:eastAsia="仿宋"/>
                <w:szCs w:val="21"/>
                <w:shd w:val="clear" w:color="auto" w:fill="FFFFFF"/>
                <w:lang w:val="en-US" w:eastAsia="zh-CN"/>
              </w:rPr>
              <w:t xml:space="preserve"> 3602003829200525967</w:t>
            </w:r>
          </w:p>
          <w:p>
            <w:pPr>
              <w:rPr>
                <w:rFonts w:ascii="仿宋" w:hAnsi="仿宋" w:eastAsia="仿宋"/>
                <w:szCs w:val="21"/>
                <w:shd w:val="clear" w:color="auto" w:fill="FFFFFF"/>
              </w:rPr>
            </w:pPr>
            <w:r>
              <w:rPr>
                <w:rFonts w:hint="eastAsia" w:ascii="仿宋" w:hAnsi="仿宋" w:eastAsia="仿宋"/>
                <w:szCs w:val="21"/>
                <w:shd w:val="clear" w:color="auto" w:fill="FFFFFF"/>
              </w:rPr>
              <w:t>开户行：</w:t>
            </w:r>
            <w:r>
              <w:rPr>
                <w:rFonts w:hint="eastAsia" w:ascii="仿宋" w:hAnsi="仿宋" w:eastAsia="仿宋"/>
                <w:szCs w:val="21"/>
                <w:shd w:val="clear" w:color="auto" w:fill="FFFFFF"/>
                <w:lang w:eastAsia="zh-CN"/>
              </w:rPr>
              <w:t>中国工商银行广州</w:t>
            </w:r>
            <w:r>
              <w:rPr>
                <w:rFonts w:hint="eastAsia" w:ascii="仿宋" w:hAnsi="仿宋" w:eastAsia="仿宋"/>
                <w:szCs w:val="21"/>
                <w:shd w:val="clear" w:color="auto" w:fill="FFFFFF"/>
              </w:rPr>
              <w:t>大德</w:t>
            </w:r>
            <w:r>
              <w:rPr>
                <w:rFonts w:hint="eastAsia" w:ascii="仿宋" w:hAnsi="仿宋" w:eastAsia="仿宋"/>
                <w:szCs w:val="21"/>
                <w:shd w:val="clear" w:color="auto" w:fill="FFFFFF"/>
                <w:lang w:eastAsia="zh-CN"/>
              </w:rPr>
              <w:t>路</w:t>
            </w:r>
            <w:r>
              <w:rPr>
                <w:rFonts w:hint="eastAsia" w:ascii="仿宋" w:hAnsi="仿宋" w:eastAsia="仿宋"/>
                <w:szCs w:val="21"/>
                <w:shd w:val="clear" w:color="auto" w:fill="FFFFFF"/>
              </w:rPr>
              <w:t>支行</w:t>
            </w:r>
          </w:p>
        </w:tc>
      </w:tr>
    </w:tbl>
    <w:p>
      <w:pPr>
        <w:spacing w:before="156" w:beforeLines="50" w:after="156" w:afterLines="50" w:line="360" w:lineRule="auto"/>
        <w:jc w:val="center"/>
        <w:rPr>
          <w:rFonts w:ascii="黑体" w:hAnsi="黑体" w:eastAsia="黑体"/>
          <w:sz w:val="24"/>
          <w:szCs w:val="24"/>
          <w:shd w:val="clear" w:color="auto" w:fill="FFFFFF"/>
        </w:rPr>
      </w:pPr>
      <w:r>
        <w:rPr>
          <w:rFonts w:hint="eastAsia" w:ascii="黑体" w:hAnsi="黑体" w:eastAsia="黑体"/>
          <w:sz w:val="24"/>
          <w:szCs w:val="24"/>
          <w:shd w:val="clear" w:color="auto" w:fill="FFFFFF"/>
        </w:rPr>
        <w:t>§2</w:t>
      </w:r>
      <w:bookmarkEnd w:id="0"/>
      <w:bookmarkEnd w:id="1"/>
      <w:r>
        <w:rPr>
          <w:rFonts w:hint="eastAsia" w:ascii="黑体" w:hAnsi="黑体" w:eastAsia="黑体"/>
          <w:sz w:val="24"/>
          <w:szCs w:val="24"/>
          <w:shd w:val="clear" w:color="auto" w:fill="FFFFFF"/>
        </w:rPr>
        <w:t>产品概况</w:t>
      </w:r>
    </w:p>
    <w:p>
      <w:pPr>
        <w:spacing w:before="156" w:beforeLines="50" w:after="156" w:afterLines="50" w:line="360" w:lineRule="auto"/>
        <w:rPr>
          <w:rFonts w:ascii="仿宋" w:hAnsi="仿宋" w:eastAsia="仿宋"/>
          <w:b/>
        </w:rPr>
      </w:pPr>
    </w:p>
    <w:p>
      <w:pPr>
        <w:widowControl/>
        <w:jc w:val="center"/>
        <w:rPr>
          <w:rFonts w:ascii="黑体" w:hAnsi="黑体" w:eastAsia="黑体"/>
          <w:sz w:val="24"/>
          <w:szCs w:val="24"/>
        </w:rPr>
      </w:pPr>
      <w:r>
        <w:rPr>
          <w:rFonts w:hint="eastAsia" w:ascii="黑体" w:hAnsi="黑体" w:eastAsia="黑体"/>
          <w:sz w:val="24"/>
          <w:szCs w:val="24"/>
        </w:rPr>
        <w:t>§</w:t>
      </w:r>
      <w:r>
        <w:rPr>
          <w:rFonts w:ascii="黑体" w:hAnsi="黑体" w:eastAsia="黑体"/>
          <w:sz w:val="24"/>
          <w:szCs w:val="24"/>
        </w:rPr>
        <w:t>3</w:t>
      </w:r>
      <w:r>
        <w:rPr>
          <w:rFonts w:hint="eastAsia" w:ascii="黑体" w:hAnsi="黑体" w:eastAsia="黑体"/>
          <w:sz w:val="24"/>
          <w:szCs w:val="24"/>
        </w:rPr>
        <w:t xml:space="preserve">  主要财务指标和净值表现</w:t>
      </w:r>
    </w:p>
    <w:p>
      <w:pPr>
        <w:spacing w:before="156" w:beforeLines="50" w:line="360" w:lineRule="exact"/>
        <w:rPr>
          <w:b/>
          <w:color w:val="000000"/>
        </w:rPr>
      </w:pPr>
      <w:r>
        <w:rPr>
          <w:b/>
          <w:color w:val="000000"/>
        </w:rPr>
        <w:t xml:space="preserve">3.1 </w:t>
      </w:r>
      <w:r>
        <w:rPr>
          <w:rFonts w:hint="eastAsia"/>
          <w:b/>
          <w:color w:val="000000"/>
        </w:rPr>
        <w:t>主要财务指标</w:t>
      </w:r>
    </w:p>
    <w:p>
      <w:pPr>
        <w:spacing w:before="156" w:beforeLines="50" w:line="360" w:lineRule="exact"/>
        <w:jc w:val="right"/>
        <w:rPr>
          <w:rFonts w:ascii="仿宋" w:hAnsi="仿宋" w:eastAsia="仿宋"/>
          <w:color w:val="000000"/>
        </w:rPr>
      </w:pPr>
      <w:r>
        <w:rPr>
          <w:rFonts w:hint="eastAsia" w:ascii="仿宋" w:hAnsi="仿宋" w:eastAsia="仿宋"/>
          <w:color w:val="000000"/>
        </w:rPr>
        <w:t>单位：人民币元</w:t>
      </w:r>
    </w:p>
    <w:tbl>
      <w:tblPr>
        <w:tblStyle w:val="11"/>
        <w:tblW w:w="852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660"/>
        <w:gridCol w:w="586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主要财务指标</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报告期（2022年10月01日-2022年12月31日）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1.本期已实现利润</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hint="eastAsia" w:ascii="仿宋" w:hAnsi="仿宋" w:eastAsia="仿宋"/>
                <w:szCs w:val="21"/>
                <w:shd w:val="clear" w:color="auto" w:fill="FFFFFF"/>
                <w:lang w:val="en-US" w:eastAsia="zh-CN"/>
              </w:rPr>
            </w:pPr>
            <w:r>
              <w:rPr>
                <w:rFonts w:hint="eastAsia" w:ascii="仿宋" w:hAnsi="仿宋" w:eastAsia="仿宋"/>
                <w:szCs w:val="21"/>
                <w:shd w:val="clear" w:color="auto" w:fill="FFFFFF"/>
                <w:lang w:val="en-US" w:eastAsia="zh-CN"/>
              </w:rPr>
              <w:t>-17,513.68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2.本期利润</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100,402.35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2.期末产品资产净值</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17,420,403.02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3.期末产品份额净值</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1.0271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4.期末产品份额累计净值</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1.0271</w:t>
            </w:r>
          </w:p>
        </w:tc>
      </w:tr>
    </w:tbl>
    <w:p>
      <w:pPr>
        <w:spacing w:before="156" w:beforeLines="50" w:line="360" w:lineRule="exact"/>
        <w:rPr>
          <w:rFonts w:ascii="仿宋" w:hAnsi="仿宋" w:eastAsia="仿宋"/>
        </w:rPr>
      </w:pPr>
      <w:r>
        <w:rPr>
          <w:rFonts w:hint="eastAsia" w:ascii="仿宋" w:hAnsi="仿宋" w:eastAsia="仿宋"/>
        </w:rPr>
        <w:t>注：</w:t>
      </w:r>
      <w:r>
        <w:rPr>
          <w:rFonts w:ascii="仿宋" w:hAnsi="仿宋" w:eastAsia="仿宋"/>
        </w:rPr>
        <w:t>1</w:t>
      </w:r>
      <w:r>
        <w:rPr>
          <w:rFonts w:hint="eastAsia" w:ascii="仿宋" w:hAnsi="仿宋" w:eastAsia="仿宋"/>
        </w:rPr>
        <w:t>、本期已实现收益指该产品本期利息收入、投资收益、其他收入（不含公允价值变动收益）扣除相关费用后的余额，本期收益为本期已实现收益加上本期公允价值变动收益；</w:t>
      </w:r>
    </w:p>
    <w:p>
      <w:pPr>
        <w:spacing w:before="156" w:beforeLines="50" w:line="360" w:lineRule="exact"/>
        <w:rPr>
          <w:rFonts w:ascii="仿宋" w:hAnsi="仿宋" w:eastAsia="仿宋"/>
        </w:rPr>
      </w:pPr>
      <w:r>
        <w:rPr>
          <w:rFonts w:ascii="仿宋" w:hAnsi="仿宋" w:eastAsia="仿宋"/>
        </w:rPr>
        <w:t xml:space="preserve">    2</w:t>
      </w:r>
      <w:r>
        <w:rPr>
          <w:rFonts w:hint="eastAsia" w:ascii="仿宋" w:hAnsi="仿宋" w:eastAsia="仿宋"/>
        </w:rPr>
        <w:t>、除产品合同和招募说明书另有规定外，期末产品份额净值按四舍五入法保留至小数点后第</w:t>
      </w:r>
      <w:r>
        <w:rPr>
          <w:rFonts w:ascii="仿宋" w:hAnsi="仿宋" w:eastAsia="仿宋"/>
        </w:rPr>
        <w:t>4</w:t>
      </w:r>
      <w:r>
        <w:rPr>
          <w:rFonts w:hint="eastAsia" w:ascii="仿宋" w:hAnsi="仿宋" w:eastAsia="仿宋"/>
        </w:rPr>
        <w:t>位，其他财务指标保留至小数点后第</w:t>
      </w:r>
      <w:r>
        <w:rPr>
          <w:rFonts w:ascii="仿宋" w:hAnsi="仿宋" w:eastAsia="仿宋"/>
        </w:rPr>
        <w:t>2</w:t>
      </w:r>
      <w:r>
        <w:rPr>
          <w:rFonts w:hint="eastAsia" w:ascii="仿宋" w:hAnsi="仿宋" w:eastAsia="仿宋"/>
        </w:rPr>
        <w:t>位；</w:t>
      </w:r>
    </w:p>
    <w:p>
      <w:pPr>
        <w:spacing w:before="156" w:beforeLines="50" w:line="360" w:lineRule="exact"/>
        <w:ind w:firstLine="420" w:firstLineChars="200"/>
        <w:rPr>
          <w:rFonts w:ascii="仿宋" w:hAnsi="仿宋" w:eastAsia="仿宋"/>
        </w:rPr>
      </w:pPr>
      <w:r>
        <w:rPr>
          <w:rFonts w:ascii="仿宋" w:hAnsi="仿宋" w:eastAsia="仿宋"/>
        </w:rPr>
        <w:t>3</w:t>
      </w:r>
      <w:r>
        <w:rPr>
          <w:rFonts w:hint="eastAsia" w:ascii="仿宋" w:hAnsi="仿宋" w:eastAsia="仿宋"/>
        </w:rPr>
        <w:t>、期末即最后一个市场交易日；</w:t>
      </w:r>
    </w:p>
    <w:p>
      <w:pPr>
        <w:spacing w:before="156" w:beforeLines="50" w:line="360" w:lineRule="exact"/>
      </w:pPr>
      <w:r>
        <w:rPr>
          <w:rFonts w:ascii="仿宋" w:hAnsi="仿宋" w:eastAsia="仿宋"/>
        </w:rPr>
        <w:tab/>
      </w:r>
      <w:r>
        <w:rPr>
          <w:rFonts w:ascii="仿宋" w:hAnsi="仿宋" w:eastAsia="仿宋"/>
        </w:rPr>
        <w:t>4</w:t>
      </w:r>
      <w:r>
        <w:rPr>
          <w:rFonts w:hint="eastAsia" w:ascii="仿宋" w:hAnsi="仿宋" w:eastAsia="仿宋"/>
        </w:rPr>
        <w:t>、</w:t>
      </w:r>
      <w:r>
        <w:rPr>
          <w:rFonts w:hint="eastAsia" w:ascii="仿宋" w:hAnsi="仿宋" w:eastAsia="仿宋"/>
          <w:color w:val="000000"/>
        </w:rPr>
        <w:t>本报告期内，本理财计划未进行分红。</w:t>
      </w:r>
    </w:p>
    <w:p>
      <w:pPr>
        <w:spacing w:before="156" w:beforeLines="50" w:line="360" w:lineRule="exact"/>
        <w:rPr>
          <w:b/>
          <w:color w:val="000000"/>
        </w:rPr>
      </w:pPr>
      <w:r>
        <w:rPr>
          <w:b/>
          <w:color w:val="000000"/>
        </w:rPr>
        <w:t xml:space="preserve">3.2 </w:t>
      </w:r>
      <w:r>
        <w:rPr>
          <w:rFonts w:hint="eastAsia"/>
          <w:b/>
          <w:color w:val="000000"/>
        </w:rPr>
        <w:t>产品净值表现</w:t>
      </w:r>
    </w:p>
    <w:p>
      <w:pPr>
        <w:spacing w:before="156" w:beforeLines="50" w:line="360" w:lineRule="exact"/>
        <w:rPr>
          <w:rFonts w:hint="eastAsia" w:ascii="仿宋" w:hAnsi="仿宋" w:eastAsia="仿宋"/>
          <w:lang w:val="en-US" w:eastAsia="zh-CN"/>
        </w:rPr>
      </w:pPr>
      <w:r>
        <w:rPr>
          <w:rFonts w:hint="eastAsia" w:ascii="仿宋" w:hAnsi="仿宋" w:eastAsia="仿宋"/>
          <w:lang w:val="en-US" w:eastAsia="zh-CN"/>
        </w:rPr>
        <w:t>3.2.1本期产品净值走势图</w:t>
      </w:r>
    </w:p>
    <w:p>
      <w:pPr>
        <w:spacing w:before="156" w:beforeLines="50" w:line="240" w:lineRule="auto"/>
        <w:rPr>
          <w:rFonts w:hint="eastAsia"/>
          <w:lang w:val="en-US" w:eastAsia="zh-CN"/>
        </w:rPr>
      </w:pPr>
      <w:r>
        <w:rPr>
          <w:rFonts w:hint="default"/>
          <w:sz w:val="24"/>
        </w:rPr>
        <w:t xml:space="preserve"> </w:t>
      </w:r>
      <w:r>
        <w:drawing>
          <wp:inline distT="0" distB="0" distL="114300" distR="114300">
            <wp:extent cx="4629150" cy="2457450"/>
            <wp:effectExtent l="4445" t="5080" r="14605" b="13970"/>
            <wp:docPr id="2"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p>
      <w:pPr>
        <w:spacing w:before="156" w:beforeLines="50" w:line="360" w:lineRule="exact"/>
        <w:rPr>
          <w:rFonts w:ascii="仿宋" w:hAnsi="仿宋" w:eastAsia="仿宋"/>
        </w:rPr>
      </w:pPr>
    </w:p>
    <w:p>
      <w:pPr>
        <w:spacing w:before="156" w:beforeLines="50" w:line="360" w:lineRule="exact"/>
        <w:rPr>
          <w:rFonts w:hint="eastAsia" w:ascii="仿宋" w:hAnsi="仿宋" w:eastAsia="仿宋"/>
        </w:rPr>
      </w:pPr>
      <w:r>
        <w:rPr>
          <w:rFonts w:ascii="仿宋" w:hAnsi="仿宋" w:eastAsia="仿宋"/>
        </w:rPr>
        <w:t>3.2.</w:t>
      </w:r>
      <w:r>
        <w:rPr>
          <w:rFonts w:hint="eastAsia" w:ascii="仿宋" w:hAnsi="仿宋" w:eastAsia="仿宋"/>
          <w:lang w:val="en-US" w:eastAsia="zh-CN"/>
        </w:rPr>
        <w:t>2</w:t>
      </w:r>
      <w:r>
        <w:rPr>
          <w:rFonts w:hint="eastAsia" w:ascii="仿宋" w:hAnsi="仿宋" w:eastAsia="仿宋"/>
        </w:rPr>
        <w:t>产品份额净值增长率与同期业绩比较基准收益率的比较</w:t>
      </w:r>
    </w:p>
    <w:p>
      <w:pPr>
        <w:spacing w:before="156" w:beforeLines="50" w:line="360" w:lineRule="exact"/>
        <w:rPr>
          <w:rFonts w:hint="eastAsia" w:ascii="仿宋" w:hAnsi="仿宋" w:eastAsia="仿宋"/>
        </w:rPr>
      </w:pPr>
    </w:p>
    <w:tbl>
      <w:tblPr>
        <w:tblStyle w:val="10"/>
        <w:tblW w:w="8891" w:type="dxa"/>
        <w:tblInd w:w="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77"/>
        <w:gridCol w:w="3554"/>
        <w:gridCol w:w="35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6" w:hRule="atLeast"/>
        </w:trPr>
        <w:tc>
          <w:tcPr>
            <w:tcW w:w="1777" w:type="dxa"/>
            <w:shd w:val="clear" w:color="auto" w:fill="D9D9D9"/>
            <w:vAlign w:val="center"/>
          </w:tcPr>
          <w:p>
            <w:pPr>
              <w:jc w:val="center"/>
              <w:rPr>
                <w:rFonts w:ascii="仿宋" w:hAnsi="仿宋" w:eastAsia="仿宋"/>
                <w:b/>
              </w:rPr>
            </w:pPr>
            <w:r>
              <w:rPr>
                <w:rFonts w:hint="eastAsia" w:ascii="仿宋" w:hAnsi="仿宋" w:eastAsia="仿宋"/>
                <w:b/>
              </w:rPr>
              <w:t>阶段</w:t>
            </w:r>
          </w:p>
        </w:tc>
        <w:tc>
          <w:tcPr>
            <w:tcW w:w="3554" w:type="dxa"/>
            <w:shd w:val="clear" w:color="auto" w:fill="D9D9D9"/>
            <w:vAlign w:val="center"/>
          </w:tcPr>
          <w:p>
            <w:pPr>
              <w:jc w:val="center"/>
              <w:rPr>
                <w:rFonts w:ascii="仿宋" w:hAnsi="仿宋" w:eastAsia="仿宋"/>
                <w:b/>
              </w:rPr>
            </w:pPr>
            <w:r>
              <w:rPr>
                <w:rFonts w:hint="eastAsia" w:ascii="仿宋" w:hAnsi="仿宋" w:eastAsia="仿宋"/>
                <w:b/>
              </w:rPr>
              <w:t>净值增长率（%）</w:t>
            </w:r>
          </w:p>
        </w:tc>
        <w:tc>
          <w:tcPr>
            <w:tcW w:w="3560" w:type="dxa"/>
            <w:shd w:val="clear" w:color="auto" w:fill="D9D9D9"/>
            <w:vAlign w:val="center"/>
          </w:tcPr>
          <w:p>
            <w:pPr>
              <w:jc w:val="center"/>
              <w:rPr>
                <w:rFonts w:ascii="仿宋" w:hAnsi="仿宋" w:eastAsia="仿宋"/>
                <w:b/>
              </w:rPr>
            </w:pPr>
            <w:r>
              <w:rPr>
                <w:rFonts w:hint="eastAsia" w:ascii="仿宋" w:hAnsi="仿宋" w:eastAsia="仿宋"/>
                <w:b/>
              </w:rPr>
              <w:t>业绩比较</w:t>
            </w:r>
            <w:r>
              <w:rPr>
                <w:rFonts w:ascii="仿宋" w:hAnsi="仿宋" w:eastAsia="仿宋"/>
                <w:b/>
              </w:rPr>
              <w:t>基准</w:t>
            </w:r>
            <w:r>
              <w:rPr>
                <w:rFonts w:hint="eastAsia" w:ascii="仿宋" w:hAnsi="仿宋" w:eastAsia="仿宋"/>
                <w:b/>
              </w:rPr>
              <w:t>增长率（%）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1777" w:type="dxa"/>
            <w:vAlign w:val="center"/>
          </w:tcPr>
          <w:p>
            <w:pPr>
              <w:jc w:val="center"/>
              <w:rPr>
                <w:rFonts w:ascii="仿宋" w:hAnsi="仿宋" w:eastAsia="仿宋"/>
              </w:rPr>
            </w:pPr>
            <w:r>
              <w:rPr>
                <w:rFonts w:hint="eastAsia" w:ascii="仿宋" w:hAnsi="仿宋" w:eastAsia="仿宋"/>
              </w:rPr>
              <w:t>当期（2022-</w:t>
            </w:r>
            <w:r>
              <w:rPr>
                <w:rFonts w:hint="eastAsia" w:ascii="仿宋" w:hAnsi="仿宋" w:eastAsia="仿宋"/>
                <w:lang w:val="en-US" w:eastAsia="zh-CN"/>
              </w:rPr>
              <w:t>10</w:t>
            </w:r>
            <w:r>
              <w:rPr>
                <w:rFonts w:hint="eastAsia" w:ascii="仿宋" w:hAnsi="仿宋" w:eastAsia="仿宋"/>
              </w:rPr>
              <w:t>-1至2022-</w:t>
            </w:r>
            <w:r>
              <w:rPr>
                <w:rFonts w:hint="eastAsia" w:ascii="仿宋" w:hAnsi="仿宋" w:eastAsia="仿宋"/>
                <w:lang w:val="en-US" w:eastAsia="zh-CN"/>
              </w:rPr>
              <w:t>12-31</w:t>
            </w:r>
            <w:r>
              <w:rPr>
                <w:rFonts w:hint="eastAsia" w:ascii="仿宋" w:hAnsi="仿宋" w:eastAsia="仿宋"/>
              </w:rPr>
              <w:t>）</w:t>
            </w:r>
          </w:p>
        </w:tc>
        <w:tc>
          <w:tcPr>
            <w:tcW w:w="3554" w:type="dxa"/>
            <w:vAlign w:val="center"/>
          </w:tcPr>
          <w:p>
            <w:pPr>
              <w:keepNext w:val="0"/>
              <w:keepLines w:val="0"/>
              <w:widowControl/>
              <w:suppressLineNumbers w:val="0"/>
              <w:jc w:val="center"/>
              <w:textAlignment w:val="center"/>
              <w:rPr>
                <w:rFonts w:hint="eastAsia" w:ascii="仿宋" w:hAnsi="仿宋" w:eastAsia="仿宋"/>
                <w:sz w:val="21"/>
                <w:szCs w:val="21"/>
                <w:lang w:val="en-US" w:eastAsia="zh-CN"/>
              </w:rPr>
            </w:pPr>
            <w:r>
              <w:rPr>
                <w:rFonts w:hint="eastAsia" w:ascii="仿宋" w:hAnsi="仿宋" w:eastAsia="仿宋" w:cs="仿宋"/>
                <w:i w:val="0"/>
                <w:color w:val="000000"/>
                <w:kern w:val="0"/>
                <w:sz w:val="22"/>
                <w:szCs w:val="22"/>
                <w:u w:val="none"/>
                <w:lang w:val="en-US" w:eastAsia="zh-CN" w:bidi="ar"/>
              </w:rPr>
              <w:t xml:space="preserve">0.58 </w:t>
            </w:r>
          </w:p>
        </w:tc>
        <w:tc>
          <w:tcPr>
            <w:tcW w:w="3560" w:type="dxa"/>
            <w:vAlign w:val="center"/>
          </w:tcPr>
          <w:p>
            <w:pPr>
              <w:keepNext w:val="0"/>
              <w:keepLines w:val="0"/>
              <w:widowControl/>
              <w:suppressLineNumbers w:val="0"/>
              <w:jc w:val="center"/>
              <w:textAlignment w:val="center"/>
              <w:rPr>
                <w:rFonts w:hint="eastAsia" w:ascii="仿宋" w:hAnsi="仿宋" w:eastAsia="仿宋"/>
                <w:sz w:val="21"/>
                <w:szCs w:val="21"/>
                <w:lang w:val="en-US" w:eastAsia="zh-CN"/>
              </w:rPr>
            </w:pPr>
            <w:r>
              <w:rPr>
                <w:rFonts w:hint="eastAsia" w:ascii="仿宋" w:hAnsi="仿宋" w:eastAsia="仿宋" w:cs="仿宋"/>
                <w:i w:val="0"/>
                <w:color w:val="000000"/>
                <w:kern w:val="0"/>
                <w:sz w:val="22"/>
                <w:szCs w:val="22"/>
                <w:u w:val="none"/>
                <w:lang w:val="en-US" w:eastAsia="zh-CN" w:bidi="ar"/>
              </w:rPr>
              <w:t xml:space="preserve">1.29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1777" w:type="dxa"/>
            <w:vAlign w:val="center"/>
          </w:tcPr>
          <w:p>
            <w:pPr>
              <w:jc w:val="center"/>
              <w:rPr>
                <w:rFonts w:ascii="仿宋" w:hAnsi="仿宋" w:eastAsia="仿宋"/>
              </w:rPr>
            </w:pPr>
            <w:r>
              <w:rPr>
                <w:rFonts w:hint="eastAsia" w:ascii="仿宋" w:hAnsi="仿宋" w:eastAsia="仿宋"/>
              </w:rPr>
              <w:t>自产品成立日至今</w:t>
            </w:r>
          </w:p>
        </w:tc>
        <w:tc>
          <w:tcPr>
            <w:tcW w:w="3554" w:type="dxa"/>
            <w:vAlign w:val="center"/>
          </w:tcPr>
          <w:p>
            <w:pPr>
              <w:keepNext w:val="0"/>
              <w:keepLines w:val="0"/>
              <w:widowControl/>
              <w:suppressLineNumbers w:val="0"/>
              <w:jc w:val="center"/>
              <w:textAlignment w:val="center"/>
              <w:rPr>
                <w:rFonts w:hint="eastAsia" w:ascii="仿宋" w:hAnsi="仿宋" w:eastAsia="仿宋"/>
                <w:sz w:val="21"/>
                <w:szCs w:val="21"/>
                <w:lang w:val="en-US" w:eastAsia="zh-CN"/>
              </w:rPr>
            </w:pPr>
            <w:r>
              <w:rPr>
                <w:rFonts w:hint="eastAsia" w:ascii="仿宋" w:hAnsi="仿宋" w:eastAsia="仿宋" w:cs="仿宋"/>
                <w:i w:val="0"/>
                <w:color w:val="000000"/>
                <w:kern w:val="0"/>
                <w:sz w:val="22"/>
                <w:szCs w:val="22"/>
                <w:u w:val="none"/>
                <w:lang w:val="en-US" w:eastAsia="zh-CN" w:bidi="ar"/>
              </w:rPr>
              <w:t xml:space="preserve">2.71 </w:t>
            </w:r>
          </w:p>
        </w:tc>
        <w:tc>
          <w:tcPr>
            <w:tcW w:w="3560" w:type="dxa"/>
            <w:vAlign w:val="center"/>
          </w:tcPr>
          <w:p>
            <w:pPr>
              <w:keepNext w:val="0"/>
              <w:keepLines w:val="0"/>
              <w:widowControl/>
              <w:suppressLineNumbers w:val="0"/>
              <w:jc w:val="center"/>
              <w:textAlignment w:val="center"/>
              <w:rPr>
                <w:rFonts w:hint="eastAsia" w:ascii="仿宋" w:hAnsi="仿宋" w:eastAsia="仿宋"/>
                <w:sz w:val="21"/>
                <w:szCs w:val="21"/>
                <w:lang w:val="en-US" w:eastAsia="zh-CN"/>
              </w:rPr>
            </w:pPr>
            <w:r>
              <w:rPr>
                <w:rFonts w:hint="eastAsia" w:ascii="仿宋" w:hAnsi="仿宋" w:eastAsia="仿宋" w:cs="仿宋"/>
                <w:i w:val="0"/>
                <w:color w:val="000000"/>
                <w:kern w:val="0"/>
                <w:sz w:val="22"/>
                <w:szCs w:val="22"/>
                <w:u w:val="none"/>
                <w:lang w:val="en-US" w:eastAsia="zh-CN" w:bidi="ar"/>
              </w:rPr>
              <w:t xml:space="preserve">2.71 </w:t>
            </w:r>
          </w:p>
        </w:tc>
      </w:tr>
    </w:tbl>
    <w:p>
      <w:pPr>
        <w:spacing w:before="156" w:beforeLines="50" w:line="360" w:lineRule="exact"/>
        <w:rPr>
          <w:rFonts w:ascii="仿宋" w:hAnsi="仿宋" w:eastAsia="仿宋"/>
        </w:rPr>
      </w:pPr>
    </w:p>
    <w:p>
      <w:pPr>
        <w:spacing w:before="156" w:beforeLines="50" w:line="360" w:lineRule="exact"/>
        <w:rPr>
          <w:rFonts w:ascii="仿宋" w:hAnsi="仿宋" w:eastAsia="仿宋"/>
        </w:rPr>
      </w:pPr>
      <w:r>
        <w:rPr>
          <w:rFonts w:ascii="仿宋" w:hAnsi="仿宋" w:eastAsia="仿宋"/>
        </w:rPr>
        <w:t>3.2.</w:t>
      </w:r>
      <w:r>
        <w:rPr>
          <w:rFonts w:hint="eastAsia" w:ascii="仿宋" w:hAnsi="仿宋" w:eastAsia="仿宋"/>
          <w:lang w:val="en-US" w:eastAsia="zh-CN"/>
        </w:rPr>
        <w:t>3</w:t>
      </w:r>
      <w:r>
        <w:rPr>
          <w:rFonts w:hint="eastAsia" w:ascii="仿宋" w:hAnsi="仿宋" w:eastAsia="仿宋"/>
        </w:rPr>
        <w:t>产品累计份额净值增长率与同期业绩比较基准收益率变动比较走势图</w:t>
      </w:r>
    </w:p>
    <w:p>
      <w:pPr>
        <w:spacing w:before="156" w:beforeLines="50" w:after="156" w:afterLines="50" w:line="360" w:lineRule="auto"/>
        <w:jc w:val="center"/>
        <w:rPr>
          <w:rFonts w:ascii="宋体" w:hAnsi="宋体" w:eastAsia="宋体"/>
          <w:b/>
          <w:sz w:val="24"/>
          <w:szCs w:val="24"/>
        </w:rPr>
      </w:pPr>
      <w:r>
        <w:drawing>
          <wp:inline distT="0" distB="0" distL="114300" distR="114300">
            <wp:extent cx="4933315" cy="2904490"/>
            <wp:effectExtent l="4445" t="4445" r="15240" b="5715"/>
            <wp:docPr id="3"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pPr>
        <w:spacing w:before="156" w:beforeLines="50" w:after="156" w:afterLines="50" w:line="360" w:lineRule="auto"/>
        <w:jc w:val="center"/>
      </w:pPr>
      <w:r>
        <w:rPr>
          <w:rFonts w:hint="eastAsia" w:ascii="宋体" w:hAnsi="宋体" w:eastAsia="宋体"/>
          <w:b/>
          <w:sz w:val="24"/>
          <w:szCs w:val="24"/>
        </w:rPr>
        <w:t>§</w:t>
      </w:r>
      <w:r>
        <w:rPr>
          <w:rFonts w:ascii="宋体" w:hAnsi="宋体" w:eastAsia="宋体"/>
          <w:b/>
          <w:sz w:val="24"/>
          <w:szCs w:val="24"/>
        </w:rPr>
        <w:t>4</w:t>
      </w:r>
      <w:r>
        <w:rPr>
          <w:rFonts w:hint="eastAsia" w:ascii="宋体" w:hAnsi="宋体" w:eastAsia="宋体"/>
          <w:b/>
          <w:sz w:val="24"/>
          <w:szCs w:val="24"/>
        </w:rPr>
        <w:t xml:space="preserve"> 管理人报告</w:t>
      </w:r>
    </w:p>
    <w:p>
      <w:pPr>
        <w:spacing w:before="156" w:beforeLines="50" w:line="360" w:lineRule="exact"/>
        <w:rPr>
          <w:rFonts w:hint="eastAsia" w:ascii="仿宋" w:hAnsi="仿宋" w:eastAsia="仿宋"/>
          <w:b/>
          <w:color w:val="000000"/>
        </w:rPr>
      </w:pPr>
      <w:r>
        <w:rPr>
          <w:rFonts w:ascii="仿宋" w:hAnsi="仿宋" w:eastAsia="仿宋"/>
          <w:b/>
          <w:color w:val="000000"/>
        </w:rPr>
        <w:t xml:space="preserve">4.1 </w:t>
      </w:r>
      <w:r>
        <w:rPr>
          <w:rFonts w:hint="eastAsia" w:ascii="仿宋" w:hAnsi="仿宋" w:eastAsia="仿宋"/>
          <w:b/>
          <w:color w:val="000000"/>
        </w:rPr>
        <w:t>报告期内产品投资策略和运作分析</w:t>
      </w:r>
    </w:p>
    <w:p>
      <w:pPr>
        <w:spacing w:before="156" w:beforeLines="50" w:line="360" w:lineRule="exact"/>
        <w:ind w:firstLine="420" w:firstLineChars="200"/>
        <w:rPr>
          <w:rFonts w:hint="eastAsia" w:ascii="仿宋" w:hAnsi="仿宋" w:eastAsia="仿宋"/>
          <w:color w:val="000000"/>
          <w:szCs w:val="21"/>
        </w:rPr>
      </w:pPr>
      <w:r>
        <w:rPr>
          <w:rFonts w:hint="eastAsia" w:ascii="仿宋" w:hAnsi="仿宋" w:eastAsia="仿宋"/>
          <w:color w:val="000000"/>
          <w:szCs w:val="21"/>
        </w:rPr>
        <w:t>产品设立严格符合资管新规要求，投资策略为持有到期。持仓债券全部为主体评级AA以上国有企业，信用风险较低。</w:t>
      </w:r>
    </w:p>
    <w:p>
      <w:pPr>
        <w:spacing w:before="156" w:beforeLines="50" w:line="360" w:lineRule="exact"/>
        <w:ind w:firstLine="420" w:firstLineChars="200"/>
        <w:rPr>
          <w:rFonts w:ascii="仿宋" w:hAnsi="仿宋" w:eastAsia="仿宋"/>
        </w:rPr>
      </w:pPr>
      <w:r>
        <w:rPr>
          <w:rFonts w:hint="eastAsia" w:ascii="仿宋" w:hAnsi="仿宋" w:eastAsia="仿宋"/>
          <w:color w:val="000000"/>
          <w:szCs w:val="21"/>
        </w:rPr>
        <w:t>产品自202</w:t>
      </w:r>
      <w:r>
        <w:rPr>
          <w:rFonts w:hint="eastAsia" w:ascii="仿宋" w:hAnsi="仿宋" w:eastAsia="仿宋"/>
          <w:color w:val="000000"/>
          <w:szCs w:val="21"/>
          <w:lang w:val="en-US" w:eastAsia="zh-CN"/>
        </w:rPr>
        <w:t>2</w:t>
      </w:r>
      <w:r>
        <w:rPr>
          <w:rFonts w:hint="eastAsia" w:ascii="仿宋" w:hAnsi="仿宋" w:eastAsia="仿宋"/>
          <w:color w:val="000000"/>
          <w:szCs w:val="21"/>
        </w:rPr>
        <w:t>年</w:t>
      </w:r>
      <w:r>
        <w:rPr>
          <w:rFonts w:hint="eastAsia" w:ascii="仿宋" w:hAnsi="仿宋" w:eastAsia="仿宋"/>
          <w:color w:val="000000"/>
          <w:szCs w:val="21"/>
          <w:lang w:val="en-US" w:eastAsia="zh-CN"/>
        </w:rPr>
        <w:t>6</w:t>
      </w:r>
      <w:r>
        <w:rPr>
          <w:rFonts w:hint="eastAsia" w:ascii="仿宋" w:hAnsi="仿宋" w:eastAsia="仿宋"/>
          <w:color w:val="000000"/>
          <w:szCs w:val="21"/>
        </w:rPr>
        <w:t>月成立以来，累计管理规模</w:t>
      </w:r>
      <w:r>
        <w:rPr>
          <w:rFonts w:hint="eastAsia" w:ascii="仿宋" w:hAnsi="仿宋" w:eastAsia="仿宋"/>
          <w:color w:val="000000"/>
          <w:szCs w:val="21"/>
          <w:lang w:val="en-US" w:eastAsia="zh-CN"/>
        </w:rPr>
        <w:t>0.17</w:t>
      </w:r>
      <w:r>
        <w:rPr>
          <w:rFonts w:hint="eastAsia" w:ascii="仿宋" w:hAnsi="仿宋" w:eastAsia="仿宋"/>
          <w:color w:val="000000"/>
          <w:szCs w:val="21"/>
        </w:rPr>
        <w:t>亿元，截止20</w:t>
      </w:r>
      <w:r>
        <w:rPr>
          <w:rFonts w:hint="eastAsia" w:ascii="仿宋" w:hAnsi="仿宋" w:eastAsia="仿宋"/>
          <w:color w:val="000000"/>
          <w:szCs w:val="21"/>
          <w:lang w:val="en-US" w:eastAsia="zh-CN"/>
        </w:rPr>
        <w:t>22</w:t>
      </w:r>
      <w:r>
        <w:rPr>
          <w:rFonts w:hint="eastAsia" w:ascii="仿宋" w:hAnsi="仿宋" w:eastAsia="仿宋"/>
          <w:color w:val="000000"/>
          <w:szCs w:val="21"/>
        </w:rPr>
        <w:t>年</w:t>
      </w:r>
      <w:r>
        <w:rPr>
          <w:rFonts w:hint="eastAsia" w:ascii="仿宋" w:hAnsi="仿宋" w:eastAsia="仿宋"/>
          <w:color w:val="000000"/>
          <w:szCs w:val="21"/>
          <w:lang w:val="en-US" w:eastAsia="zh-CN"/>
        </w:rPr>
        <w:t>12</w:t>
      </w:r>
      <w:r>
        <w:rPr>
          <w:rFonts w:hint="eastAsia" w:ascii="仿宋" w:hAnsi="仿宋" w:eastAsia="仿宋"/>
          <w:color w:val="000000"/>
          <w:szCs w:val="21"/>
        </w:rPr>
        <w:t>月3</w:t>
      </w:r>
      <w:r>
        <w:rPr>
          <w:rFonts w:hint="eastAsia" w:ascii="仿宋" w:hAnsi="仿宋" w:eastAsia="仿宋"/>
          <w:color w:val="000000"/>
          <w:szCs w:val="21"/>
          <w:lang w:val="en-US" w:eastAsia="zh-CN"/>
        </w:rPr>
        <w:t>1</w:t>
      </w:r>
      <w:r>
        <w:rPr>
          <w:rFonts w:hint="eastAsia" w:ascii="仿宋" w:hAnsi="仿宋" w:eastAsia="仿宋"/>
          <w:color w:val="000000"/>
          <w:szCs w:val="21"/>
        </w:rPr>
        <w:t>日，净值</w:t>
      </w:r>
      <w:r>
        <w:rPr>
          <w:rFonts w:hint="eastAsia" w:ascii="仿宋" w:hAnsi="仿宋" w:eastAsia="仿宋"/>
          <w:szCs w:val="21"/>
          <w:shd w:val="clear" w:color="auto" w:fill="FFFFFF"/>
        </w:rPr>
        <w:t>1.0271</w:t>
      </w:r>
      <w:r>
        <w:rPr>
          <w:rFonts w:hint="eastAsia" w:ascii="仿宋" w:hAnsi="仿宋" w:eastAsia="仿宋"/>
          <w:color w:val="000000"/>
          <w:szCs w:val="21"/>
        </w:rPr>
        <w:t>，整体杠杆率</w:t>
      </w:r>
      <w:r>
        <w:rPr>
          <w:rFonts w:hint="eastAsia" w:ascii="仿宋" w:hAnsi="仿宋" w:eastAsia="仿宋"/>
          <w:color w:val="000000"/>
          <w:szCs w:val="21"/>
          <w:lang w:val="en-US" w:eastAsia="zh-CN"/>
        </w:rPr>
        <w:t>100</w:t>
      </w:r>
      <w:r>
        <w:rPr>
          <w:rFonts w:hint="eastAsia" w:ascii="仿宋" w:hAnsi="仿宋" w:eastAsia="仿宋"/>
          <w:color w:val="000000"/>
          <w:szCs w:val="21"/>
        </w:rPr>
        <w:t>%左右。</w:t>
      </w:r>
    </w:p>
    <w:p>
      <w:pPr>
        <w:spacing w:before="156" w:beforeLines="50" w:line="360" w:lineRule="exact"/>
        <w:rPr>
          <w:rFonts w:ascii="仿宋" w:hAnsi="仿宋" w:eastAsia="仿宋"/>
          <w:b/>
          <w:color w:val="000000"/>
        </w:rPr>
      </w:pPr>
      <w:r>
        <w:rPr>
          <w:rFonts w:ascii="仿宋" w:hAnsi="仿宋" w:eastAsia="仿宋"/>
          <w:b/>
          <w:color w:val="000000"/>
        </w:rPr>
        <w:t xml:space="preserve">4.2 </w:t>
      </w:r>
      <w:r>
        <w:rPr>
          <w:rFonts w:hint="eastAsia" w:ascii="仿宋" w:hAnsi="仿宋" w:eastAsia="仿宋"/>
          <w:b/>
          <w:color w:val="000000"/>
        </w:rPr>
        <w:t>报告期内产品的业绩表现</w:t>
      </w:r>
    </w:p>
    <w:p>
      <w:pPr>
        <w:spacing w:before="156" w:beforeLines="50" w:line="360" w:lineRule="exact"/>
        <w:ind w:firstLine="420" w:firstLineChars="200"/>
        <w:rPr>
          <w:rFonts w:ascii="仿宋" w:hAnsi="仿宋" w:eastAsia="仿宋"/>
          <w:color w:val="000000"/>
          <w:szCs w:val="21"/>
        </w:rPr>
      </w:pPr>
      <w:r>
        <w:rPr>
          <w:rFonts w:ascii="仿宋" w:hAnsi="仿宋" w:eastAsia="仿宋"/>
          <w:color w:val="000000"/>
          <w:szCs w:val="21"/>
        </w:rPr>
        <w:t>在报告期内</w:t>
      </w:r>
      <w:r>
        <w:rPr>
          <w:rFonts w:hint="eastAsia" w:ascii="仿宋" w:hAnsi="仿宋" w:eastAsia="仿宋"/>
          <w:color w:val="000000"/>
          <w:szCs w:val="21"/>
        </w:rPr>
        <w:t>，</w:t>
      </w:r>
      <w:r>
        <w:rPr>
          <w:rFonts w:ascii="仿宋" w:hAnsi="仿宋" w:eastAsia="仿宋"/>
          <w:color w:val="000000"/>
          <w:szCs w:val="21"/>
        </w:rPr>
        <w:t>产品份额净值增长率为</w:t>
      </w:r>
      <w:r>
        <w:rPr>
          <w:rFonts w:hint="eastAsia" w:ascii="仿宋" w:hAnsi="仿宋" w:eastAsia="仿宋" w:cs="仿宋"/>
          <w:i w:val="0"/>
          <w:color w:val="000000"/>
          <w:kern w:val="0"/>
          <w:sz w:val="22"/>
          <w:szCs w:val="22"/>
          <w:u w:val="none"/>
          <w:lang w:val="en-US" w:eastAsia="zh-CN" w:bidi="ar"/>
        </w:rPr>
        <w:t>0.58</w:t>
      </w:r>
      <w:r>
        <w:rPr>
          <w:rFonts w:ascii="仿宋" w:hAnsi="仿宋" w:eastAsia="仿宋"/>
          <w:color w:val="000000"/>
          <w:szCs w:val="21"/>
        </w:rPr>
        <w:t>%</w:t>
      </w:r>
      <w:r>
        <w:rPr>
          <w:rFonts w:hint="eastAsia" w:ascii="仿宋" w:hAnsi="仿宋" w:eastAsia="仿宋"/>
          <w:color w:val="000000"/>
          <w:szCs w:val="21"/>
        </w:rPr>
        <w:t>。</w:t>
      </w:r>
      <w:r>
        <w:rPr>
          <w:rFonts w:ascii="仿宋" w:hAnsi="仿宋" w:eastAsia="仿宋"/>
          <w:color w:val="000000"/>
          <w:szCs w:val="21"/>
        </w:rPr>
        <w:t>报告期内</w:t>
      </w:r>
      <w:r>
        <w:rPr>
          <w:rFonts w:hint="eastAsia" w:ascii="仿宋" w:hAnsi="仿宋" w:eastAsia="仿宋"/>
          <w:color w:val="000000"/>
          <w:szCs w:val="21"/>
        </w:rPr>
        <w:t>，</w:t>
      </w:r>
      <w:r>
        <w:rPr>
          <w:rFonts w:ascii="仿宋" w:hAnsi="仿宋" w:eastAsia="仿宋"/>
          <w:color w:val="000000"/>
          <w:szCs w:val="21"/>
        </w:rPr>
        <w:t>本期产品配置债券价格整体波动不大</w:t>
      </w:r>
      <w:r>
        <w:rPr>
          <w:rFonts w:hint="eastAsia" w:ascii="仿宋" w:hAnsi="仿宋" w:eastAsia="仿宋"/>
          <w:color w:val="000000"/>
          <w:szCs w:val="21"/>
        </w:rPr>
        <w:t>，</w:t>
      </w:r>
      <w:r>
        <w:rPr>
          <w:rFonts w:ascii="仿宋" w:hAnsi="仿宋" w:eastAsia="仿宋"/>
          <w:color w:val="000000"/>
          <w:szCs w:val="21"/>
        </w:rPr>
        <w:t>在可控范围内</w:t>
      </w:r>
      <w:r>
        <w:rPr>
          <w:rFonts w:hint="eastAsia" w:ascii="仿宋" w:hAnsi="仿宋" w:eastAsia="仿宋"/>
          <w:color w:val="000000"/>
          <w:szCs w:val="21"/>
        </w:rPr>
        <w:t>。</w:t>
      </w:r>
    </w:p>
    <w:p>
      <w:pPr>
        <w:spacing w:before="156" w:beforeLines="50" w:line="360" w:lineRule="exact"/>
        <w:rPr>
          <w:rFonts w:ascii="仿宋" w:hAnsi="仿宋" w:eastAsia="仿宋"/>
        </w:rPr>
      </w:pPr>
    </w:p>
    <w:p>
      <w:pPr>
        <w:spacing w:before="156" w:beforeLines="50" w:line="360" w:lineRule="exact"/>
        <w:rPr>
          <w:rFonts w:hint="eastAsia" w:ascii="仿宋" w:hAnsi="仿宋" w:eastAsia="仿宋"/>
          <w:b/>
          <w:color w:val="000000"/>
        </w:rPr>
      </w:pPr>
      <w:r>
        <w:rPr>
          <w:rFonts w:ascii="仿宋" w:hAnsi="仿宋" w:eastAsia="仿宋"/>
          <w:b/>
          <w:color w:val="000000"/>
        </w:rPr>
        <w:t>4.3</w:t>
      </w:r>
      <w:r>
        <w:rPr>
          <w:rFonts w:hint="eastAsia" w:ascii="仿宋" w:hAnsi="仿宋" w:eastAsia="仿宋"/>
          <w:b/>
          <w:color w:val="000000"/>
        </w:rPr>
        <w:t>报告期内产品主要投资风险</w:t>
      </w:r>
    </w:p>
    <w:p>
      <w:pPr>
        <w:spacing w:before="156" w:beforeLines="50" w:line="360" w:lineRule="exact"/>
        <w:ind w:firstLine="420" w:firstLineChars="200"/>
        <w:rPr>
          <w:rFonts w:ascii="仿宋" w:hAnsi="仿宋" w:eastAsia="仿宋"/>
          <w:color w:val="000000"/>
          <w:szCs w:val="21"/>
        </w:rPr>
      </w:pPr>
      <w:r>
        <w:rPr>
          <w:rFonts w:hint="eastAsia" w:ascii="仿宋" w:hAnsi="仿宋" w:eastAsia="仿宋"/>
          <w:color w:val="000000"/>
          <w:szCs w:val="21"/>
        </w:rPr>
        <w:t>产品的投资品种价格受经济因素、政治因素、投资心理和交易制度等各种因素影响引起波动，导致收益水平变化产生风险。主要包括：政策风险、经济周期风险、利率风险、信用风险、再投资风险等。</w:t>
      </w:r>
    </w:p>
    <w:p>
      <w:pPr>
        <w:spacing w:before="156" w:beforeLines="50" w:after="156" w:afterLines="50" w:line="360" w:lineRule="auto"/>
        <w:jc w:val="center"/>
        <w:rPr>
          <w:rFonts w:ascii="宋体" w:hAnsi="宋体" w:eastAsia="宋体"/>
          <w:b/>
          <w:sz w:val="24"/>
          <w:szCs w:val="24"/>
        </w:rPr>
      </w:pPr>
    </w:p>
    <w:p>
      <w:pPr>
        <w:spacing w:before="156" w:beforeLines="50" w:after="156" w:afterLines="50" w:line="360" w:lineRule="auto"/>
        <w:jc w:val="center"/>
      </w:pPr>
      <w:r>
        <w:rPr>
          <w:rFonts w:hint="eastAsia" w:ascii="宋体" w:hAnsi="宋体" w:eastAsia="宋体"/>
          <w:b/>
          <w:sz w:val="24"/>
          <w:szCs w:val="24"/>
        </w:rPr>
        <w:t>§</w:t>
      </w:r>
      <w:r>
        <w:rPr>
          <w:rFonts w:ascii="宋体" w:hAnsi="宋体" w:eastAsia="宋体"/>
          <w:b/>
          <w:sz w:val="24"/>
          <w:szCs w:val="24"/>
        </w:rPr>
        <w:t>5</w:t>
      </w:r>
      <w:r>
        <w:rPr>
          <w:rFonts w:hint="eastAsia" w:ascii="宋体" w:hAnsi="宋体" w:eastAsia="宋体"/>
          <w:b/>
          <w:sz w:val="24"/>
          <w:szCs w:val="24"/>
        </w:rPr>
        <w:t xml:space="preserve"> 投资组合报告</w:t>
      </w:r>
    </w:p>
    <w:p>
      <w:pPr>
        <w:spacing w:before="156" w:beforeLines="50" w:after="156" w:afterLines="50" w:line="360" w:lineRule="auto"/>
        <w:rPr>
          <w:rFonts w:ascii="仿宋" w:hAnsi="仿宋" w:eastAsia="仿宋"/>
          <w:b/>
        </w:rPr>
      </w:pPr>
      <w:r>
        <w:rPr>
          <w:rFonts w:ascii="仿宋" w:hAnsi="仿宋" w:eastAsia="仿宋"/>
          <w:b/>
        </w:rPr>
        <w:t>5.</w:t>
      </w:r>
      <w:r>
        <w:rPr>
          <w:rFonts w:hint="eastAsia" w:ascii="仿宋" w:hAnsi="仿宋" w:eastAsia="仿宋"/>
          <w:b/>
        </w:rPr>
        <w:t>1期末直接前十项持仓资产情况</w:t>
      </w:r>
    </w:p>
    <w:tbl>
      <w:tblPr>
        <w:tblStyle w:val="10"/>
        <w:tblW w:w="9192" w:type="dxa"/>
        <w:tblInd w:w="1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 w:type="dxa"/>
          <w:bottom w:w="0" w:type="dxa"/>
          <w:right w:w="10" w:type="dxa"/>
        </w:tblCellMar>
      </w:tblPr>
      <w:tblGrid>
        <w:gridCol w:w="592"/>
        <w:gridCol w:w="4349"/>
        <w:gridCol w:w="2138"/>
        <w:gridCol w:w="2113"/>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805" w:hRule="atLeast"/>
        </w:trPr>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序号</w:t>
            </w:r>
          </w:p>
        </w:tc>
        <w:tc>
          <w:tcPr>
            <w:tcW w:w="4349"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项目</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金额(元)</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占理财计划总资产的比例(%)</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szCs w:val="21"/>
                <w:lang w:val="en-US" w:eastAsia="zh-CN"/>
              </w:rPr>
            </w:pPr>
            <w:r>
              <w:rPr>
                <w:rFonts w:hint="eastAsia" w:ascii="仿宋" w:hAnsi="仿宋" w:eastAsia="仿宋"/>
                <w:szCs w:val="21"/>
                <w:lang w:val="en-US" w:eastAsia="zh-CN"/>
              </w:rPr>
              <w:t>1</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000000"/>
                <w:kern w:val="0"/>
                <w:sz w:val="21"/>
                <w:szCs w:val="21"/>
                <w:u w:val="none"/>
                <w:lang w:val="en-US" w:eastAsia="zh-CN" w:bidi="ar"/>
              </w:rPr>
              <w:t>方正富邦稳健2号计划</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000000"/>
                <w:kern w:val="0"/>
                <w:sz w:val="21"/>
                <w:szCs w:val="21"/>
                <w:u w:val="none"/>
                <w:lang w:val="en-US" w:eastAsia="zh-CN" w:bidi="ar"/>
              </w:rPr>
              <w:t>17,466,885.78</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000000"/>
                <w:kern w:val="0"/>
                <w:sz w:val="21"/>
                <w:szCs w:val="21"/>
                <w:u w:val="none"/>
                <w:lang w:val="en-US" w:eastAsia="zh-CN" w:bidi="ar"/>
              </w:rPr>
              <w:t xml:space="preserve">100.00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szCs w:val="21"/>
                <w:lang w:eastAsia="zh-CN"/>
              </w:rPr>
            </w:pP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000000"/>
                <w:kern w:val="0"/>
                <w:sz w:val="21"/>
                <w:szCs w:val="21"/>
                <w:u w:val="none"/>
                <w:lang w:val="en-US" w:eastAsia="zh-CN" w:bidi="ar"/>
              </w:rPr>
              <w:t>合计</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000000"/>
                <w:kern w:val="0"/>
                <w:sz w:val="21"/>
                <w:szCs w:val="21"/>
                <w:u w:val="none"/>
                <w:lang w:val="en-US" w:eastAsia="zh-CN" w:bidi="ar"/>
              </w:rPr>
              <w:t>17,466,885.78</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eastAsia="zh-CN"/>
              </w:rPr>
            </w:pPr>
            <w:r>
              <w:rPr>
                <w:rFonts w:hint="eastAsia" w:ascii="仿宋" w:hAnsi="仿宋" w:eastAsia="仿宋" w:cs="仿宋"/>
                <w:i w:val="0"/>
                <w:color w:val="000000"/>
                <w:kern w:val="0"/>
                <w:sz w:val="21"/>
                <w:szCs w:val="21"/>
                <w:u w:val="none"/>
                <w:lang w:val="en-US" w:eastAsia="zh-CN" w:bidi="ar"/>
              </w:rPr>
              <w:t>100</w:t>
            </w:r>
          </w:p>
        </w:tc>
      </w:tr>
    </w:tbl>
    <w:p>
      <w:pPr>
        <w:spacing w:before="156" w:beforeLines="50" w:after="156" w:afterLines="50" w:line="360" w:lineRule="auto"/>
        <w:rPr>
          <w:rFonts w:ascii="仿宋" w:hAnsi="仿宋" w:eastAsia="仿宋"/>
          <w:b/>
        </w:rPr>
      </w:pPr>
      <w:r>
        <w:rPr>
          <w:rFonts w:ascii="仿宋" w:hAnsi="仿宋" w:eastAsia="仿宋"/>
        </w:rPr>
        <w:tab/>
      </w:r>
      <w:r>
        <w:rPr>
          <w:rFonts w:hint="eastAsia" w:ascii="仿宋" w:hAnsi="仿宋" w:eastAsia="仿宋"/>
        </w:rPr>
        <w:t>注：由于四舍五入原因，各分项占资产总值的比例之和与合计可能存在尾差。</w:t>
      </w:r>
    </w:p>
    <w:p>
      <w:pPr>
        <w:spacing w:before="156" w:beforeLines="50" w:after="156" w:afterLines="50" w:line="360" w:lineRule="auto"/>
        <w:rPr>
          <w:rFonts w:ascii="仿宋" w:hAnsi="仿宋" w:eastAsia="仿宋"/>
          <w:b/>
        </w:rPr>
      </w:pPr>
      <w:r>
        <w:rPr>
          <w:rFonts w:ascii="仿宋" w:hAnsi="仿宋" w:eastAsia="仿宋"/>
          <w:b/>
        </w:rPr>
        <w:t>5.</w:t>
      </w:r>
      <w:r>
        <w:rPr>
          <w:rFonts w:hint="eastAsia" w:ascii="仿宋" w:hAnsi="仿宋" w:eastAsia="仿宋"/>
          <w:b/>
        </w:rPr>
        <w:t>2期末理财产品资产组合情况</w:t>
      </w:r>
    </w:p>
    <w:p>
      <w:pPr>
        <w:spacing w:before="156" w:beforeLines="50" w:after="156" w:afterLines="50" w:line="360" w:lineRule="auto"/>
        <w:rPr>
          <w:rFonts w:ascii="仿宋" w:hAnsi="仿宋" w:eastAsia="仿宋"/>
        </w:rPr>
      </w:pPr>
      <w:r>
        <w:rPr>
          <w:rFonts w:ascii="仿宋" w:hAnsi="仿宋" w:eastAsia="仿宋"/>
        </w:rPr>
        <w:t>5.</w:t>
      </w:r>
      <w:r>
        <w:rPr>
          <w:rFonts w:hint="eastAsia" w:ascii="仿宋" w:hAnsi="仿宋" w:eastAsia="仿宋"/>
        </w:rPr>
        <w:t>2</w:t>
      </w:r>
      <w:r>
        <w:rPr>
          <w:rFonts w:ascii="仿宋" w:hAnsi="仿宋" w:eastAsia="仿宋"/>
        </w:rPr>
        <w:t>.1</w:t>
      </w:r>
      <w:r>
        <w:rPr>
          <w:rFonts w:hint="eastAsia" w:ascii="仿宋" w:hAnsi="仿宋" w:eastAsia="仿宋"/>
        </w:rPr>
        <w:t>期末理财产品直接投资资产组合情况</w:t>
      </w:r>
    </w:p>
    <w:tbl>
      <w:tblPr>
        <w:tblStyle w:val="10"/>
        <w:tblW w:w="9192" w:type="dxa"/>
        <w:tblInd w:w="1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 w:type="dxa"/>
          <w:bottom w:w="0" w:type="dxa"/>
          <w:right w:w="10" w:type="dxa"/>
        </w:tblCellMar>
      </w:tblPr>
      <w:tblGrid>
        <w:gridCol w:w="592"/>
        <w:gridCol w:w="4349"/>
        <w:gridCol w:w="2138"/>
        <w:gridCol w:w="2113"/>
      </w:tblGrid>
      <w:tr>
        <w:tblPrEx>
          <w:tblCellMar>
            <w:top w:w="0" w:type="dxa"/>
            <w:left w:w="10" w:type="dxa"/>
            <w:bottom w:w="0" w:type="dxa"/>
            <w:right w:w="10" w:type="dxa"/>
          </w:tblCellMar>
        </w:tblPrEx>
        <w:trPr>
          <w:trHeight w:val="988" w:hRule="atLeast"/>
        </w:trPr>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序号</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项目</w:t>
            </w:r>
          </w:p>
        </w:tc>
        <w:tc>
          <w:tcPr>
            <w:tcW w:w="2138"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金额(元)</w:t>
            </w:r>
          </w:p>
        </w:tc>
        <w:tc>
          <w:tcPr>
            <w:tcW w:w="2113"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占理财计划总资产的比例(%)</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421" w:hRule="atLeast"/>
        </w:trPr>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1</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固定收益投资</w:t>
            </w:r>
          </w:p>
        </w:tc>
        <w:tc>
          <w:tcPr>
            <w:tcW w:w="2138" w:type="dxa"/>
            <w:tcBorders>
              <w:top w:val="single" w:color="auto" w:sz="2" w:space="0"/>
              <w:left w:val="single" w:color="auto" w:sz="2" w:space="0"/>
              <w:bottom w:val="single" w:color="auto" w:sz="2" w:space="0"/>
              <w:right w:val="single" w:color="auto" w:sz="2" w:space="0"/>
            </w:tcBorders>
            <w:vAlign w:val="center"/>
          </w:tcPr>
          <w:p>
            <w:pPr>
              <w:jc w:val="right"/>
              <w:rPr>
                <w:rFonts w:hint="eastAsia" w:ascii="仿宋" w:hAnsi="仿宋" w:eastAsia="仿宋"/>
                <w:color w:val="auto"/>
                <w:szCs w:val="21"/>
                <w:lang w:val="en-US" w:eastAsia="zh-CN"/>
              </w:rPr>
            </w:pPr>
          </w:p>
        </w:tc>
        <w:tc>
          <w:tcPr>
            <w:tcW w:w="2113" w:type="dxa"/>
            <w:tcBorders>
              <w:top w:val="single" w:color="auto" w:sz="2" w:space="0"/>
              <w:left w:val="single" w:color="auto" w:sz="2" w:space="0"/>
              <w:bottom w:val="single" w:color="auto" w:sz="2" w:space="0"/>
              <w:right w:val="single" w:color="auto" w:sz="2" w:space="0"/>
            </w:tcBorders>
            <w:vAlign w:val="center"/>
          </w:tcPr>
          <w:p>
            <w:pPr>
              <w:jc w:val="right"/>
              <w:rPr>
                <w:rFonts w:hint="eastAsia" w:ascii="仿宋" w:hAnsi="仿宋" w:eastAsia="仿宋"/>
                <w:color w:val="auto"/>
                <w:szCs w:val="21"/>
                <w:lang w:val="en-US" w:eastAsia="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272" w:hRule="atLeast"/>
        </w:trPr>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其中：债券</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color w:val="auto"/>
                <w:szCs w:val="21"/>
                <w:lang w:val="en-US" w:eastAsia="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　　　资产支持证券</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2</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权益投资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其中：股票</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3</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基金投资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4</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资管产品投资</w:t>
            </w:r>
          </w:p>
        </w:tc>
        <w:tc>
          <w:tcPr>
            <w:tcW w:w="2138" w:type="dxa"/>
            <w:tcBorders>
              <w:top w:val="single" w:color="auto" w:sz="2" w:space="0"/>
              <w:left w:val="single" w:color="auto" w:sz="2" w:space="0"/>
              <w:bottom w:val="single" w:color="auto" w:sz="2" w:space="0"/>
              <w:right w:val="single" w:color="auto" w:sz="2" w:space="0"/>
            </w:tcBorders>
            <w:vAlign w:val="bottom"/>
          </w:tcPr>
          <w:p>
            <w:pPr>
              <w:keepNext w:val="0"/>
              <w:keepLines w:val="0"/>
              <w:widowControl/>
              <w:suppressLineNumbers w:val="0"/>
              <w:jc w:val="center"/>
              <w:textAlignment w:val="bottom"/>
              <w:rPr>
                <w:rFonts w:hint="eastAsia" w:ascii="仿宋" w:hAnsi="仿宋" w:eastAsia="仿宋"/>
                <w:color w:val="auto"/>
                <w:szCs w:val="21"/>
                <w:lang w:eastAsia="zh-CN"/>
              </w:rPr>
            </w:pPr>
            <w:r>
              <w:rPr>
                <w:rFonts w:hint="eastAsia" w:ascii="仿宋" w:hAnsi="仿宋" w:eastAsia="仿宋" w:cs="仿宋"/>
                <w:i w:val="0"/>
                <w:color w:val="auto"/>
                <w:kern w:val="0"/>
                <w:sz w:val="21"/>
                <w:szCs w:val="21"/>
                <w:u w:val="none"/>
                <w:lang w:val="en-US" w:eastAsia="zh-CN" w:bidi="ar"/>
              </w:rPr>
              <w:t>17,466,885.78</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100.00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5</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金融衍生品投资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6</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买入返售金融资产</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其中：买断式回购的买入返售金融资产</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7</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银行存款和结算备付金合计</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165.31</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0.00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8</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其他资产</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hint="default" w:ascii="仿宋" w:hAnsi="仿宋" w:eastAsia="仿宋"/>
                <w:color w:val="auto"/>
                <w:szCs w:val="21"/>
                <w:lang w:val="en-US" w:eastAsia="zh-CN"/>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color w:val="auto"/>
                <w:szCs w:val="21"/>
                <w:lang w:val="en-US" w:eastAsia="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合计</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17,467,051.09</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100.00 </w:t>
            </w:r>
          </w:p>
        </w:tc>
      </w:tr>
    </w:tbl>
    <w:p>
      <w:pPr>
        <w:spacing w:before="156" w:beforeLines="50" w:after="156" w:afterLines="50" w:line="360" w:lineRule="auto"/>
        <w:rPr>
          <w:rFonts w:ascii="仿宋" w:hAnsi="仿宋" w:eastAsia="仿宋"/>
        </w:rPr>
      </w:pPr>
      <w:r>
        <w:rPr>
          <w:rFonts w:ascii="仿宋" w:hAnsi="仿宋" w:eastAsia="仿宋"/>
        </w:rPr>
        <w:tab/>
      </w:r>
      <w:r>
        <w:rPr>
          <w:rFonts w:hint="eastAsia" w:ascii="仿宋" w:hAnsi="仿宋" w:eastAsia="仿宋"/>
        </w:rPr>
        <w:t>注：由于四舍五入原因，各分项占资产总值的比例之和与合计可能存在尾差。</w:t>
      </w:r>
    </w:p>
    <w:p>
      <w:pPr>
        <w:spacing w:before="156" w:beforeLines="50" w:after="156" w:afterLines="50" w:line="360" w:lineRule="auto"/>
        <w:rPr>
          <w:rFonts w:ascii="仿宋" w:hAnsi="仿宋" w:eastAsia="仿宋"/>
        </w:rPr>
      </w:pPr>
      <w:r>
        <w:rPr>
          <w:rFonts w:ascii="仿宋" w:hAnsi="仿宋" w:eastAsia="仿宋"/>
        </w:rPr>
        <w:t>5.</w:t>
      </w:r>
      <w:r>
        <w:rPr>
          <w:rFonts w:hint="eastAsia" w:ascii="仿宋" w:hAnsi="仿宋" w:eastAsia="仿宋"/>
        </w:rPr>
        <w:t>2</w:t>
      </w:r>
      <w:r>
        <w:rPr>
          <w:rFonts w:ascii="仿宋" w:hAnsi="仿宋" w:eastAsia="仿宋"/>
        </w:rPr>
        <w:t>.2</w:t>
      </w:r>
      <w:r>
        <w:rPr>
          <w:rFonts w:hint="eastAsia" w:ascii="仿宋" w:hAnsi="仿宋" w:eastAsia="仿宋"/>
        </w:rPr>
        <w:t>期末理财产品间接投资资产组合情况</w:t>
      </w:r>
    </w:p>
    <w:tbl>
      <w:tblPr>
        <w:tblStyle w:val="10"/>
        <w:tblW w:w="9192" w:type="dxa"/>
        <w:tblInd w:w="1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 w:type="dxa"/>
          <w:bottom w:w="0" w:type="dxa"/>
          <w:right w:w="10" w:type="dxa"/>
        </w:tblCellMar>
      </w:tblPr>
      <w:tblGrid>
        <w:gridCol w:w="592"/>
        <w:gridCol w:w="4349"/>
        <w:gridCol w:w="2138"/>
        <w:gridCol w:w="2113"/>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序号</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项目</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金额(元)</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占理财计划总资产的比例(%)</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1</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固定收益投资</w:t>
            </w:r>
          </w:p>
        </w:tc>
        <w:tc>
          <w:tcPr>
            <w:tcW w:w="2138" w:type="dxa"/>
            <w:tcBorders>
              <w:top w:val="single" w:color="auto" w:sz="2" w:space="0"/>
              <w:left w:val="single" w:color="auto" w:sz="2" w:space="0"/>
              <w:bottom w:val="single" w:color="auto" w:sz="2" w:space="0"/>
              <w:right w:val="single" w:color="auto" w:sz="2" w:space="0"/>
            </w:tcBorders>
            <w:vAlign w:val="center"/>
          </w:tcPr>
          <w:p>
            <w:pPr>
              <w:jc w:val="right"/>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right"/>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color w:val="auto"/>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其中：债券</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16,370,533.50</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93.72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color w:val="auto"/>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　　　资产支持证券</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2</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权益投资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color w:val="auto"/>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其中：股票</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3</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基金投资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4</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资管产品投资</w:t>
            </w:r>
          </w:p>
        </w:tc>
        <w:tc>
          <w:tcPr>
            <w:tcW w:w="2138" w:type="dxa"/>
            <w:tcBorders>
              <w:top w:val="single" w:color="auto" w:sz="2" w:space="0"/>
              <w:left w:val="single" w:color="auto" w:sz="2" w:space="0"/>
              <w:bottom w:val="single" w:color="auto" w:sz="2" w:space="0"/>
              <w:right w:val="single" w:color="auto" w:sz="2" w:space="0"/>
            </w:tcBorders>
            <w:vAlign w:val="top"/>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top"/>
          </w:tcPr>
          <w:p>
            <w:pPr>
              <w:jc w:val="center"/>
              <w:rPr>
                <w:rFonts w:hint="eastAsia" w:ascii="仿宋" w:hAnsi="仿宋" w:eastAsia="仿宋"/>
                <w:color w:val="auto"/>
                <w:szCs w:val="21"/>
                <w:lang w:val="en-US" w:eastAsia="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5</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金融衍生品投资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6</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买入返售金融资产</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534,982.49</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3.06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color w:val="auto"/>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其中：买断式回购的买入返售金融资产</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7</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银行存款和结算备付金合计</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30,794.03</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0.18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8</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其他资产</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530,575.76</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3.04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合计</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17,466,885.78</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default"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100.00 </w:t>
            </w:r>
          </w:p>
        </w:tc>
      </w:tr>
    </w:tbl>
    <w:p>
      <w:pPr>
        <w:spacing w:before="156" w:beforeLines="50" w:after="156" w:afterLines="50" w:line="360" w:lineRule="auto"/>
        <w:rPr>
          <w:rFonts w:ascii="仿宋" w:hAnsi="仿宋" w:eastAsia="仿宋"/>
        </w:rPr>
      </w:pPr>
      <w:r>
        <w:rPr>
          <w:rFonts w:hint="eastAsia" w:ascii="仿宋" w:hAnsi="仿宋" w:eastAsia="仿宋"/>
        </w:rPr>
        <w:t>注：由于四舍五入原因，各分项占资产总值的比例之和与合计可能存在尾差。</w:t>
      </w:r>
    </w:p>
    <w:p>
      <w:pPr>
        <w:spacing w:before="156" w:beforeLines="50" w:after="156" w:afterLines="50" w:line="360" w:lineRule="auto"/>
        <w:rPr>
          <w:rFonts w:ascii="仿宋" w:hAnsi="仿宋" w:eastAsia="仿宋"/>
        </w:rPr>
      </w:pPr>
      <w:r>
        <w:rPr>
          <w:rFonts w:ascii="仿宋" w:hAnsi="仿宋" w:eastAsia="仿宋"/>
        </w:rPr>
        <w:t>5.2.</w:t>
      </w:r>
      <w:r>
        <w:rPr>
          <w:rFonts w:hint="eastAsia" w:ascii="仿宋" w:hAnsi="仿宋" w:eastAsia="仿宋"/>
        </w:rPr>
        <w:t>3期末间接投资前十项持仓资产情况</w:t>
      </w:r>
    </w:p>
    <w:tbl>
      <w:tblPr>
        <w:tblStyle w:val="10"/>
        <w:tblW w:w="9192" w:type="dxa"/>
        <w:tblInd w:w="1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 w:type="dxa"/>
          <w:bottom w:w="0" w:type="dxa"/>
          <w:right w:w="10" w:type="dxa"/>
        </w:tblCellMar>
      </w:tblPr>
      <w:tblGrid>
        <w:gridCol w:w="592"/>
        <w:gridCol w:w="4349"/>
        <w:gridCol w:w="2138"/>
        <w:gridCol w:w="2113"/>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805" w:hRule="atLeast"/>
        </w:trPr>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序号</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项目</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金额(元)</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占理财计划总资产的比例(%)</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1</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20遵资01</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1,205,559.21</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6.90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319" w:hRule="atLeast"/>
        </w:trPr>
        <w:tc>
          <w:tcPr>
            <w:tcW w:w="592" w:type="dxa"/>
            <w:vAlign w:val="top"/>
          </w:tcPr>
          <w:p>
            <w:pPr>
              <w:keepNext w:val="0"/>
              <w:keepLines w:val="0"/>
              <w:widowControl/>
              <w:suppressLineNumbers w:val="0"/>
              <w:jc w:val="center"/>
              <w:textAlignment w:val="top"/>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2</w:t>
            </w: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21安工01</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829,830.60</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4.75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3</w:t>
            </w: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22国开03</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670,602.53</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3.84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4</w:t>
            </w: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20凯文01</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655,051.44</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3.75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5</w:t>
            </w: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20铜开01</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560,600.90</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3.21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6</w:t>
            </w: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19贵电01</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535,261.80</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3.06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7</w:t>
            </w: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22附息国债18</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525,949.85</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3.01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8</w:t>
            </w: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20黔西南</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496,411.49</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2.84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9</w:t>
            </w: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21安投01</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479,001.81</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2.74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10</w:t>
            </w: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20贵安01</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469,047.65</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2.69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jc w:val="center"/>
              <w:rPr>
                <w:rFonts w:hint="eastAsia" w:ascii="仿宋" w:hAnsi="仿宋" w:eastAsia="仿宋"/>
                <w:color w:val="auto"/>
                <w:szCs w:val="21"/>
                <w:lang w:val="en-US" w:eastAsia="zh-CN"/>
              </w:rPr>
            </w:pP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合计</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6,427,317.26</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36.80 </w:t>
            </w:r>
          </w:p>
        </w:tc>
      </w:tr>
    </w:tbl>
    <w:p>
      <w:pPr>
        <w:spacing w:before="156" w:beforeLines="50" w:after="156" w:afterLines="50" w:line="360" w:lineRule="auto"/>
        <w:rPr>
          <w:rFonts w:ascii="仿宋" w:hAnsi="仿宋" w:eastAsia="仿宋"/>
        </w:rPr>
      </w:pPr>
      <w:r>
        <w:rPr>
          <w:rFonts w:ascii="仿宋" w:hAnsi="仿宋" w:eastAsia="仿宋"/>
        </w:rPr>
        <w:tab/>
      </w:r>
      <w:r>
        <w:rPr>
          <w:rFonts w:hint="eastAsia" w:ascii="仿宋" w:hAnsi="仿宋" w:eastAsia="仿宋"/>
        </w:rPr>
        <w:t>注：由于四舍五入原因，各分项占资产总值的比例之和与合计可能存在尾差。</w:t>
      </w:r>
    </w:p>
    <w:p>
      <w:pPr>
        <w:spacing w:before="156" w:beforeLines="50" w:after="156" w:afterLines="50" w:line="360" w:lineRule="auto"/>
        <w:rPr>
          <w:rFonts w:ascii="仿宋" w:hAnsi="仿宋" w:eastAsia="仿宋"/>
        </w:rPr>
      </w:pPr>
    </w:p>
    <w:p>
      <w:pPr>
        <w:spacing w:before="156" w:beforeLines="50" w:after="156" w:afterLines="50" w:line="360" w:lineRule="auto"/>
        <w:rPr>
          <w:rFonts w:ascii="仿宋" w:hAnsi="仿宋" w:eastAsia="仿宋"/>
          <w:b/>
        </w:rPr>
      </w:pPr>
      <w:r>
        <w:rPr>
          <w:rFonts w:ascii="仿宋" w:hAnsi="仿宋" w:eastAsia="仿宋"/>
          <w:b/>
        </w:rPr>
        <w:t>5.3</w:t>
      </w:r>
      <w:r>
        <w:rPr>
          <w:rFonts w:hint="eastAsia" w:ascii="仿宋" w:hAnsi="仿宋" w:eastAsia="仿宋"/>
          <w:b/>
        </w:rPr>
        <w:t>所投资非标准化债权类资产情况</w:t>
      </w:r>
    </w:p>
    <w:p>
      <w:pPr>
        <w:spacing w:before="156" w:beforeLines="50" w:after="936" w:afterLines="300" w:line="360" w:lineRule="exact"/>
        <w:rPr>
          <w:rFonts w:ascii="仿宋" w:hAnsi="仿宋" w:eastAsia="仿宋"/>
        </w:rPr>
      </w:pPr>
      <w:r>
        <w:rPr>
          <w:rFonts w:hint="eastAsia" w:ascii="仿宋" w:hAnsi="仿宋" w:eastAsia="仿宋"/>
          <w:color w:val="000000"/>
          <w:szCs w:val="21"/>
        </w:rPr>
        <w:tab/>
      </w:r>
      <w:r>
        <w:rPr>
          <w:rFonts w:hint="eastAsia" w:ascii="仿宋" w:hAnsi="仿宋" w:eastAsia="仿宋"/>
          <w:color w:val="000000"/>
          <w:szCs w:val="21"/>
        </w:rPr>
        <w:t xml:space="preserve">本报告期内，本理财计划未投资非标准化债权类资产。 </w:t>
      </w:r>
    </w:p>
    <w:p>
      <w:pPr>
        <w:spacing w:before="156" w:beforeLines="50" w:after="156" w:afterLines="50" w:line="360" w:lineRule="auto"/>
        <w:rPr>
          <w:rFonts w:hint="eastAsia" w:ascii="仿宋" w:hAnsi="仿宋" w:eastAsia="仿宋"/>
          <w:b/>
        </w:rPr>
      </w:pPr>
      <w:r>
        <w:rPr>
          <w:rFonts w:ascii="仿宋" w:hAnsi="仿宋" w:eastAsia="仿宋"/>
          <w:b/>
        </w:rPr>
        <w:t>5.4</w:t>
      </w:r>
      <w:r>
        <w:rPr>
          <w:rFonts w:hint="eastAsia" w:ascii="仿宋" w:hAnsi="仿宋" w:eastAsia="仿宋"/>
          <w:b/>
        </w:rPr>
        <w:t>投资组合的流动性风险分析</w:t>
      </w:r>
    </w:p>
    <w:p>
      <w:pPr>
        <w:spacing w:before="156" w:beforeLines="50" w:after="156" w:afterLines="50" w:line="360" w:lineRule="auto"/>
        <w:rPr>
          <w:rFonts w:hint="eastAsia" w:ascii="仿宋" w:hAnsi="仿宋" w:eastAsia="仿宋"/>
          <w:b/>
        </w:rPr>
      </w:pPr>
      <w:r>
        <w:rPr>
          <w:rFonts w:hint="eastAsia" w:ascii="仿宋" w:hAnsi="仿宋" w:eastAsia="仿宋"/>
          <w:b/>
        </w:rPr>
        <w:tab/>
      </w:r>
      <w:r>
        <w:rPr>
          <w:rFonts w:hint="eastAsia" w:ascii="仿宋" w:hAnsi="仿宋" w:eastAsia="仿宋"/>
          <w:color w:val="000000"/>
          <w:szCs w:val="21"/>
        </w:rPr>
        <w:t>流动性风险是指因市场内部和外部的原因造成计划需要货币资金支付退出资金、计划利益或计划费用时，如果资产管理计划财产不能迅速变成现金，或者变现时对资产管理计划财产净值产生冲击成本，都会影响资产管理计划运作和收益水平。尤其是在资产委托人进行大额退出申请时，如果资产管理计划变现能力差，可能会产生资产管理计划财产调整的困难，导致流动性风险，从而影响资产管理计划财产收益。报告期内持仓品种为银行间和交易所标准化债券，具有较好的流动性，可变现能力较强。同时组合杠杆率未超过1</w:t>
      </w:r>
      <w:r>
        <w:rPr>
          <w:rFonts w:hint="eastAsia" w:ascii="仿宋" w:hAnsi="仿宋" w:eastAsia="仿宋"/>
          <w:color w:val="000000"/>
          <w:szCs w:val="21"/>
          <w:lang w:val="en-US" w:eastAsia="zh-CN"/>
        </w:rPr>
        <w:t>00</w:t>
      </w:r>
      <w:r>
        <w:rPr>
          <w:rFonts w:hint="eastAsia" w:ascii="仿宋" w:hAnsi="仿宋" w:eastAsia="仿宋"/>
          <w:color w:val="000000"/>
          <w:szCs w:val="21"/>
        </w:rPr>
        <w:t>%，整体杠杆水平较低，风险可控。</w:t>
      </w:r>
    </w:p>
    <w:p>
      <w:pPr>
        <w:spacing w:before="156" w:beforeLines="50" w:after="156" w:afterLines="50" w:line="360" w:lineRule="auto"/>
      </w:pPr>
    </w:p>
    <w:p>
      <w:pPr>
        <w:spacing w:before="156" w:beforeLines="50" w:after="156" w:afterLines="50" w:line="360" w:lineRule="auto"/>
        <w:jc w:val="center"/>
      </w:pPr>
      <w:r>
        <w:rPr>
          <w:rFonts w:hint="eastAsia" w:ascii="宋体" w:hAnsi="宋体" w:eastAsia="宋体"/>
          <w:b/>
          <w:sz w:val="24"/>
          <w:szCs w:val="24"/>
        </w:rPr>
        <w:t>§</w:t>
      </w:r>
      <w:r>
        <w:rPr>
          <w:rFonts w:ascii="宋体" w:hAnsi="宋体" w:eastAsia="宋体"/>
          <w:b/>
          <w:sz w:val="24"/>
          <w:szCs w:val="24"/>
        </w:rPr>
        <w:t>6</w:t>
      </w:r>
      <w:r>
        <w:rPr>
          <w:rFonts w:hint="eastAsia" w:ascii="宋体" w:hAnsi="宋体" w:eastAsia="宋体"/>
          <w:b/>
          <w:sz w:val="24"/>
          <w:szCs w:val="24"/>
        </w:rPr>
        <w:t xml:space="preserve"> 关联交易情况说明</w:t>
      </w:r>
    </w:p>
    <w:p>
      <w:r>
        <w:rPr>
          <w:rFonts w:hint="eastAsia" w:ascii="宋体"/>
        </w:rPr>
        <w:tab/>
      </w:r>
      <w:r>
        <w:rPr>
          <w:rFonts w:hint="eastAsia" w:ascii="仿宋" w:hAnsi="仿宋" w:eastAsia="仿宋"/>
          <w:color w:val="000000"/>
          <w:szCs w:val="21"/>
        </w:rPr>
        <w:t>本报告期内，本计划未发生关联交易。</w:t>
      </w:r>
    </w:p>
    <w:p>
      <w:pPr>
        <w:spacing w:line="360" w:lineRule="auto"/>
      </w:pPr>
    </w:p>
    <w:p>
      <w:pPr>
        <w:spacing w:before="156" w:beforeLines="50" w:after="156" w:afterLines="50" w:line="360" w:lineRule="auto"/>
        <w:jc w:val="center"/>
      </w:pPr>
      <w:r>
        <w:rPr>
          <w:rFonts w:hint="eastAsia" w:ascii="宋体" w:hAnsi="宋体" w:eastAsia="宋体"/>
          <w:b/>
          <w:sz w:val="24"/>
          <w:szCs w:val="24"/>
        </w:rPr>
        <w:t>§</w:t>
      </w:r>
      <w:r>
        <w:rPr>
          <w:rFonts w:ascii="宋体" w:hAnsi="宋体" w:eastAsia="宋体"/>
          <w:b/>
          <w:sz w:val="24"/>
          <w:szCs w:val="24"/>
        </w:rPr>
        <w:t>7</w:t>
      </w:r>
      <w:r>
        <w:rPr>
          <w:rFonts w:hint="eastAsia" w:ascii="宋体" w:hAnsi="宋体" w:eastAsia="宋体"/>
          <w:b/>
          <w:sz w:val="24"/>
          <w:szCs w:val="24"/>
        </w:rPr>
        <w:t xml:space="preserve"> 影响投资者决策的其他重要信息</w:t>
      </w:r>
    </w:p>
    <w:p>
      <w:pPr>
        <w:rPr>
          <w:rFonts w:hint="eastAsia" w:ascii="仿宋" w:hAnsi="仿宋" w:eastAsia="仿宋"/>
          <w:color w:val="000000"/>
          <w:szCs w:val="21"/>
        </w:rPr>
      </w:pPr>
      <w:r>
        <w:rPr>
          <w:rFonts w:hint="eastAsia" w:ascii="仿宋" w:hAnsi="仿宋" w:eastAsia="仿宋"/>
          <w:color w:val="000000"/>
          <w:szCs w:val="21"/>
        </w:rPr>
        <w:t>7.1 影响投资者决策的其他重要信息</w:t>
      </w:r>
    </w:p>
    <w:p>
      <w:pPr>
        <w:rPr>
          <w:rFonts w:hint="eastAsia" w:ascii="仿宋" w:hAnsi="仿宋" w:eastAsia="仿宋"/>
          <w:color w:val="000000"/>
          <w:szCs w:val="21"/>
        </w:rPr>
      </w:pPr>
      <w:r>
        <w:rPr>
          <w:rFonts w:hint="eastAsia" w:ascii="仿宋" w:hAnsi="仿宋" w:eastAsia="仿宋"/>
          <w:color w:val="000000"/>
          <w:szCs w:val="21"/>
        </w:rPr>
        <w:t>无。</w:t>
      </w:r>
    </w:p>
    <w:p>
      <w:pPr>
        <w:rPr>
          <w:rFonts w:hint="eastAsia" w:ascii="仿宋" w:hAnsi="仿宋" w:eastAsia="仿宋"/>
          <w:color w:val="000000"/>
          <w:szCs w:val="21"/>
        </w:rPr>
      </w:pPr>
    </w:p>
    <w:p>
      <w:pPr>
        <w:rPr>
          <w:rFonts w:hint="eastAsia" w:ascii="仿宋" w:hAnsi="仿宋" w:eastAsia="仿宋"/>
          <w:color w:val="000000"/>
          <w:szCs w:val="21"/>
        </w:rPr>
      </w:pPr>
      <w:r>
        <w:rPr>
          <w:rFonts w:hint="eastAsia" w:ascii="仿宋" w:hAnsi="仿宋" w:eastAsia="仿宋"/>
          <w:color w:val="000000"/>
          <w:szCs w:val="21"/>
        </w:rPr>
        <w:t>7.2其他事项。</w:t>
      </w:r>
    </w:p>
    <w:p>
      <w:pPr>
        <w:rPr>
          <w:rFonts w:hint="eastAsia" w:ascii="仿宋" w:hAnsi="仿宋" w:eastAsia="仿宋"/>
          <w:color w:val="000000"/>
          <w:szCs w:val="21"/>
        </w:rPr>
      </w:pPr>
      <w:r>
        <w:rPr>
          <w:rFonts w:hint="eastAsia" w:ascii="仿宋" w:hAnsi="仿宋" w:eastAsia="仿宋"/>
          <w:color w:val="000000"/>
          <w:szCs w:val="21"/>
        </w:rPr>
        <w:t>无。</w:t>
      </w:r>
    </w:p>
    <w:p>
      <w:pPr>
        <w:rPr>
          <w:rFonts w:hint="eastAsia" w:ascii="仿宋" w:hAnsi="仿宋" w:eastAsia="仿宋"/>
          <w:color w:val="000000"/>
          <w:szCs w:val="21"/>
        </w:rPr>
      </w:pPr>
    </w:p>
    <w:p>
      <w:pPr>
        <w:rPr>
          <w:rFonts w:hint="eastAsia" w:ascii="仿宋" w:hAnsi="仿宋" w:eastAsia="仿宋"/>
          <w:color w:val="000000"/>
          <w:szCs w:val="21"/>
          <w:lang w:eastAsia="zh-CN"/>
        </w:rPr>
      </w:pPr>
      <w:r>
        <w:rPr>
          <w:rFonts w:hint="eastAsia" w:ascii="仿宋" w:hAnsi="仿宋" w:eastAsia="仿宋"/>
          <w:color w:val="000000"/>
          <w:szCs w:val="21"/>
        </w:rPr>
        <w:t>查阅方式网站：http://www.gynsh.com咨询电话：0851-</w:t>
      </w:r>
      <w:r>
        <w:rPr>
          <w:rFonts w:hint="eastAsia" w:ascii="仿宋" w:hAnsi="仿宋" w:eastAsia="仿宋"/>
          <w:color w:val="000000"/>
          <w:szCs w:val="21"/>
          <w:lang w:eastAsia="zh-CN"/>
        </w:rPr>
        <w:t>88115057</w:t>
      </w:r>
    </w:p>
    <w:p>
      <w:pPr>
        <w:rPr>
          <w:rFonts w:hint="eastAsia" w:ascii="仿宋" w:hAnsi="仿宋" w:eastAsia="仿宋"/>
          <w:color w:val="000000"/>
          <w:szCs w:val="21"/>
        </w:rPr>
      </w:pPr>
    </w:p>
    <w:p>
      <w:pPr>
        <w:rPr>
          <w:rFonts w:hint="eastAsia" w:ascii="仿宋" w:hAnsi="仿宋" w:eastAsia="仿宋"/>
          <w:color w:val="000000"/>
          <w:szCs w:val="21"/>
        </w:rPr>
      </w:pPr>
    </w:p>
    <w:p>
      <w:pPr>
        <w:rPr>
          <w:rFonts w:hint="eastAsia" w:ascii="仿宋" w:hAnsi="仿宋" w:eastAsia="仿宋"/>
          <w:color w:val="000000"/>
          <w:szCs w:val="21"/>
        </w:rPr>
      </w:pPr>
    </w:p>
    <w:p>
      <w:pPr>
        <w:jc w:val="right"/>
        <w:rPr>
          <w:rFonts w:hint="eastAsia" w:ascii="仿宋" w:hAnsi="仿宋" w:eastAsia="仿宋"/>
          <w:color w:val="000000"/>
          <w:szCs w:val="21"/>
        </w:rPr>
      </w:pPr>
      <w:r>
        <w:rPr>
          <w:rFonts w:hint="eastAsia" w:ascii="仿宋" w:hAnsi="仿宋" w:eastAsia="仿宋"/>
          <w:color w:val="000000"/>
          <w:szCs w:val="21"/>
        </w:rPr>
        <w:t xml:space="preserve">贵阳农村商业银行股份有限公司 </w:t>
      </w:r>
    </w:p>
    <w:p>
      <w:pPr>
        <w:jc w:val="right"/>
        <w:rPr>
          <w:rFonts w:hint="eastAsia" w:ascii="仿宋" w:hAnsi="仿宋" w:eastAsia="仿宋"/>
          <w:color w:val="000000"/>
          <w:szCs w:val="21"/>
        </w:rPr>
      </w:pPr>
      <w:r>
        <w:rPr>
          <w:rFonts w:hint="eastAsia" w:ascii="仿宋" w:hAnsi="仿宋" w:eastAsia="仿宋"/>
          <w:color w:val="000000"/>
          <w:szCs w:val="21"/>
        </w:rPr>
        <w:t>202</w:t>
      </w:r>
      <w:r>
        <w:rPr>
          <w:rFonts w:hint="eastAsia" w:ascii="仿宋" w:hAnsi="仿宋" w:eastAsia="仿宋"/>
          <w:color w:val="000000"/>
          <w:szCs w:val="21"/>
          <w:lang w:val="en-US" w:eastAsia="zh-CN"/>
        </w:rPr>
        <w:t>3</w:t>
      </w:r>
      <w:r>
        <w:rPr>
          <w:rFonts w:hint="eastAsia" w:ascii="仿宋" w:hAnsi="仿宋" w:eastAsia="仿宋"/>
          <w:color w:val="000000"/>
          <w:szCs w:val="21"/>
        </w:rPr>
        <w:t>年</w:t>
      </w:r>
      <w:r>
        <w:rPr>
          <w:rFonts w:hint="eastAsia" w:ascii="仿宋" w:hAnsi="仿宋" w:eastAsia="仿宋"/>
          <w:color w:val="000000"/>
          <w:szCs w:val="21"/>
          <w:lang w:val="en-US" w:eastAsia="zh-CN"/>
        </w:rPr>
        <w:t>01</w:t>
      </w:r>
      <w:r>
        <w:rPr>
          <w:rFonts w:hint="eastAsia" w:ascii="仿宋" w:hAnsi="仿宋" w:eastAsia="仿宋"/>
          <w:color w:val="000000"/>
          <w:szCs w:val="21"/>
        </w:rPr>
        <w:t>月</w:t>
      </w:r>
      <w:r>
        <w:rPr>
          <w:rFonts w:hint="eastAsia" w:ascii="仿宋" w:hAnsi="仿宋" w:eastAsia="仿宋"/>
          <w:color w:val="000000"/>
          <w:szCs w:val="21"/>
          <w:lang w:val="en-US" w:eastAsia="zh-CN"/>
        </w:rPr>
        <w:t>15</w:t>
      </w:r>
      <w:r>
        <w:rPr>
          <w:rFonts w:hint="eastAsia" w:ascii="仿宋" w:hAnsi="仿宋" w:eastAsia="仿宋"/>
          <w:color w:val="000000"/>
          <w:szCs w:val="21"/>
        </w:rPr>
        <w:t>日</w:t>
      </w:r>
    </w:p>
    <w:p>
      <w:pPr>
        <w:spacing w:line="360" w:lineRule="auto"/>
        <w:jc w:val="right"/>
      </w:pPr>
      <w:bookmarkStart w:id="2" w:name="_GoBack"/>
      <w:bookmarkEnd w:id="2"/>
    </w:p>
    <w:sectPr>
      <w:head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w:pict>
        <v:shape id="PowerPlusWaterMarkObject24930" o:spid="_x0000_s2049" o:spt="136" type="#_x0000_t136" style="position:absolute;left:0pt;height:105.85pt;width:481.4pt;mso-position-horizontal:center;mso-position-horizontal-relative:margin;mso-position-vertical:center;mso-position-vertical-relative:margin;rotation:-2949120f;z-index:-251657216;mso-width-relative:page;mso-height-relative:page;" fillcolor="#C0C0C0" filled="t" stroked="f" coordsize="21600,21600" adj="10800">
          <v:path/>
          <v:fill on="t" opacity="32768f" focussize="0,0"/>
          <v:stroke on="f"/>
          <v:imagedata o:title=""/>
          <o:lock v:ext="edit" aspectratio="t"/>
          <v:textpath on="t" fitshape="t" fitpath="t" trim="t" xscale="f" string="贵阳农商银行" style="font-family:微软雅黑;font-size:36pt;v-same-letter-heights:f;v-text-align:center;"/>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bordersDoNotSurroundHeader w:val="0"/>
  <w:bordersDoNotSurroundFooter w:val="0"/>
  <w:documentProtection w:edit="readOnly" w:enforcement="1" w:cryptProviderType="rsaFull" w:cryptAlgorithmClass="hash" w:cryptAlgorithmType="typeAny" w:cryptAlgorithmSid="4" w:cryptSpinCount="0" w:hash="CAB3KNr8PwjFXSeubiCGYdXqDIw=" w:salt="uNuqi1/wdfqQiWZBih8Uzw=="/>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BreakWrappedTables/>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2"/>
  </w:compat>
  <w:docVars>
    <w:docVar w:name="__Grammarly_42____i" w:val="H4sIAAAAAAAEAKtWckksSQxILCpxzi/NK1GyMqwFAAEhoTITAAAA"/>
    <w:docVar w:name="__Grammarly_42___1" w:val="H4sIAAAAAAAEAKtWcslP9kxRslIyNDYyNDU1tzQ0sTS1MDOwNLBQ0lEKTi0uzszPAykwqQUAmMDUSiwAAAA="/>
  </w:docVars>
  <w:rsids>
    <w:rsidRoot w:val="00172A27"/>
    <w:rsid w:val="0002343D"/>
    <w:rsid w:val="00091C41"/>
    <w:rsid w:val="000D0AFD"/>
    <w:rsid w:val="001F3981"/>
    <w:rsid w:val="002173B4"/>
    <w:rsid w:val="002271D8"/>
    <w:rsid w:val="002335B9"/>
    <w:rsid w:val="00284894"/>
    <w:rsid w:val="002868DE"/>
    <w:rsid w:val="00332BF6"/>
    <w:rsid w:val="00383097"/>
    <w:rsid w:val="00383F8D"/>
    <w:rsid w:val="003962BF"/>
    <w:rsid w:val="003B1CFB"/>
    <w:rsid w:val="0040185E"/>
    <w:rsid w:val="004249DF"/>
    <w:rsid w:val="00425A8D"/>
    <w:rsid w:val="00494EE4"/>
    <w:rsid w:val="004F7D07"/>
    <w:rsid w:val="005006CE"/>
    <w:rsid w:val="0050305E"/>
    <w:rsid w:val="005F62A5"/>
    <w:rsid w:val="00675054"/>
    <w:rsid w:val="00680BEA"/>
    <w:rsid w:val="007901B6"/>
    <w:rsid w:val="007B4D26"/>
    <w:rsid w:val="007D5CDC"/>
    <w:rsid w:val="00830069"/>
    <w:rsid w:val="00854720"/>
    <w:rsid w:val="0086330B"/>
    <w:rsid w:val="00877FC5"/>
    <w:rsid w:val="0088229F"/>
    <w:rsid w:val="00895911"/>
    <w:rsid w:val="008F796E"/>
    <w:rsid w:val="009A3C83"/>
    <w:rsid w:val="009B2149"/>
    <w:rsid w:val="00A16A26"/>
    <w:rsid w:val="00A2478C"/>
    <w:rsid w:val="00A503C0"/>
    <w:rsid w:val="00A51B27"/>
    <w:rsid w:val="00B60E75"/>
    <w:rsid w:val="00B92A2E"/>
    <w:rsid w:val="00CA12EC"/>
    <w:rsid w:val="00CC4F48"/>
    <w:rsid w:val="00CF0E20"/>
    <w:rsid w:val="00D84094"/>
    <w:rsid w:val="00DD4936"/>
    <w:rsid w:val="00E93CE4"/>
    <w:rsid w:val="00F00CEE"/>
    <w:rsid w:val="00FD2835"/>
    <w:rsid w:val="00FE0EB8"/>
    <w:rsid w:val="00FE6999"/>
    <w:rsid w:val="01486A92"/>
    <w:rsid w:val="074F5870"/>
    <w:rsid w:val="077D1837"/>
    <w:rsid w:val="07C07188"/>
    <w:rsid w:val="08F1545E"/>
    <w:rsid w:val="09A13CBC"/>
    <w:rsid w:val="0C1169C9"/>
    <w:rsid w:val="10687770"/>
    <w:rsid w:val="109E69E3"/>
    <w:rsid w:val="134F5BC1"/>
    <w:rsid w:val="14A17047"/>
    <w:rsid w:val="14E74041"/>
    <w:rsid w:val="153D2966"/>
    <w:rsid w:val="160A0CEE"/>
    <w:rsid w:val="188B46A5"/>
    <w:rsid w:val="195F6954"/>
    <w:rsid w:val="1C311D75"/>
    <w:rsid w:val="1EE8002E"/>
    <w:rsid w:val="29650479"/>
    <w:rsid w:val="2AA204DB"/>
    <w:rsid w:val="2E344397"/>
    <w:rsid w:val="2F5C56FB"/>
    <w:rsid w:val="2FCD2C4F"/>
    <w:rsid w:val="371A037A"/>
    <w:rsid w:val="38721494"/>
    <w:rsid w:val="394F4B22"/>
    <w:rsid w:val="3D305393"/>
    <w:rsid w:val="3DDD594D"/>
    <w:rsid w:val="3F524561"/>
    <w:rsid w:val="4218718A"/>
    <w:rsid w:val="46776F3C"/>
    <w:rsid w:val="46927C98"/>
    <w:rsid w:val="4AED4BA6"/>
    <w:rsid w:val="4D1108E2"/>
    <w:rsid w:val="4DE14626"/>
    <w:rsid w:val="4EE378EB"/>
    <w:rsid w:val="50D46540"/>
    <w:rsid w:val="54604F6D"/>
    <w:rsid w:val="57FE5038"/>
    <w:rsid w:val="58DF7C14"/>
    <w:rsid w:val="59B351FE"/>
    <w:rsid w:val="5E660FCE"/>
    <w:rsid w:val="621E37DC"/>
    <w:rsid w:val="64F431AF"/>
    <w:rsid w:val="65720557"/>
    <w:rsid w:val="66FC1FF8"/>
    <w:rsid w:val="673B4350"/>
    <w:rsid w:val="67855A67"/>
    <w:rsid w:val="67DF73FA"/>
    <w:rsid w:val="68DE45F3"/>
    <w:rsid w:val="692A41F0"/>
    <w:rsid w:val="6C7928C7"/>
    <w:rsid w:val="6F3D2CEC"/>
    <w:rsid w:val="705B15C4"/>
    <w:rsid w:val="721D77CA"/>
    <w:rsid w:val="72B166F7"/>
    <w:rsid w:val="75EF522D"/>
    <w:rsid w:val="78F3167F"/>
    <w:rsid w:val="79652BE9"/>
    <w:rsid w:val="7A7831B9"/>
    <w:rsid w:val="7C281476"/>
    <w:rsid w:val="7D372BE3"/>
    <w:rsid w:val="7E452E03"/>
    <w:rsid w:val="7F0021B4"/>
    <w:rsid w:val="7F00458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qFormat="1" w:uiPriority="0" w:semiHidden="0" w:name="annotation text"/>
    <w:lsdException w:qFormat="1" w:uiPriority="99" w:semiHidden="0" w:name="header"/>
    <w:lsdException w:qFormat="1"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qFormat="1" w:uiPriority="0"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semiHidden="0" w:name="Default Paragraph Font"/>
    <w:lsdException w:qFormat="1" w:uiPriority="1"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semiHidden="0" w:name="Normal Table"/>
    <w:lsdException w:qFormat="1"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99"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15"/>
    <w:qFormat/>
    <w:uiPriority w:val="0"/>
    <w:pPr>
      <w:keepNext/>
      <w:keepLines/>
      <w:spacing w:before="340" w:after="330" w:line="576" w:lineRule="auto"/>
      <w:outlineLvl w:val="0"/>
    </w:pPr>
    <w:rPr>
      <w:b/>
      <w:kern w:val="44"/>
      <w:sz w:val="44"/>
    </w:rPr>
  </w:style>
  <w:style w:type="paragraph" w:styleId="3">
    <w:name w:val="heading 2"/>
    <w:basedOn w:val="1"/>
    <w:next w:val="1"/>
    <w:link w:val="16"/>
    <w:unhideWhenUsed/>
    <w:qFormat/>
    <w:uiPriority w:val="0"/>
    <w:pPr>
      <w:keepNext/>
      <w:keepLines/>
      <w:spacing w:before="260" w:after="260" w:line="408" w:lineRule="auto"/>
      <w:outlineLvl w:val="1"/>
    </w:pPr>
    <w:rPr>
      <w:rFonts w:ascii="Arial" w:hAnsi="Arial" w:eastAsia="黑体"/>
      <w:b/>
      <w:sz w:val="32"/>
    </w:rPr>
  </w:style>
  <w:style w:type="character" w:default="1" w:styleId="12">
    <w:name w:val="Default Paragraph Font"/>
    <w:unhideWhenUsed/>
    <w:qFormat/>
    <w:uiPriority w:val="1"/>
  </w:style>
  <w:style w:type="table" w:default="1" w:styleId="10">
    <w:name w:val="Normal Table"/>
    <w:unhideWhenUsed/>
    <w:qFormat/>
    <w:uiPriority w:val="99"/>
    <w:tblPr>
      <w:tblCellMar>
        <w:top w:w="0" w:type="dxa"/>
        <w:left w:w="108" w:type="dxa"/>
        <w:bottom w:w="0" w:type="dxa"/>
        <w:right w:w="108" w:type="dxa"/>
      </w:tblCellMar>
    </w:tblPr>
  </w:style>
  <w:style w:type="paragraph" w:styleId="4">
    <w:name w:val="annotation text"/>
    <w:basedOn w:val="1"/>
    <w:link w:val="17"/>
    <w:unhideWhenUsed/>
    <w:qFormat/>
    <w:uiPriority w:val="0"/>
    <w:pPr>
      <w:jc w:val="left"/>
    </w:pPr>
    <w:rPr>
      <w:rFonts w:ascii="Calibri" w:hAnsi="Calibri" w:cs="黑体"/>
      <w:szCs w:val="22"/>
    </w:rPr>
  </w:style>
  <w:style w:type="paragraph" w:styleId="5">
    <w:name w:val="Body Text"/>
    <w:basedOn w:val="1"/>
    <w:link w:val="20"/>
    <w:unhideWhenUsed/>
    <w:qFormat/>
    <w:uiPriority w:val="1"/>
    <w:pPr>
      <w:spacing w:before="19"/>
      <w:ind w:left="479"/>
      <w:jc w:val="left"/>
    </w:pPr>
    <w:rPr>
      <w:rFonts w:ascii="宋体" w:hAnsi="宋体" w:cs="黑体"/>
      <w:kern w:val="0"/>
      <w:sz w:val="18"/>
      <w:szCs w:val="18"/>
      <w:lang w:eastAsia="en-US"/>
    </w:rPr>
  </w:style>
  <w:style w:type="paragraph" w:styleId="6">
    <w:name w:val="Balloon Text"/>
    <w:basedOn w:val="1"/>
    <w:link w:val="22"/>
    <w:unhideWhenUsed/>
    <w:qFormat/>
    <w:uiPriority w:val="99"/>
    <w:rPr>
      <w:sz w:val="18"/>
      <w:szCs w:val="18"/>
    </w:rPr>
  </w:style>
  <w:style w:type="paragraph" w:styleId="7">
    <w:name w:val="footer"/>
    <w:basedOn w:val="1"/>
    <w:link w:val="19"/>
    <w:unhideWhenUsed/>
    <w:qFormat/>
    <w:uiPriority w:val="99"/>
    <w:pPr>
      <w:tabs>
        <w:tab w:val="center" w:pos="4153"/>
        <w:tab w:val="right" w:pos="8306"/>
      </w:tabs>
      <w:snapToGrid w:val="0"/>
      <w:jc w:val="left"/>
    </w:pPr>
    <w:rPr>
      <w:rFonts w:ascii="Calibri" w:hAnsi="Calibri" w:eastAsia="宋体" w:cs="黑体"/>
      <w:sz w:val="18"/>
      <w:szCs w:val="18"/>
    </w:rPr>
  </w:style>
  <w:style w:type="paragraph" w:styleId="8">
    <w:name w:val="header"/>
    <w:basedOn w:val="1"/>
    <w:link w:val="18"/>
    <w:unhideWhenUsed/>
    <w:qFormat/>
    <w:uiPriority w:val="99"/>
    <w:pPr>
      <w:pBdr>
        <w:bottom w:val="single" w:color="auto" w:sz="6" w:space="1"/>
      </w:pBdr>
      <w:tabs>
        <w:tab w:val="center" w:pos="4153"/>
        <w:tab w:val="right" w:pos="8306"/>
      </w:tabs>
      <w:snapToGrid w:val="0"/>
      <w:jc w:val="center"/>
    </w:pPr>
    <w:rPr>
      <w:rFonts w:ascii="Calibri" w:hAnsi="Calibri" w:eastAsia="宋体" w:cs="黑体"/>
      <w:sz w:val="18"/>
      <w:szCs w:val="18"/>
    </w:rPr>
  </w:style>
  <w:style w:type="paragraph" w:styleId="9">
    <w:name w:val="annotation subject"/>
    <w:basedOn w:val="4"/>
    <w:next w:val="4"/>
    <w:link w:val="21"/>
    <w:unhideWhenUsed/>
    <w:qFormat/>
    <w:uiPriority w:val="99"/>
    <w:rPr>
      <w:rFonts w:ascii="Times New Roman" w:hAnsi="Times New Roman" w:cs="Times New Roman"/>
      <w:b/>
      <w:bCs/>
      <w:szCs w:val="20"/>
    </w:rPr>
  </w:style>
  <w:style w:type="table" w:styleId="11">
    <w:name w:val="Table Grid"/>
    <w:basedOn w:val="10"/>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13">
    <w:name w:val="annotation reference"/>
    <w:unhideWhenUsed/>
    <w:qFormat/>
    <w:uiPriority w:val="0"/>
    <w:rPr>
      <w:sz w:val="21"/>
    </w:rPr>
  </w:style>
  <w:style w:type="paragraph" w:customStyle="1" w:styleId="14">
    <w:name w:val="Table Paragraph"/>
    <w:basedOn w:val="1"/>
    <w:qFormat/>
    <w:uiPriority w:val="1"/>
    <w:pPr>
      <w:jc w:val="left"/>
    </w:pPr>
    <w:rPr>
      <w:kern w:val="0"/>
      <w:sz w:val="22"/>
      <w:lang w:eastAsia="en-US"/>
    </w:rPr>
  </w:style>
  <w:style w:type="character" w:customStyle="1" w:styleId="15">
    <w:name w:val="标题 1 字符"/>
    <w:basedOn w:val="12"/>
    <w:link w:val="2"/>
    <w:qFormat/>
    <w:locked/>
    <w:uiPriority w:val="0"/>
    <w:rPr>
      <w:rFonts w:hint="default" w:ascii="Times New Roman" w:hAnsi="Times New Roman" w:eastAsia="宋体" w:cs="Times New Roman"/>
      <w:b/>
      <w:kern w:val="44"/>
      <w:sz w:val="44"/>
      <w:szCs w:val="20"/>
    </w:rPr>
  </w:style>
  <w:style w:type="character" w:customStyle="1" w:styleId="16">
    <w:name w:val="标题 2 字符"/>
    <w:basedOn w:val="12"/>
    <w:link w:val="3"/>
    <w:semiHidden/>
    <w:qFormat/>
    <w:locked/>
    <w:uiPriority w:val="0"/>
    <w:rPr>
      <w:rFonts w:hint="default" w:ascii="Arial" w:hAnsi="Arial" w:eastAsia="黑体" w:cs="Times New Roman"/>
      <w:b/>
      <w:sz w:val="32"/>
      <w:szCs w:val="20"/>
    </w:rPr>
  </w:style>
  <w:style w:type="character" w:customStyle="1" w:styleId="17">
    <w:name w:val="批注文字 字符"/>
    <w:link w:val="4"/>
    <w:semiHidden/>
    <w:qFormat/>
    <w:locked/>
    <w:uiPriority w:val="0"/>
    <w:rPr>
      <w:rFonts w:hint="eastAsia" w:ascii="宋体" w:hAnsi="宋体" w:eastAsia="宋体"/>
    </w:rPr>
  </w:style>
  <w:style w:type="character" w:customStyle="1" w:styleId="18">
    <w:name w:val="页眉 字符"/>
    <w:basedOn w:val="12"/>
    <w:link w:val="8"/>
    <w:qFormat/>
    <w:locked/>
    <w:uiPriority w:val="99"/>
    <w:rPr>
      <w:sz w:val="18"/>
      <w:szCs w:val="18"/>
    </w:rPr>
  </w:style>
  <w:style w:type="character" w:customStyle="1" w:styleId="19">
    <w:name w:val="页脚 字符"/>
    <w:basedOn w:val="12"/>
    <w:link w:val="7"/>
    <w:qFormat/>
    <w:locked/>
    <w:uiPriority w:val="99"/>
    <w:rPr>
      <w:sz w:val="18"/>
      <w:szCs w:val="18"/>
    </w:rPr>
  </w:style>
  <w:style w:type="character" w:customStyle="1" w:styleId="20">
    <w:name w:val="正文文本 字符"/>
    <w:basedOn w:val="12"/>
    <w:link w:val="5"/>
    <w:semiHidden/>
    <w:qFormat/>
    <w:locked/>
    <w:uiPriority w:val="1"/>
    <w:rPr>
      <w:rFonts w:hint="eastAsia" w:ascii="宋体" w:hAnsi="宋体" w:eastAsia="宋体"/>
      <w:sz w:val="18"/>
      <w:szCs w:val="18"/>
      <w:lang w:eastAsia="en-US"/>
    </w:rPr>
  </w:style>
  <w:style w:type="character" w:customStyle="1" w:styleId="21">
    <w:name w:val="批注主题 字符"/>
    <w:basedOn w:val="17"/>
    <w:link w:val="9"/>
    <w:semiHidden/>
    <w:qFormat/>
    <w:locked/>
    <w:uiPriority w:val="99"/>
    <w:rPr>
      <w:rFonts w:hint="default" w:ascii="Times New Roman" w:hAnsi="Times New Roman" w:eastAsia="宋体" w:cs="Times New Roman"/>
      <w:b/>
      <w:bCs/>
      <w:kern w:val="2"/>
      <w:sz w:val="21"/>
    </w:rPr>
  </w:style>
  <w:style w:type="character" w:customStyle="1" w:styleId="22">
    <w:name w:val="批注框文本 字符"/>
    <w:basedOn w:val="12"/>
    <w:link w:val="6"/>
    <w:semiHidden/>
    <w:qFormat/>
    <w:locked/>
    <w:uiPriority w:val="99"/>
    <w:rPr>
      <w:rFonts w:hint="default" w:ascii="Times New Roman" w:hAnsi="Times New Roman" w:eastAsia="宋体" w:cs="Times New Roman"/>
      <w:sz w:val="18"/>
      <w:szCs w:val="18"/>
    </w:rPr>
  </w:style>
  <w:style w:type="character" w:customStyle="1" w:styleId="23">
    <w:name w:val="批注文字 Char1"/>
    <w:basedOn w:val="12"/>
    <w:semiHidden/>
    <w:qFormat/>
    <w:uiPriority w:val="99"/>
    <w:rPr>
      <w:rFonts w:hint="default" w:ascii="Times New Roman" w:hAnsi="Times New Roman" w:eastAsia="宋体" w:cs="Times New Roman"/>
      <w:szCs w:val="20"/>
    </w:rPr>
  </w:style>
  <w:style w:type="table" w:customStyle="1" w:styleId="24">
    <w:name w:val="Table Normal"/>
    <w:unhideWhenUsed/>
    <w:qFormat/>
    <w:uiPriority w:val="2"/>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chart" Target="charts/chart2.xml"/><Relationship Id="rId5" Type="http://schemas.openxmlformats.org/officeDocument/2006/relationships/chart" Target="charts/chart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oleObject" Target="file:///D:\&#20849;&#20139;\2022&#24180;&#32452;&#21512;\380319004956-&#31319;&#36149;&#38451;&#20892;&#21830;&#34892;&#29702;&#36130;&#20135;&#21697;EDD\&#25176;&#31649;\&#23450;&#26399;&#25253;&#21578;\&#36208;&#21183;&#22270;.xlsx" TargetMode="External"/></Relationships>
</file>

<file path=word/charts/_rels/chart2.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file:///D:\&#20849;&#20139;\2022&#24180;&#32452;&#21512;\380319004956-&#31319;&#36149;&#38451;&#20892;&#21830;&#34892;&#29702;&#36130;&#20135;&#21697;EDD\&#25176;&#31649;\&#23450;&#26399;&#25253;&#21578;\&#36208;&#21183;&#22270;.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spPr>
            <a:ln w="28575" cap="rnd">
              <a:solidFill>
                <a:schemeClr val="accent1"/>
              </a:solidFill>
              <a:round/>
            </a:ln>
            <a:effectLst/>
          </c:spPr>
          <c:marker>
            <c:symbol val="none"/>
          </c:marker>
          <c:dLbls>
            <c:delete val="1"/>
          </c:dLbls>
          <c:cat>
            <c:numRef>
              <c:f>'[走势图.xlsx]4季度 '!$A$1:$A$92</c:f>
              <c:numCache>
                <c:formatCode>yyyy/m/d</c:formatCode>
                <c:ptCount val="92"/>
                <c:pt idx="0" c:formatCode="yyyy/m/d">
                  <c:v>44835</c:v>
                </c:pt>
                <c:pt idx="1" c:formatCode="yyyy/m/d">
                  <c:v>44836</c:v>
                </c:pt>
                <c:pt idx="2" c:formatCode="yyyy/m/d">
                  <c:v>44837</c:v>
                </c:pt>
                <c:pt idx="3" c:formatCode="yyyy/m/d">
                  <c:v>44838</c:v>
                </c:pt>
                <c:pt idx="4" c:formatCode="yyyy/m/d">
                  <c:v>44839</c:v>
                </c:pt>
                <c:pt idx="5" c:formatCode="yyyy/m/d">
                  <c:v>44840</c:v>
                </c:pt>
                <c:pt idx="6" c:formatCode="yyyy/m/d">
                  <c:v>44841</c:v>
                </c:pt>
                <c:pt idx="7" c:formatCode="yyyy/m/d">
                  <c:v>44842</c:v>
                </c:pt>
                <c:pt idx="8" c:formatCode="yyyy/m/d">
                  <c:v>44843</c:v>
                </c:pt>
                <c:pt idx="9" c:formatCode="yyyy/m/d">
                  <c:v>44844</c:v>
                </c:pt>
                <c:pt idx="10" c:formatCode="yyyy/m/d">
                  <c:v>44845</c:v>
                </c:pt>
                <c:pt idx="11" c:formatCode="yyyy/m/d">
                  <c:v>44846</c:v>
                </c:pt>
                <c:pt idx="12" c:formatCode="yyyy/m/d">
                  <c:v>44847</c:v>
                </c:pt>
                <c:pt idx="13" c:formatCode="yyyy/m/d">
                  <c:v>44848</c:v>
                </c:pt>
                <c:pt idx="14" c:formatCode="yyyy/m/d">
                  <c:v>44849</c:v>
                </c:pt>
                <c:pt idx="15" c:formatCode="yyyy/m/d">
                  <c:v>44850</c:v>
                </c:pt>
                <c:pt idx="16" c:formatCode="yyyy/m/d">
                  <c:v>44851</c:v>
                </c:pt>
                <c:pt idx="17" c:formatCode="yyyy/m/d">
                  <c:v>44852</c:v>
                </c:pt>
                <c:pt idx="18" c:formatCode="yyyy/m/d">
                  <c:v>44853</c:v>
                </c:pt>
                <c:pt idx="19" c:formatCode="yyyy/m/d">
                  <c:v>44854</c:v>
                </c:pt>
                <c:pt idx="20" c:formatCode="yyyy/m/d">
                  <c:v>44855</c:v>
                </c:pt>
                <c:pt idx="21" c:formatCode="yyyy/m/d">
                  <c:v>44856</c:v>
                </c:pt>
                <c:pt idx="22" c:formatCode="yyyy/m/d">
                  <c:v>44857</c:v>
                </c:pt>
                <c:pt idx="23" c:formatCode="yyyy/m/d">
                  <c:v>44858</c:v>
                </c:pt>
                <c:pt idx="24" c:formatCode="yyyy/m/d">
                  <c:v>44859</c:v>
                </c:pt>
                <c:pt idx="25" c:formatCode="yyyy/m/d">
                  <c:v>44860</c:v>
                </c:pt>
                <c:pt idx="26" c:formatCode="yyyy/m/d">
                  <c:v>44861</c:v>
                </c:pt>
                <c:pt idx="27" c:formatCode="yyyy/m/d">
                  <c:v>44862</c:v>
                </c:pt>
                <c:pt idx="28" c:formatCode="yyyy/m/d">
                  <c:v>44863</c:v>
                </c:pt>
                <c:pt idx="29" c:formatCode="yyyy/m/d">
                  <c:v>44864</c:v>
                </c:pt>
                <c:pt idx="30" c:formatCode="yyyy/m/d">
                  <c:v>44865</c:v>
                </c:pt>
                <c:pt idx="31" c:formatCode="yyyy/m/d">
                  <c:v>44866</c:v>
                </c:pt>
                <c:pt idx="32" c:formatCode="yyyy/m/d">
                  <c:v>44867</c:v>
                </c:pt>
                <c:pt idx="33" c:formatCode="yyyy/m/d">
                  <c:v>44868</c:v>
                </c:pt>
                <c:pt idx="34" c:formatCode="yyyy/m/d">
                  <c:v>44869</c:v>
                </c:pt>
                <c:pt idx="35" c:formatCode="yyyy/m/d">
                  <c:v>44870</c:v>
                </c:pt>
                <c:pt idx="36" c:formatCode="yyyy/m/d">
                  <c:v>44871</c:v>
                </c:pt>
                <c:pt idx="37" c:formatCode="yyyy/m/d">
                  <c:v>44872</c:v>
                </c:pt>
                <c:pt idx="38" c:formatCode="yyyy/m/d">
                  <c:v>44873</c:v>
                </c:pt>
                <c:pt idx="39" c:formatCode="yyyy/m/d">
                  <c:v>44874</c:v>
                </c:pt>
                <c:pt idx="40" c:formatCode="yyyy/m/d">
                  <c:v>44875</c:v>
                </c:pt>
                <c:pt idx="41" c:formatCode="yyyy/m/d">
                  <c:v>44876</c:v>
                </c:pt>
                <c:pt idx="42" c:formatCode="yyyy/m/d">
                  <c:v>44877</c:v>
                </c:pt>
                <c:pt idx="43" c:formatCode="yyyy/m/d">
                  <c:v>44878</c:v>
                </c:pt>
                <c:pt idx="44" c:formatCode="yyyy/m/d">
                  <c:v>44879</c:v>
                </c:pt>
                <c:pt idx="45" c:formatCode="yyyy/m/d">
                  <c:v>44880</c:v>
                </c:pt>
                <c:pt idx="46" c:formatCode="yyyy/m/d">
                  <c:v>44881</c:v>
                </c:pt>
                <c:pt idx="47" c:formatCode="yyyy/m/d">
                  <c:v>44882</c:v>
                </c:pt>
                <c:pt idx="48" c:formatCode="yyyy/m/d">
                  <c:v>44883</c:v>
                </c:pt>
                <c:pt idx="49" c:formatCode="yyyy/m/d">
                  <c:v>44884</c:v>
                </c:pt>
                <c:pt idx="50" c:formatCode="yyyy/m/d">
                  <c:v>44885</c:v>
                </c:pt>
                <c:pt idx="51" c:formatCode="yyyy/m/d">
                  <c:v>44886</c:v>
                </c:pt>
                <c:pt idx="52" c:formatCode="yyyy/m/d">
                  <c:v>44887</c:v>
                </c:pt>
                <c:pt idx="53" c:formatCode="yyyy/m/d">
                  <c:v>44888</c:v>
                </c:pt>
                <c:pt idx="54" c:formatCode="yyyy/m/d">
                  <c:v>44889</c:v>
                </c:pt>
                <c:pt idx="55" c:formatCode="yyyy/m/d">
                  <c:v>44890</c:v>
                </c:pt>
                <c:pt idx="56" c:formatCode="yyyy/m/d">
                  <c:v>44891</c:v>
                </c:pt>
                <c:pt idx="57" c:formatCode="yyyy/m/d">
                  <c:v>44892</c:v>
                </c:pt>
                <c:pt idx="58" c:formatCode="yyyy/m/d">
                  <c:v>44893</c:v>
                </c:pt>
                <c:pt idx="59" c:formatCode="yyyy/m/d">
                  <c:v>44894</c:v>
                </c:pt>
                <c:pt idx="60" c:formatCode="yyyy/m/d">
                  <c:v>44895</c:v>
                </c:pt>
                <c:pt idx="61" c:formatCode="yyyy/m/d">
                  <c:v>44896</c:v>
                </c:pt>
                <c:pt idx="62" c:formatCode="yyyy/m/d">
                  <c:v>44897</c:v>
                </c:pt>
                <c:pt idx="63" c:formatCode="yyyy/m/d">
                  <c:v>44898</c:v>
                </c:pt>
                <c:pt idx="64" c:formatCode="yyyy/m/d">
                  <c:v>44899</c:v>
                </c:pt>
                <c:pt idx="65" c:formatCode="yyyy/m/d">
                  <c:v>44900</c:v>
                </c:pt>
                <c:pt idx="66" c:formatCode="yyyy/m/d">
                  <c:v>44901</c:v>
                </c:pt>
                <c:pt idx="67" c:formatCode="yyyy/m/d">
                  <c:v>44902</c:v>
                </c:pt>
                <c:pt idx="68" c:formatCode="yyyy/m/d">
                  <c:v>44903</c:v>
                </c:pt>
                <c:pt idx="69" c:formatCode="yyyy/m/d">
                  <c:v>44904</c:v>
                </c:pt>
                <c:pt idx="70" c:formatCode="yyyy/m/d">
                  <c:v>44905</c:v>
                </c:pt>
                <c:pt idx="71" c:formatCode="yyyy/m/d">
                  <c:v>44906</c:v>
                </c:pt>
                <c:pt idx="72" c:formatCode="yyyy/m/d">
                  <c:v>44907</c:v>
                </c:pt>
                <c:pt idx="73" c:formatCode="yyyy/m/d">
                  <c:v>44908</c:v>
                </c:pt>
                <c:pt idx="74" c:formatCode="yyyy/m/d">
                  <c:v>44909</c:v>
                </c:pt>
                <c:pt idx="75" c:formatCode="yyyy/m/d">
                  <c:v>44910</c:v>
                </c:pt>
                <c:pt idx="76" c:formatCode="yyyy/m/d">
                  <c:v>44911</c:v>
                </c:pt>
                <c:pt idx="77" c:formatCode="yyyy/m/d">
                  <c:v>44912</c:v>
                </c:pt>
                <c:pt idx="78" c:formatCode="yyyy/m/d">
                  <c:v>44913</c:v>
                </c:pt>
                <c:pt idx="79" c:formatCode="yyyy/m/d">
                  <c:v>44914</c:v>
                </c:pt>
                <c:pt idx="80" c:formatCode="yyyy/m/d">
                  <c:v>44915</c:v>
                </c:pt>
                <c:pt idx="81" c:formatCode="yyyy/m/d">
                  <c:v>44916</c:v>
                </c:pt>
                <c:pt idx="82" c:formatCode="yyyy/m/d">
                  <c:v>44917</c:v>
                </c:pt>
                <c:pt idx="83" c:formatCode="yyyy/m/d">
                  <c:v>44918</c:v>
                </c:pt>
                <c:pt idx="84" c:formatCode="yyyy/m/d">
                  <c:v>44919</c:v>
                </c:pt>
                <c:pt idx="85" c:formatCode="yyyy/m/d">
                  <c:v>44920</c:v>
                </c:pt>
                <c:pt idx="86" c:formatCode="yyyy/m/d">
                  <c:v>44921</c:v>
                </c:pt>
                <c:pt idx="87" c:formatCode="yyyy/m/d">
                  <c:v>44922</c:v>
                </c:pt>
                <c:pt idx="88" c:formatCode="yyyy/m/d">
                  <c:v>44923</c:v>
                </c:pt>
                <c:pt idx="89" c:formatCode="yyyy/m/d">
                  <c:v>44924</c:v>
                </c:pt>
                <c:pt idx="90" c:formatCode="yyyy/m/d">
                  <c:v>44925</c:v>
                </c:pt>
                <c:pt idx="91" c:formatCode="yyyy/m/d">
                  <c:v>44926</c:v>
                </c:pt>
              </c:numCache>
            </c:numRef>
          </c:cat>
          <c:val>
            <c:numRef>
              <c:f>'[走势图.xlsx]4季度 '!$B$1:$B$92</c:f>
              <c:numCache>
                <c:formatCode>General</c:formatCode>
                <c:ptCount val="92"/>
                <c:pt idx="0">
                  <c:v>1.0212</c:v>
                </c:pt>
                <c:pt idx="1">
                  <c:v>1.0212</c:v>
                </c:pt>
                <c:pt idx="2">
                  <c:v>1.0212</c:v>
                </c:pt>
                <c:pt idx="3">
                  <c:v>1.0212</c:v>
                </c:pt>
                <c:pt idx="4">
                  <c:v>1.0212</c:v>
                </c:pt>
                <c:pt idx="5">
                  <c:v>1.0212</c:v>
                </c:pt>
                <c:pt idx="6">
                  <c:v>1.0211</c:v>
                </c:pt>
                <c:pt idx="7">
                  <c:v>1.0211</c:v>
                </c:pt>
                <c:pt idx="8">
                  <c:v>1.0211</c:v>
                </c:pt>
                <c:pt idx="9">
                  <c:v>1.0237</c:v>
                </c:pt>
                <c:pt idx="10">
                  <c:v>1.0235</c:v>
                </c:pt>
                <c:pt idx="11">
                  <c:v>1.0237</c:v>
                </c:pt>
                <c:pt idx="12">
                  <c:v>1.024</c:v>
                </c:pt>
                <c:pt idx="13">
                  <c:v>1.0239</c:v>
                </c:pt>
                <c:pt idx="14">
                  <c:v>1.0239</c:v>
                </c:pt>
                <c:pt idx="15">
                  <c:v>1.0238</c:v>
                </c:pt>
                <c:pt idx="16">
                  <c:v>1.0246</c:v>
                </c:pt>
                <c:pt idx="17">
                  <c:v>1.0248</c:v>
                </c:pt>
                <c:pt idx="18">
                  <c:v>1.0252</c:v>
                </c:pt>
                <c:pt idx="19">
                  <c:v>1.0254</c:v>
                </c:pt>
                <c:pt idx="20">
                  <c:v>1.0256</c:v>
                </c:pt>
                <c:pt idx="21">
                  <c:v>1.0256</c:v>
                </c:pt>
                <c:pt idx="22">
                  <c:v>1.0256</c:v>
                </c:pt>
                <c:pt idx="23">
                  <c:v>1.0263</c:v>
                </c:pt>
                <c:pt idx="24">
                  <c:v>1.0263</c:v>
                </c:pt>
                <c:pt idx="25">
                  <c:v>1.0264</c:v>
                </c:pt>
                <c:pt idx="26">
                  <c:v>1.0267</c:v>
                </c:pt>
                <c:pt idx="27">
                  <c:v>1.027</c:v>
                </c:pt>
                <c:pt idx="28">
                  <c:v>1.027</c:v>
                </c:pt>
                <c:pt idx="29">
                  <c:v>1.0269</c:v>
                </c:pt>
                <c:pt idx="30">
                  <c:v>1.0277</c:v>
                </c:pt>
                <c:pt idx="31">
                  <c:v>1.0279</c:v>
                </c:pt>
                <c:pt idx="32">
                  <c:v>1.028</c:v>
                </c:pt>
                <c:pt idx="33">
                  <c:v>1.0282</c:v>
                </c:pt>
                <c:pt idx="34">
                  <c:v>1.0282</c:v>
                </c:pt>
                <c:pt idx="35">
                  <c:v>1.0282</c:v>
                </c:pt>
                <c:pt idx="36">
                  <c:v>1.0282</c:v>
                </c:pt>
                <c:pt idx="37">
                  <c:v>1.0287</c:v>
                </c:pt>
                <c:pt idx="38">
                  <c:v>1.0287</c:v>
                </c:pt>
                <c:pt idx="39">
                  <c:v>1.0273</c:v>
                </c:pt>
                <c:pt idx="40">
                  <c:v>1.0273</c:v>
                </c:pt>
                <c:pt idx="41">
                  <c:v>1.0269</c:v>
                </c:pt>
                <c:pt idx="42">
                  <c:v>1.0269</c:v>
                </c:pt>
                <c:pt idx="43">
                  <c:v>1.0269</c:v>
                </c:pt>
                <c:pt idx="44">
                  <c:v>1.0262</c:v>
                </c:pt>
                <c:pt idx="45">
                  <c:v>1.0258</c:v>
                </c:pt>
                <c:pt idx="46">
                  <c:v>1.025</c:v>
                </c:pt>
                <c:pt idx="47">
                  <c:v>1.0248</c:v>
                </c:pt>
                <c:pt idx="48">
                  <c:v>1.0244</c:v>
                </c:pt>
                <c:pt idx="49">
                  <c:v>1.0244</c:v>
                </c:pt>
                <c:pt idx="50">
                  <c:v>1.0244</c:v>
                </c:pt>
                <c:pt idx="51">
                  <c:v>1.025</c:v>
                </c:pt>
                <c:pt idx="52">
                  <c:v>1.0251</c:v>
                </c:pt>
                <c:pt idx="53">
                  <c:v>1.0254</c:v>
                </c:pt>
                <c:pt idx="54">
                  <c:v>1.0259</c:v>
                </c:pt>
                <c:pt idx="55">
                  <c:v>1.023</c:v>
                </c:pt>
                <c:pt idx="56">
                  <c:v>1.023</c:v>
                </c:pt>
                <c:pt idx="57">
                  <c:v>1.023</c:v>
                </c:pt>
                <c:pt idx="58">
                  <c:v>1.0234</c:v>
                </c:pt>
                <c:pt idx="59">
                  <c:v>1.0229</c:v>
                </c:pt>
                <c:pt idx="60">
                  <c:v>1.0225</c:v>
                </c:pt>
                <c:pt idx="61">
                  <c:v>1.0223</c:v>
                </c:pt>
                <c:pt idx="62">
                  <c:v>1.0222</c:v>
                </c:pt>
                <c:pt idx="63">
                  <c:v>1.0222</c:v>
                </c:pt>
                <c:pt idx="64">
                  <c:v>1.0222</c:v>
                </c:pt>
                <c:pt idx="65">
                  <c:v>1.0226</c:v>
                </c:pt>
                <c:pt idx="66">
                  <c:v>1.0223</c:v>
                </c:pt>
                <c:pt idx="67">
                  <c:v>1.0219</c:v>
                </c:pt>
                <c:pt idx="68">
                  <c:v>1.0215</c:v>
                </c:pt>
                <c:pt idx="69">
                  <c:v>1.0215</c:v>
                </c:pt>
                <c:pt idx="70">
                  <c:v>1.0215</c:v>
                </c:pt>
                <c:pt idx="71">
                  <c:v>1.0215</c:v>
                </c:pt>
                <c:pt idx="72">
                  <c:v>1.0218</c:v>
                </c:pt>
                <c:pt idx="73">
                  <c:v>1.0199</c:v>
                </c:pt>
                <c:pt idx="74">
                  <c:v>1.0195</c:v>
                </c:pt>
                <c:pt idx="75">
                  <c:v>1.02</c:v>
                </c:pt>
                <c:pt idx="76">
                  <c:v>1.0198</c:v>
                </c:pt>
                <c:pt idx="77">
                  <c:v>1.0198</c:v>
                </c:pt>
                <c:pt idx="78">
                  <c:v>1.0198</c:v>
                </c:pt>
                <c:pt idx="79">
                  <c:v>1.0239</c:v>
                </c:pt>
                <c:pt idx="80">
                  <c:v>1.0242</c:v>
                </c:pt>
                <c:pt idx="81">
                  <c:v>1.0242</c:v>
                </c:pt>
                <c:pt idx="82">
                  <c:v>1.0246</c:v>
                </c:pt>
                <c:pt idx="83">
                  <c:v>1.0252</c:v>
                </c:pt>
                <c:pt idx="84">
                  <c:v>1.0251</c:v>
                </c:pt>
                <c:pt idx="85">
                  <c:v>1.0251</c:v>
                </c:pt>
                <c:pt idx="86">
                  <c:v>1.0259</c:v>
                </c:pt>
                <c:pt idx="87">
                  <c:v>1.0259</c:v>
                </c:pt>
                <c:pt idx="88">
                  <c:v>1.0261</c:v>
                </c:pt>
                <c:pt idx="89">
                  <c:v>1.0265</c:v>
                </c:pt>
                <c:pt idx="90">
                  <c:v>1.027</c:v>
                </c:pt>
                <c:pt idx="91">
                  <c:v>1.0271</c:v>
                </c:pt>
              </c:numCache>
            </c:numRef>
          </c:val>
          <c:smooth val="0"/>
        </c:ser>
        <c:dLbls>
          <c:showLegendKey val="0"/>
          <c:showVal val="0"/>
          <c:showCatName val="0"/>
          <c:showSerName val="0"/>
          <c:showPercent val="0"/>
          <c:showBubbleSize val="0"/>
        </c:dLbls>
        <c:marker val="0"/>
        <c:smooth val="0"/>
        <c:axId val="938382389"/>
        <c:axId val="881164757"/>
      </c:lineChart>
      <c:dateAx>
        <c:axId val="938382389"/>
        <c:scaling>
          <c:orientation val="minMax"/>
        </c:scaling>
        <c:delete val="0"/>
        <c:axPos val="b"/>
        <c:majorTickMark val="out"/>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81164757"/>
        <c:crosses val="autoZero"/>
        <c:auto val="1"/>
        <c:lblOffset val="100"/>
        <c:baseTimeUnit val="days"/>
      </c:dateAx>
      <c:valAx>
        <c:axId val="881164757"/>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938382389"/>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份额净值增长率与同期业绩比较基准收益率变动比较走势图</a:t>
            </a:r>
          </a:p>
        </c:rich>
      </c:tx>
      <c:layout>
        <c:manualLayout>
          <c:xMode val="edge"/>
          <c:yMode val="edge"/>
          <c:x val="0.12"/>
          <c:y val="0.0383872613321674"/>
        </c:manualLayout>
      </c:layout>
      <c:overlay val="0"/>
      <c:spPr>
        <a:noFill/>
        <a:ln>
          <a:noFill/>
        </a:ln>
        <a:effectLst/>
      </c:spPr>
    </c:title>
    <c:autoTitleDeleted val="0"/>
    <c:plotArea>
      <c:layout/>
      <c:lineChart>
        <c:grouping val="standard"/>
        <c:varyColors val="0"/>
        <c:ser>
          <c:idx val="0"/>
          <c:order val="0"/>
          <c:tx>
            <c:strRef>
              <c:f>"份额净值增长率"</c:f>
              <c:strCache>
                <c:ptCount val="1"/>
                <c:pt idx="0">
                  <c:v>份额净值增长率</c:v>
                </c:pt>
              </c:strCache>
            </c:strRef>
          </c:tx>
          <c:spPr>
            <a:ln w="28575" cap="rnd">
              <a:solidFill>
                <a:schemeClr val="accent1"/>
              </a:solidFill>
              <a:round/>
            </a:ln>
            <a:effectLst/>
          </c:spPr>
          <c:marker>
            <c:symbol val="none"/>
          </c:marker>
          <c:dLbls>
            <c:delete val="1"/>
          </c:dLbls>
          <c:cat>
            <c:numRef>
              <c:f>'[走势图.xlsx]4季度 '!$A$1:$A$92</c:f>
              <c:numCache>
                <c:formatCode>yyyy/m/d</c:formatCode>
                <c:ptCount val="92"/>
                <c:pt idx="0" c:formatCode="yyyy/m/d">
                  <c:v>44835</c:v>
                </c:pt>
                <c:pt idx="1" c:formatCode="yyyy/m/d">
                  <c:v>44836</c:v>
                </c:pt>
                <c:pt idx="2" c:formatCode="yyyy/m/d">
                  <c:v>44837</c:v>
                </c:pt>
                <c:pt idx="3" c:formatCode="yyyy/m/d">
                  <c:v>44838</c:v>
                </c:pt>
                <c:pt idx="4" c:formatCode="yyyy/m/d">
                  <c:v>44839</c:v>
                </c:pt>
                <c:pt idx="5" c:formatCode="yyyy/m/d">
                  <c:v>44840</c:v>
                </c:pt>
                <c:pt idx="6" c:formatCode="yyyy/m/d">
                  <c:v>44841</c:v>
                </c:pt>
                <c:pt idx="7" c:formatCode="yyyy/m/d">
                  <c:v>44842</c:v>
                </c:pt>
                <c:pt idx="8" c:formatCode="yyyy/m/d">
                  <c:v>44843</c:v>
                </c:pt>
                <c:pt idx="9" c:formatCode="yyyy/m/d">
                  <c:v>44844</c:v>
                </c:pt>
                <c:pt idx="10" c:formatCode="yyyy/m/d">
                  <c:v>44845</c:v>
                </c:pt>
                <c:pt idx="11" c:formatCode="yyyy/m/d">
                  <c:v>44846</c:v>
                </c:pt>
                <c:pt idx="12" c:formatCode="yyyy/m/d">
                  <c:v>44847</c:v>
                </c:pt>
                <c:pt idx="13" c:formatCode="yyyy/m/d">
                  <c:v>44848</c:v>
                </c:pt>
                <c:pt idx="14" c:formatCode="yyyy/m/d">
                  <c:v>44849</c:v>
                </c:pt>
                <c:pt idx="15" c:formatCode="yyyy/m/d">
                  <c:v>44850</c:v>
                </c:pt>
                <c:pt idx="16" c:formatCode="yyyy/m/d">
                  <c:v>44851</c:v>
                </c:pt>
                <c:pt idx="17" c:formatCode="yyyy/m/d">
                  <c:v>44852</c:v>
                </c:pt>
                <c:pt idx="18" c:formatCode="yyyy/m/d">
                  <c:v>44853</c:v>
                </c:pt>
                <c:pt idx="19" c:formatCode="yyyy/m/d">
                  <c:v>44854</c:v>
                </c:pt>
                <c:pt idx="20" c:formatCode="yyyy/m/d">
                  <c:v>44855</c:v>
                </c:pt>
                <c:pt idx="21" c:formatCode="yyyy/m/d">
                  <c:v>44856</c:v>
                </c:pt>
                <c:pt idx="22" c:formatCode="yyyy/m/d">
                  <c:v>44857</c:v>
                </c:pt>
                <c:pt idx="23" c:formatCode="yyyy/m/d">
                  <c:v>44858</c:v>
                </c:pt>
                <c:pt idx="24" c:formatCode="yyyy/m/d">
                  <c:v>44859</c:v>
                </c:pt>
                <c:pt idx="25" c:formatCode="yyyy/m/d">
                  <c:v>44860</c:v>
                </c:pt>
                <c:pt idx="26" c:formatCode="yyyy/m/d">
                  <c:v>44861</c:v>
                </c:pt>
                <c:pt idx="27" c:formatCode="yyyy/m/d">
                  <c:v>44862</c:v>
                </c:pt>
                <c:pt idx="28" c:formatCode="yyyy/m/d">
                  <c:v>44863</c:v>
                </c:pt>
                <c:pt idx="29" c:formatCode="yyyy/m/d">
                  <c:v>44864</c:v>
                </c:pt>
                <c:pt idx="30" c:formatCode="yyyy/m/d">
                  <c:v>44865</c:v>
                </c:pt>
                <c:pt idx="31" c:formatCode="yyyy/m/d">
                  <c:v>44866</c:v>
                </c:pt>
                <c:pt idx="32" c:formatCode="yyyy/m/d">
                  <c:v>44867</c:v>
                </c:pt>
                <c:pt idx="33" c:formatCode="yyyy/m/d">
                  <c:v>44868</c:v>
                </c:pt>
                <c:pt idx="34" c:formatCode="yyyy/m/d">
                  <c:v>44869</c:v>
                </c:pt>
                <c:pt idx="35" c:formatCode="yyyy/m/d">
                  <c:v>44870</c:v>
                </c:pt>
                <c:pt idx="36" c:formatCode="yyyy/m/d">
                  <c:v>44871</c:v>
                </c:pt>
                <c:pt idx="37" c:formatCode="yyyy/m/d">
                  <c:v>44872</c:v>
                </c:pt>
                <c:pt idx="38" c:formatCode="yyyy/m/d">
                  <c:v>44873</c:v>
                </c:pt>
                <c:pt idx="39" c:formatCode="yyyy/m/d">
                  <c:v>44874</c:v>
                </c:pt>
                <c:pt idx="40" c:formatCode="yyyy/m/d">
                  <c:v>44875</c:v>
                </c:pt>
                <c:pt idx="41" c:formatCode="yyyy/m/d">
                  <c:v>44876</c:v>
                </c:pt>
                <c:pt idx="42" c:formatCode="yyyy/m/d">
                  <c:v>44877</c:v>
                </c:pt>
                <c:pt idx="43" c:formatCode="yyyy/m/d">
                  <c:v>44878</c:v>
                </c:pt>
                <c:pt idx="44" c:formatCode="yyyy/m/d">
                  <c:v>44879</c:v>
                </c:pt>
                <c:pt idx="45" c:formatCode="yyyy/m/d">
                  <c:v>44880</c:v>
                </c:pt>
                <c:pt idx="46" c:formatCode="yyyy/m/d">
                  <c:v>44881</c:v>
                </c:pt>
                <c:pt idx="47" c:formatCode="yyyy/m/d">
                  <c:v>44882</c:v>
                </c:pt>
                <c:pt idx="48" c:formatCode="yyyy/m/d">
                  <c:v>44883</c:v>
                </c:pt>
                <c:pt idx="49" c:formatCode="yyyy/m/d">
                  <c:v>44884</c:v>
                </c:pt>
                <c:pt idx="50" c:formatCode="yyyy/m/d">
                  <c:v>44885</c:v>
                </c:pt>
                <c:pt idx="51" c:formatCode="yyyy/m/d">
                  <c:v>44886</c:v>
                </c:pt>
                <c:pt idx="52" c:formatCode="yyyy/m/d">
                  <c:v>44887</c:v>
                </c:pt>
                <c:pt idx="53" c:formatCode="yyyy/m/d">
                  <c:v>44888</c:v>
                </c:pt>
                <c:pt idx="54" c:formatCode="yyyy/m/d">
                  <c:v>44889</c:v>
                </c:pt>
                <c:pt idx="55" c:formatCode="yyyy/m/d">
                  <c:v>44890</c:v>
                </c:pt>
                <c:pt idx="56" c:formatCode="yyyy/m/d">
                  <c:v>44891</c:v>
                </c:pt>
                <c:pt idx="57" c:formatCode="yyyy/m/d">
                  <c:v>44892</c:v>
                </c:pt>
                <c:pt idx="58" c:formatCode="yyyy/m/d">
                  <c:v>44893</c:v>
                </c:pt>
                <c:pt idx="59" c:formatCode="yyyy/m/d">
                  <c:v>44894</c:v>
                </c:pt>
                <c:pt idx="60" c:formatCode="yyyy/m/d">
                  <c:v>44895</c:v>
                </c:pt>
                <c:pt idx="61" c:formatCode="yyyy/m/d">
                  <c:v>44896</c:v>
                </c:pt>
                <c:pt idx="62" c:formatCode="yyyy/m/d">
                  <c:v>44897</c:v>
                </c:pt>
                <c:pt idx="63" c:formatCode="yyyy/m/d">
                  <c:v>44898</c:v>
                </c:pt>
                <c:pt idx="64" c:formatCode="yyyy/m/d">
                  <c:v>44899</c:v>
                </c:pt>
                <c:pt idx="65" c:formatCode="yyyy/m/d">
                  <c:v>44900</c:v>
                </c:pt>
                <c:pt idx="66" c:formatCode="yyyy/m/d">
                  <c:v>44901</c:v>
                </c:pt>
                <c:pt idx="67" c:formatCode="yyyy/m/d">
                  <c:v>44902</c:v>
                </c:pt>
                <c:pt idx="68" c:formatCode="yyyy/m/d">
                  <c:v>44903</c:v>
                </c:pt>
                <c:pt idx="69" c:formatCode="yyyy/m/d">
                  <c:v>44904</c:v>
                </c:pt>
                <c:pt idx="70" c:formatCode="yyyy/m/d">
                  <c:v>44905</c:v>
                </c:pt>
                <c:pt idx="71" c:formatCode="yyyy/m/d">
                  <c:v>44906</c:v>
                </c:pt>
                <c:pt idx="72" c:formatCode="yyyy/m/d">
                  <c:v>44907</c:v>
                </c:pt>
                <c:pt idx="73" c:formatCode="yyyy/m/d">
                  <c:v>44908</c:v>
                </c:pt>
                <c:pt idx="74" c:formatCode="yyyy/m/d">
                  <c:v>44909</c:v>
                </c:pt>
                <c:pt idx="75" c:formatCode="yyyy/m/d">
                  <c:v>44910</c:v>
                </c:pt>
                <c:pt idx="76" c:formatCode="yyyy/m/d">
                  <c:v>44911</c:v>
                </c:pt>
                <c:pt idx="77" c:formatCode="yyyy/m/d">
                  <c:v>44912</c:v>
                </c:pt>
                <c:pt idx="78" c:formatCode="yyyy/m/d">
                  <c:v>44913</c:v>
                </c:pt>
                <c:pt idx="79" c:formatCode="yyyy/m/d">
                  <c:v>44914</c:v>
                </c:pt>
                <c:pt idx="80" c:formatCode="yyyy/m/d">
                  <c:v>44915</c:v>
                </c:pt>
                <c:pt idx="81" c:formatCode="yyyy/m/d">
                  <c:v>44916</c:v>
                </c:pt>
                <c:pt idx="82" c:formatCode="yyyy/m/d">
                  <c:v>44917</c:v>
                </c:pt>
                <c:pt idx="83" c:formatCode="yyyy/m/d">
                  <c:v>44918</c:v>
                </c:pt>
                <c:pt idx="84" c:formatCode="yyyy/m/d">
                  <c:v>44919</c:v>
                </c:pt>
                <c:pt idx="85" c:formatCode="yyyy/m/d">
                  <c:v>44920</c:v>
                </c:pt>
                <c:pt idx="86" c:formatCode="yyyy/m/d">
                  <c:v>44921</c:v>
                </c:pt>
                <c:pt idx="87" c:formatCode="yyyy/m/d">
                  <c:v>44922</c:v>
                </c:pt>
                <c:pt idx="88" c:formatCode="yyyy/m/d">
                  <c:v>44923</c:v>
                </c:pt>
                <c:pt idx="89" c:formatCode="yyyy/m/d">
                  <c:v>44924</c:v>
                </c:pt>
                <c:pt idx="90" c:formatCode="yyyy/m/d">
                  <c:v>44925</c:v>
                </c:pt>
                <c:pt idx="91" c:formatCode="yyyy/m/d">
                  <c:v>44926</c:v>
                </c:pt>
              </c:numCache>
            </c:numRef>
          </c:cat>
          <c:val>
            <c:numRef>
              <c:f>'[走势图.xlsx]4季度 '!$C$1:$C$92</c:f>
              <c:numCache>
                <c:formatCode>0.00%</c:formatCode>
                <c:ptCount val="92"/>
                <c:pt idx="0">
                  <c:v>0</c:v>
                </c:pt>
                <c:pt idx="1">
                  <c:v>0</c:v>
                </c:pt>
                <c:pt idx="2">
                  <c:v>0</c:v>
                </c:pt>
                <c:pt idx="3">
                  <c:v>0</c:v>
                </c:pt>
                <c:pt idx="4">
                  <c:v>0</c:v>
                </c:pt>
                <c:pt idx="5">
                  <c:v>0</c:v>
                </c:pt>
                <c:pt idx="6">
                  <c:v>-9.79240109676427e-5</c:v>
                </c:pt>
                <c:pt idx="7">
                  <c:v>-9.79240109676427e-5</c:v>
                </c:pt>
                <c:pt idx="8">
                  <c:v>-9.79240109676427e-5</c:v>
                </c:pt>
                <c:pt idx="9">
                  <c:v>0.00244810027418718</c:v>
                </c:pt>
                <c:pt idx="10">
                  <c:v>0.00225225225225212</c:v>
                </c:pt>
                <c:pt idx="11">
                  <c:v>0.00244810027418718</c:v>
                </c:pt>
                <c:pt idx="12">
                  <c:v>0.00274187230708955</c:v>
                </c:pt>
                <c:pt idx="13">
                  <c:v>0.00264394829612224</c:v>
                </c:pt>
                <c:pt idx="14">
                  <c:v>0.00264394829612224</c:v>
                </c:pt>
                <c:pt idx="15">
                  <c:v>0.00254602428515471</c:v>
                </c:pt>
                <c:pt idx="16">
                  <c:v>0.00332941637289452</c:v>
                </c:pt>
                <c:pt idx="17">
                  <c:v>0.00352526439482936</c:v>
                </c:pt>
                <c:pt idx="18">
                  <c:v>0.00391696043869927</c:v>
                </c:pt>
                <c:pt idx="19">
                  <c:v>0.00411280846063455</c:v>
                </c:pt>
                <c:pt idx="20">
                  <c:v>0.0043086564825694</c:v>
                </c:pt>
                <c:pt idx="21">
                  <c:v>0.0043086564825694</c:v>
                </c:pt>
                <c:pt idx="22">
                  <c:v>0.0043086564825694</c:v>
                </c:pt>
                <c:pt idx="23">
                  <c:v>0.00499412455934189</c:v>
                </c:pt>
                <c:pt idx="24">
                  <c:v>0.00499412455934189</c:v>
                </c:pt>
                <c:pt idx="25">
                  <c:v>0.0050920485703092</c:v>
                </c:pt>
                <c:pt idx="26">
                  <c:v>0.0053858206032118</c:v>
                </c:pt>
                <c:pt idx="27">
                  <c:v>0.00567959263611417</c:v>
                </c:pt>
                <c:pt idx="28">
                  <c:v>0.00567959263611417</c:v>
                </c:pt>
                <c:pt idx="29">
                  <c:v>0.00558166862514664</c:v>
                </c:pt>
                <c:pt idx="30">
                  <c:v>0.00636506071288667</c:v>
                </c:pt>
                <c:pt idx="31">
                  <c:v>0.00656090873482174</c:v>
                </c:pt>
                <c:pt idx="32">
                  <c:v>0.00665883274578927</c:v>
                </c:pt>
                <c:pt idx="33">
                  <c:v>0.00685468076772411</c:v>
                </c:pt>
                <c:pt idx="34">
                  <c:v>0.00685468076772411</c:v>
                </c:pt>
                <c:pt idx="35">
                  <c:v>0.00685468076772411</c:v>
                </c:pt>
                <c:pt idx="36">
                  <c:v>0.00685468076772411</c:v>
                </c:pt>
                <c:pt idx="37">
                  <c:v>0.00734430082256154</c:v>
                </c:pt>
                <c:pt idx="38">
                  <c:v>0.00734430082256154</c:v>
                </c:pt>
                <c:pt idx="39">
                  <c:v>0.00597336466901677</c:v>
                </c:pt>
                <c:pt idx="40">
                  <c:v>0.00597336466901677</c:v>
                </c:pt>
                <c:pt idx="41">
                  <c:v>0.00558166862514664</c:v>
                </c:pt>
                <c:pt idx="42">
                  <c:v>0.00558166862514664</c:v>
                </c:pt>
                <c:pt idx="43">
                  <c:v>0.00558166862514664</c:v>
                </c:pt>
                <c:pt idx="44">
                  <c:v>0.00489620054837436</c:v>
                </c:pt>
                <c:pt idx="45">
                  <c:v>0.00450450450450446</c:v>
                </c:pt>
                <c:pt idx="46">
                  <c:v>0.00372111241676443</c:v>
                </c:pt>
                <c:pt idx="47">
                  <c:v>0.00352526439482936</c:v>
                </c:pt>
                <c:pt idx="48">
                  <c:v>0.00313356835095946</c:v>
                </c:pt>
                <c:pt idx="49">
                  <c:v>0.00313356835095946</c:v>
                </c:pt>
                <c:pt idx="50">
                  <c:v>0.00313356835095946</c:v>
                </c:pt>
                <c:pt idx="51">
                  <c:v>0.00372111241676443</c:v>
                </c:pt>
                <c:pt idx="52">
                  <c:v>0.00381903642773196</c:v>
                </c:pt>
                <c:pt idx="53">
                  <c:v>0.00411280846063455</c:v>
                </c:pt>
                <c:pt idx="54">
                  <c:v>0.00460242851547199</c:v>
                </c:pt>
                <c:pt idx="55">
                  <c:v>0.00176263219741468</c:v>
                </c:pt>
                <c:pt idx="56">
                  <c:v>0.00176263219741468</c:v>
                </c:pt>
                <c:pt idx="57">
                  <c:v>0.00176263219741468</c:v>
                </c:pt>
                <c:pt idx="58">
                  <c:v>0.00215432824128481</c:v>
                </c:pt>
                <c:pt idx="59">
                  <c:v>0.00166470818644715</c:v>
                </c:pt>
                <c:pt idx="60">
                  <c:v>0.00127301214257725</c:v>
                </c:pt>
                <c:pt idx="61">
                  <c:v>0.00107716412064218</c:v>
                </c:pt>
                <c:pt idx="62">
                  <c:v>0.000979240109674873</c:v>
                </c:pt>
                <c:pt idx="63">
                  <c:v>0.000979240109674873</c:v>
                </c:pt>
                <c:pt idx="64">
                  <c:v>0.000979240109674873</c:v>
                </c:pt>
                <c:pt idx="65">
                  <c:v>0.00137093615354478</c:v>
                </c:pt>
                <c:pt idx="66">
                  <c:v>0.00107716412064218</c:v>
                </c:pt>
                <c:pt idx="67">
                  <c:v>0.000685468076772278</c:v>
                </c:pt>
                <c:pt idx="68">
                  <c:v>0.000293772032902373</c:v>
                </c:pt>
                <c:pt idx="69">
                  <c:v>0.000293772032902373</c:v>
                </c:pt>
                <c:pt idx="70">
                  <c:v>0.000293772032902373</c:v>
                </c:pt>
                <c:pt idx="71">
                  <c:v>0.000293772032902373</c:v>
                </c:pt>
                <c:pt idx="72">
                  <c:v>0.000587544065804968</c:v>
                </c:pt>
                <c:pt idx="73">
                  <c:v>-0.00127301214257747</c:v>
                </c:pt>
                <c:pt idx="74">
                  <c:v>-0.00166470818644737</c:v>
                </c:pt>
                <c:pt idx="75">
                  <c:v>-0.00117508813160994</c:v>
                </c:pt>
                <c:pt idx="76">
                  <c:v>-0.00137093615354489</c:v>
                </c:pt>
                <c:pt idx="77">
                  <c:v>-0.00137093615354489</c:v>
                </c:pt>
                <c:pt idx="78">
                  <c:v>-0.00137093615354489</c:v>
                </c:pt>
                <c:pt idx="79">
                  <c:v>0.00264394829612224</c:v>
                </c:pt>
                <c:pt idx="80">
                  <c:v>0.00293772032902462</c:v>
                </c:pt>
                <c:pt idx="81">
                  <c:v>0.00293772032902462</c:v>
                </c:pt>
                <c:pt idx="82">
                  <c:v>0.00332941637289452</c:v>
                </c:pt>
                <c:pt idx="83">
                  <c:v>0.00391696043869927</c:v>
                </c:pt>
                <c:pt idx="84">
                  <c:v>0.00381903642773196</c:v>
                </c:pt>
                <c:pt idx="85">
                  <c:v>0.00381903642773196</c:v>
                </c:pt>
                <c:pt idx="86">
                  <c:v>0.00460242851547199</c:v>
                </c:pt>
                <c:pt idx="87">
                  <c:v>0.00460242851547199</c:v>
                </c:pt>
                <c:pt idx="88">
                  <c:v>0.00479827653740683</c:v>
                </c:pt>
                <c:pt idx="89">
                  <c:v>0.00518997258127674</c:v>
                </c:pt>
                <c:pt idx="90">
                  <c:v>0.00567959263611417</c:v>
                </c:pt>
                <c:pt idx="91">
                  <c:v>0.0057775166470817</c:v>
                </c:pt>
              </c:numCache>
            </c:numRef>
          </c:val>
          <c:smooth val="0"/>
        </c:ser>
        <c:ser>
          <c:idx val="1"/>
          <c:order val="1"/>
          <c:tx>
            <c:strRef>
              <c:f>"业绩比较基准收益率"</c:f>
              <c:strCache>
                <c:ptCount val="1"/>
                <c:pt idx="0">
                  <c:v>业绩比较基准收益率</c:v>
                </c:pt>
              </c:strCache>
            </c:strRef>
          </c:tx>
          <c:spPr>
            <a:ln w="28575" cap="rnd">
              <a:solidFill>
                <a:schemeClr val="accent2"/>
              </a:solidFill>
              <a:round/>
            </a:ln>
            <a:effectLst/>
          </c:spPr>
          <c:marker>
            <c:symbol val="none"/>
          </c:marker>
          <c:dLbls>
            <c:delete val="1"/>
          </c:dLbls>
          <c:cat>
            <c:numRef>
              <c:f>'[走势图.xlsx]4季度 '!$A$1:$A$92</c:f>
              <c:numCache>
                <c:formatCode>yyyy/m/d</c:formatCode>
                <c:ptCount val="92"/>
                <c:pt idx="0" c:formatCode="yyyy/m/d">
                  <c:v>44835</c:v>
                </c:pt>
                <c:pt idx="1" c:formatCode="yyyy/m/d">
                  <c:v>44836</c:v>
                </c:pt>
                <c:pt idx="2" c:formatCode="yyyy/m/d">
                  <c:v>44837</c:v>
                </c:pt>
                <c:pt idx="3" c:formatCode="yyyy/m/d">
                  <c:v>44838</c:v>
                </c:pt>
                <c:pt idx="4" c:formatCode="yyyy/m/d">
                  <c:v>44839</c:v>
                </c:pt>
                <c:pt idx="5" c:formatCode="yyyy/m/d">
                  <c:v>44840</c:v>
                </c:pt>
                <c:pt idx="6" c:formatCode="yyyy/m/d">
                  <c:v>44841</c:v>
                </c:pt>
                <c:pt idx="7" c:formatCode="yyyy/m/d">
                  <c:v>44842</c:v>
                </c:pt>
                <c:pt idx="8" c:formatCode="yyyy/m/d">
                  <c:v>44843</c:v>
                </c:pt>
                <c:pt idx="9" c:formatCode="yyyy/m/d">
                  <c:v>44844</c:v>
                </c:pt>
                <c:pt idx="10" c:formatCode="yyyy/m/d">
                  <c:v>44845</c:v>
                </c:pt>
                <c:pt idx="11" c:formatCode="yyyy/m/d">
                  <c:v>44846</c:v>
                </c:pt>
                <c:pt idx="12" c:formatCode="yyyy/m/d">
                  <c:v>44847</c:v>
                </c:pt>
                <c:pt idx="13" c:formatCode="yyyy/m/d">
                  <c:v>44848</c:v>
                </c:pt>
                <c:pt idx="14" c:formatCode="yyyy/m/d">
                  <c:v>44849</c:v>
                </c:pt>
                <c:pt idx="15" c:formatCode="yyyy/m/d">
                  <c:v>44850</c:v>
                </c:pt>
                <c:pt idx="16" c:formatCode="yyyy/m/d">
                  <c:v>44851</c:v>
                </c:pt>
                <c:pt idx="17" c:formatCode="yyyy/m/d">
                  <c:v>44852</c:v>
                </c:pt>
                <c:pt idx="18" c:formatCode="yyyy/m/d">
                  <c:v>44853</c:v>
                </c:pt>
                <c:pt idx="19" c:formatCode="yyyy/m/d">
                  <c:v>44854</c:v>
                </c:pt>
                <c:pt idx="20" c:formatCode="yyyy/m/d">
                  <c:v>44855</c:v>
                </c:pt>
                <c:pt idx="21" c:formatCode="yyyy/m/d">
                  <c:v>44856</c:v>
                </c:pt>
                <c:pt idx="22" c:formatCode="yyyy/m/d">
                  <c:v>44857</c:v>
                </c:pt>
                <c:pt idx="23" c:formatCode="yyyy/m/d">
                  <c:v>44858</c:v>
                </c:pt>
                <c:pt idx="24" c:formatCode="yyyy/m/d">
                  <c:v>44859</c:v>
                </c:pt>
                <c:pt idx="25" c:formatCode="yyyy/m/d">
                  <c:v>44860</c:v>
                </c:pt>
                <c:pt idx="26" c:formatCode="yyyy/m/d">
                  <c:v>44861</c:v>
                </c:pt>
                <c:pt idx="27" c:formatCode="yyyy/m/d">
                  <c:v>44862</c:v>
                </c:pt>
                <c:pt idx="28" c:formatCode="yyyy/m/d">
                  <c:v>44863</c:v>
                </c:pt>
                <c:pt idx="29" c:formatCode="yyyy/m/d">
                  <c:v>44864</c:v>
                </c:pt>
                <c:pt idx="30" c:formatCode="yyyy/m/d">
                  <c:v>44865</c:v>
                </c:pt>
                <c:pt idx="31" c:formatCode="yyyy/m/d">
                  <c:v>44866</c:v>
                </c:pt>
                <c:pt idx="32" c:formatCode="yyyy/m/d">
                  <c:v>44867</c:v>
                </c:pt>
                <c:pt idx="33" c:formatCode="yyyy/m/d">
                  <c:v>44868</c:v>
                </c:pt>
                <c:pt idx="34" c:formatCode="yyyy/m/d">
                  <c:v>44869</c:v>
                </c:pt>
                <c:pt idx="35" c:formatCode="yyyy/m/d">
                  <c:v>44870</c:v>
                </c:pt>
                <c:pt idx="36" c:formatCode="yyyy/m/d">
                  <c:v>44871</c:v>
                </c:pt>
                <c:pt idx="37" c:formatCode="yyyy/m/d">
                  <c:v>44872</c:v>
                </c:pt>
                <c:pt idx="38" c:formatCode="yyyy/m/d">
                  <c:v>44873</c:v>
                </c:pt>
                <c:pt idx="39" c:formatCode="yyyy/m/d">
                  <c:v>44874</c:v>
                </c:pt>
                <c:pt idx="40" c:formatCode="yyyy/m/d">
                  <c:v>44875</c:v>
                </c:pt>
                <c:pt idx="41" c:formatCode="yyyy/m/d">
                  <c:v>44876</c:v>
                </c:pt>
                <c:pt idx="42" c:formatCode="yyyy/m/d">
                  <c:v>44877</c:v>
                </c:pt>
                <c:pt idx="43" c:formatCode="yyyy/m/d">
                  <c:v>44878</c:v>
                </c:pt>
                <c:pt idx="44" c:formatCode="yyyy/m/d">
                  <c:v>44879</c:v>
                </c:pt>
                <c:pt idx="45" c:formatCode="yyyy/m/d">
                  <c:v>44880</c:v>
                </c:pt>
                <c:pt idx="46" c:formatCode="yyyy/m/d">
                  <c:v>44881</c:v>
                </c:pt>
                <c:pt idx="47" c:formatCode="yyyy/m/d">
                  <c:v>44882</c:v>
                </c:pt>
                <c:pt idx="48" c:formatCode="yyyy/m/d">
                  <c:v>44883</c:v>
                </c:pt>
                <c:pt idx="49" c:formatCode="yyyy/m/d">
                  <c:v>44884</c:v>
                </c:pt>
                <c:pt idx="50" c:formatCode="yyyy/m/d">
                  <c:v>44885</c:v>
                </c:pt>
                <c:pt idx="51" c:formatCode="yyyy/m/d">
                  <c:v>44886</c:v>
                </c:pt>
                <c:pt idx="52" c:formatCode="yyyy/m/d">
                  <c:v>44887</c:v>
                </c:pt>
                <c:pt idx="53" c:formatCode="yyyy/m/d">
                  <c:v>44888</c:v>
                </c:pt>
                <c:pt idx="54" c:formatCode="yyyy/m/d">
                  <c:v>44889</c:v>
                </c:pt>
                <c:pt idx="55" c:formatCode="yyyy/m/d">
                  <c:v>44890</c:v>
                </c:pt>
                <c:pt idx="56" c:formatCode="yyyy/m/d">
                  <c:v>44891</c:v>
                </c:pt>
                <c:pt idx="57" c:formatCode="yyyy/m/d">
                  <c:v>44892</c:v>
                </c:pt>
                <c:pt idx="58" c:formatCode="yyyy/m/d">
                  <c:v>44893</c:v>
                </c:pt>
                <c:pt idx="59" c:formatCode="yyyy/m/d">
                  <c:v>44894</c:v>
                </c:pt>
                <c:pt idx="60" c:formatCode="yyyy/m/d">
                  <c:v>44895</c:v>
                </c:pt>
                <c:pt idx="61" c:formatCode="yyyy/m/d">
                  <c:v>44896</c:v>
                </c:pt>
                <c:pt idx="62" c:formatCode="yyyy/m/d">
                  <c:v>44897</c:v>
                </c:pt>
                <c:pt idx="63" c:formatCode="yyyy/m/d">
                  <c:v>44898</c:v>
                </c:pt>
                <c:pt idx="64" c:formatCode="yyyy/m/d">
                  <c:v>44899</c:v>
                </c:pt>
                <c:pt idx="65" c:formatCode="yyyy/m/d">
                  <c:v>44900</c:v>
                </c:pt>
                <c:pt idx="66" c:formatCode="yyyy/m/d">
                  <c:v>44901</c:v>
                </c:pt>
                <c:pt idx="67" c:formatCode="yyyy/m/d">
                  <c:v>44902</c:v>
                </c:pt>
                <c:pt idx="68" c:formatCode="yyyy/m/d">
                  <c:v>44903</c:v>
                </c:pt>
                <c:pt idx="69" c:formatCode="yyyy/m/d">
                  <c:v>44904</c:v>
                </c:pt>
                <c:pt idx="70" c:formatCode="yyyy/m/d">
                  <c:v>44905</c:v>
                </c:pt>
                <c:pt idx="71" c:formatCode="yyyy/m/d">
                  <c:v>44906</c:v>
                </c:pt>
                <c:pt idx="72" c:formatCode="yyyy/m/d">
                  <c:v>44907</c:v>
                </c:pt>
                <c:pt idx="73" c:formatCode="yyyy/m/d">
                  <c:v>44908</c:v>
                </c:pt>
                <c:pt idx="74" c:formatCode="yyyy/m/d">
                  <c:v>44909</c:v>
                </c:pt>
                <c:pt idx="75" c:formatCode="yyyy/m/d">
                  <c:v>44910</c:v>
                </c:pt>
                <c:pt idx="76" c:formatCode="yyyy/m/d">
                  <c:v>44911</c:v>
                </c:pt>
                <c:pt idx="77" c:formatCode="yyyy/m/d">
                  <c:v>44912</c:v>
                </c:pt>
                <c:pt idx="78" c:formatCode="yyyy/m/d">
                  <c:v>44913</c:v>
                </c:pt>
                <c:pt idx="79" c:formatCode="yyyy/m/d">
                  <c:v>44914</c:v>
                </c:pt>
                <c:pt idx="80" c:formatCode="yyyy/m/d">
                  <c:v>44915</c:v>
                </c:pt>
                <c:pt idx="81" c:formatCode="yyyy/m/d">
                  <c:v>44916</c:v>
                </c:pt>
                <c:pt idx="82" c:formatCode="yyyy/m/d">
                  <c:v>44917</c:v>
                </c:pt>
                <c:pt idx="83" c:formatCode="yyyy/m/d">
                  <c:v>44918</c:v>
                </c:pt>
                <c:pt idx="84" c:formatCode="yyyy/m/d">
                  <c:v>44919</c:v>
                </c:pt>
                <c:pt idx="85" c:formatCode="yyyy/m/d">
                  <c:v>44920</c:v>
                </c:pt>
                <c:pt idx="86" c:formatCode="yyyy/m/d">
                  <c:v>44921</c:v>
                </c:pt>
                <c:pt idx="87" c:formatCode="yyyy/m/d">
                  <c:v>44922</c:v>
                </c:pt>
                <c:pt idx="88" c:formatCode="yyyy/m/d">
                  <c:v>44923</c:v>
                </c:pt>
                <c:pt idx="89" c:formatCode="yyyy/m/d">
                  <c:v>44924</c:v>
                </c:pt>
                <c:pt idx="90" c:formatCode="yyyy/m/d">
                  <c:v>44925</c:v>
                </c:pt>
                <c:pt idx="91" c:formatCode="yyyy/m/d">
                  <c:v>44926</c:v>
                </c:pt>
              </c:numCache>
            </c:numRef>
          </c:cat>
          <c:val>
            <c:numRef>
              <c:f>'[走势图.xlsx]4季度 '!$E$1:$E$92</c:f>
              <c:numCache>
                <c:formatCode>0.00%</c:formatCode>
                <c:ptCount val="92"/>
                <c:pt idx="0">
                  <c:v>0.00013972602739726</c:v>
                </c:pt>
                <c:pt idx="1">
                  <c:v>0.000279452054794521</c:v>
                </c:pt>
                <c:pt idx="2">
                  <c:v>0.000419178082191781</c:v>
                </c:pt>
                <c:pt idx="3">
                  <c:v>0.000558904109589041</c:v>
                </c:pt>
                <c:pt idx="4">
                  <c:v>0.000698630136986301</c:v>
                </c:pt>
                <c:pt idx="5">
                  <c:v>0.000838356164383562</c:v>
                </c:pt>
                <c:pt idx="6">
                  <c:v>0.000978082191780822</c:v>
                </c:pt>
                <c:pt idx="7">
                  <c:v>0.00111780821917808</c:v>
                </c:pt>
                <c:pt idx="8">
                  <c:v>0.00125753424657534</c:v>
                </c:pt>
                <c:pt idx="9">
                  <c:v>0.0013972602739726</c:v>
                </c:pt>
                <c:pt idx="10">
                  <c:v>0.00153698630136986</c:v>
                </c:pt>
                <c:pt idx="11">
                  <c:v>0.00167671232876712</c:v>
                </c:pt>
                <c:pt idx="12">
                  <c:v>0.00181643835616438</c:v>
                </c:pt>
                <c:pt idx="13">
                  <c:v>0.00195616438356164</c:v>
                </c:pt>
                <c:pt idx="14">
                  <c:v>0.0020958904109589</c:v>
                </c:pt>
                <c:pt idx="15">
                  <c:v>0.00223561643835616</c:v>
                </c:pt>
                <c:pt idx="16">
                  <c:v>0.00237534246575342</c:v>
                </c:pt>
                <c:pt idx="17">
                  <c:v>0.00251506849315068</c:v>
                </c:pt>
                <c:pt idx="18">
                  <c:v>0.00265479452054794</c:v>
                </c:pt>
                <c:pt idx="19">
                  <c:v>0.0027945205479452</c:v>
                </c:pt>
                <c:pt idx="20">
                  <c:v>0.00293424657534247</c:v>
                </c:pt>
                <c:pt idx="21">
                  <c:v>0.00307397260273973</c:v>
                </c:pt>
                <c:pt idx="22">
                  <c:v>0.00321369863013699</c:v>
                </c:pt>
                <c:pt idx="23">
                  <c:v>0.00335342465753425</c:v>
                </c:pt>
                <c:pt idx="24">
                  <c:v>0.00349315068493151</c:v>
                </c:pt>
                <c:pt idx="25">
                  <c:v>0.00363287671232877</c:v>
                </c:pt>
                <c:pt idx="26">
                  <c:v>0.00377260273972603</c:v>
                </c:pt>
                <c:pt idx="27">
                  <c:v>0.00391232876712329</c:v>
                </c:pt>
                <c:pt idx="28">
                  <c:v>0.00405205479452055</c:v>
                </c:pt>
                <c:pt idx="29">
                  <c:v>0.00419178082191781</c:v>
                </c:pt>
                <c:pt idx="30">
                  <c:v>0.00433150684931507</c:v>
                </c:pt>
                <c:pt idx="31">
                  <c:v>0.00447123287671233</c:v>
                </c:pt>
                <c:pt idx="32">
                  <c:v>0.00461095890410959</c:v>
                </c:pt>
                <c:pt idx="33">
                  <c:v>0.00475068493150685</c:v>
                </c:pt>
                <c:pt idx="34">
                  <c:v>0.00489041095890411</c:v>
                </c:pt>
                <c:pt idx="35">
                  <c:v>0.00503013698630137</c:v>
                </c:pt>
                <c:pt idx="36">
                  <c:v>0.00516986301369863</c:v>
                </c:pt>
                <c:pt idx="37">
                  <c:v>0.00530958904109589</c:v>
                </c:pt>
                <c:pt idx="38">
                  <c:v>0.00544931506849315</c:v>
                </c:pt>
                <c:pt idx="39">
                  <c:v>0.00558904109589041</c:v>
                </c:pt>
                <c:pt idx="40">
                  <c:v>0.00572876712328767</c:v>
                </c:pt>
                <c:pt idx="41">
                  <c:v>0.00586849315068493</c:v>
                </c:pt>
                <c:pt idx="42">
                  <c:v>0.00600821917808219</c:v>
                </c:pt>
                <c:pt idx="43">
                  <c:v>0.00614794520547945</c:v>
                </c:pt>
                <c:pt idx="44">
                  <c:v>0.00628767123287671</c:v>
                </c:pt>
                <c:pt idx="45">
                  <c:v>0.00642739726027397</c:v>
                </c:pt>
                <c:pt idx="46">
                  <c:v>0.00656712328767123</c:v>
                </c:pt>
                <c:pt idx="47">
                  <c:v>0.00670684931506849</c:v>
                </c:pt>
                <c:pt idx="48">
                  <c:v>0.00684657534246575</c:v>
                </c:pt>
                <c:pt idx="49">
                  <c:v>0.00698630136986301</c:v>
                </c:pt>
                <c:pt idx="50">
                  <c:v>0.00712602739726027</c:v>
                </c:pt>
                <c:pt idx="51">
                  <c:v>0.00726575342465753</c:v>
                </c:pt>
                <c:pt idx="52">
                  <c:v>0.00740547945205479</c:v>
                </c:pt>
                <c:pt idx="53">
                  <c:v>0.00754520547945205</c:v>
                </c:pt>
                <c:pt idx="54">
                  <c:v>0.00768493150684931</c:v>
                </c:pt>
                <c:pt idx="55">
                  <c:v>0.00782465753424657</c:v>
                </c:pt>
                <c:pt idx="56">
                  <c:v>0.00796438356164383</c:v>
                </c:pt>
                <c:pt idx="57">
                  <c:v>0.0081041095890411</c:v>
                </c:pt>
                <c:pt idx="58">
                  <c:v>0.00824383561643835</c:v>
                </c:pt>
                <c:pt idx="59">
                  <c:v>0.00838356164383561</c:v>
                </c:pt>
                <c:pt idx="60">
                  <c:v>0.00852328767123288</c:v>
                </c:pt>
                <c:pt idx="61">
                  <c:v>0.00866301369863014</c:v>
                </c:pt>
                <c:pt idx="62">
                  <c:v>0.0088027397260274</c:v>
                </c:pt>
                <c:pt idx="63">
                  <c:v>0.00894246575342466</c:v>
                </c:pt>
                <c:pt idx="64">
                  <c:v>0.00908219178082192</c:v>
                </c:pt>
                <c:pt idx="65">
                  <c:v>0.00922191780821918</c:v>
                </c:pt>
                <c:pt idx="66">
                  <c:v>0.00936164383561644</c:v>
                </c:pt>
                <c:pt idx="67">
                  <c:v>0.0095013698630137</c:v>
                </c:pt>
                <c:pt idx="68">
                  <c:v>0.00964109589041096</c:v>
                </c:pt>
                <c:pt idx="69">
                  <c:v>0.00978082191780822</c:v>
                </c:pt>
                <c:pt idx="70">
                  <c:v>0.00992054794520548</c:v>
                </c:pt>
                <c:pt idx="71">
                  <c:v>0.0100602739726027</c:v>
                </c:pt>
                <c:pt idx="72">
                  <c:v>0.0102</c:v>
                </c:pt>
                <c:pt idx="73">
                  <c:v>0.0103397260273973</c:v>
                </c:pt>
                <c:pt idx="74">
                  <c:v>0.0104794520547945</c:v>
                </c:pt>
                <c:pt idx="75">
                  <c:v>0.0106191780821918</c:v>
                </c:pt>
                <c:pt idx="76">
                  <c:v>0.010758904109589</c:v>
                </c:pt>
                <c:pt idx="77">
                  <c:v>0.0108986301369863</c:v>
                </c:pt>
                <c:pt idx="78">
                  <c:v>0.0110383561643836</c:v>
                </c:pt>
                <c:pt idx="79">
                  <c:v>0.0111780821917808</c:v>
                </c:pt>
                <c:pt idx="80">
                  <c:v>0.0113178082191781</c:v>
                </c:pt>
                <c:pt idx="81">
                  <c:v>0.0114575342465753</c:v>
                </c:pt>
                <c:pt idx="82">
                  <c:v>0.0115972602739726</c:v>
                </c:pt>
                <c:pt idx="83">
                  <c:v>0.0117369863013699</c:v>
                </c:pt>
                <c:pt idx="84">
                  <c:v>0.0118767123287671</c:v>
                </c:pt>
                <c:pt idx="85">
                  <c:v>0.0120164383561644</c:v>
                </c:pt>
                <c:pt idx="86">
                  <c:v>0.0121561643835616</c:v>
                </c:pt>
                <c:pt idx="87">
                  <c:v>0.0122958904109589</c:v>
                </c:pt>
                <c:pt idx="88">
                  <c:v>0.0124356164383562</c:v>
                </c:pt>
                <c:pt idx="89">
                  <c:v>0.0125753424657534</c:v>
                </c:pt>
                <c:pt idx="90">
                  <c:v>0.0127150684931507</c:v>
                </c:pt>
                <c:pt idx="91">
                  <c:v>0.0128547945205479</c:v>
                </c:pt>
              </c:numCache>
            </c:numRef>
          </c:val>
          <c:smooth val="0"/>
        </c:ser>
        <c:dLbls>
          <c:showLegendKey val="0"/>
          <c:showVal val="0"/>
          <c:showCatName val="0"/>
          <c:showSerName val="0"/>
          <c:showPercent val="0"/>
          <c:showBubbleSize val="0"/>
        </c:dLbls>
        <c:marker val="0"/>
        <c:smooth val="0"/>
        <c:axId val="955332840"/>
        <c:axId val="178588510"/>
      </c:lineChart>
      <c:dateAx>
        <c:axId val="955332840"/>
        <c:scaling>
          <c:orientation val="minMax"/>
        </c:scaling>
        <c:delete val="0"/>
        <c:axPos val="b"/>
        <c:majorTickMark val="out"/>
        <c:minorTickMark val="none"/>
        <c:tickLblPos val="low"/>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8588510"/>
        <c:crosses val="autoZero"/>
        <c:auto val="1"/>
        <c:lblOffset val="100"/>
        <c:baseTimeUnit val="days"/>
      </c:dateAx>
      <c:valAx>
        <c:axId val="178588510"/>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955332840"/>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8</Pages>
  <Words>516</Words>
  <Characters>2944</Characters>
  <Lines>24</Lines>
  <Paragraphs>6</Paragraphs>
  <TotalTime>0</TotalTime>
  <ScaleCrop>false</ScaleCrop>
  <LinksUpToDate>false</LinksUpToDate>
  <CharactersWithSpaces>0</CharactersWithSpaces>
  <Application>WPS Office_11.8.2.9067_F1E327BC-269C-435d-A152-05C5408002CA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2019-11-25T09:18:00Z</dcterms:created>
  <dc:creator>gynsh</dc:creator>
  <cp:lastModifiedBy>gynsh</cp:lastModifiedBy>
  <cp:lastPrinted>2019-10-15T07:44:00Z</cp:lastPrinted>
  <dcterms:modified xsi:type="dcterms:W3CDTF">2023-01-17T06:33:21Z</dcterms:modified>
  <dc:title>贵阳农商银行“超值宝私享第1期”封闭式净值型理财产品</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2052-11.8.2.9067</vt:lpwstr>
  </property>
</Properties>
</file>