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22,833,173.07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kern w:val="0"/>
                <w:szCs w:val="21"/>
                <w:shd w:val="clear" w:color="auto" w:fill="FFFFFF"/>
                <w14:textFill>
                  <w14:solidFill>
                    <w14:schemeClr w14:val="tx1"/>
                  </w14:solidFill>
                </w14:textFill>
              </w:rPr>
              <w:t xml:space="preserve"> </w:t>
            </w:r>
            <w:r>
              <w:rPr>
                <w:rFonts w:ascii="宋体" w:hAnsi="宋体"/>
                <w:color w:val="000000" w:themeColor="text1"/>
                <w:szCs w:val="21"/>
                <w:shd w:val="clear" w:color="auto" w:fill="FFFFFF"/>
                <w14:textFill>
                  <w14:solidFill>
                    <w14:schemeClr w14:val="tx1"/>
                  </w14:solidFill>
                </w14:textFill>
              </w:rPr>
              <w:t>贵阳农村商业银行股份有限公司</w:t>
            </w:r>
            <w:r>
              <w:rPr>
                <w:rFonts w:ascii="宋体" w:hAnsi="宋体"/>
                <w:color w:val="000000" w:themeColor="text1"/>
                <w:kern w:val="0"/>
                <w:szCs w:val="21"/>
                <w:shd w:val="clear" w:color="auto" w:fill="FFFFFF"/>
                <w14:textFill>
                  <w14:solidFill>
                    <w14:schemeClr w14:val="tx1"/>
                  </w14:solidFill>
                </w14:textFill>
              </w:rPr>
              <w:t>-超值宝3年19期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51900159610155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w:t>
            </w:r>
            <w:r>
              <w:rPr>
                <w:rFonts w:ascii="宋体" w:hAnsi="宋体"/>
                <w:color w:val="000000" w:themeColor="text1"/>
                <w:szCs w:val="21"/>
                <w:shd w:val="clear" w:color="auto" w:fill="FFFFFF"/>
                <w14:textFill>
                  <w14:solidFill>
                    <w14:schemeClr w14:val="tx1"/>
                  </w14:solidFill>
                </w14:textFill>
              </w:rPr>
              <w:t>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-47,141.06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540,937.73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22,833,173.07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2.43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2.63</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2.57</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.79</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.05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22,882,876.35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22,882,876.35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22,882,876.35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22,882,876.35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21,194,058.33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21,184,742.07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9,316.26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1,568,250.58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141,646.01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22,903,954.91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1,536,620.38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1,103,420.70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1,069,470.55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994,148.12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983,951.71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983,326.53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970,803.99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941,005.43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919,358.89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868,840.12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10,370,946.43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rW7J9ejCJQam+wruWsgYGI3U9xk=" w:salt="hfpToXAQZLVkHeX7VnOm/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D45DA"/>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1633"/>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645D"/>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0216F0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3&#24180;19&#26399;WB0081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[3年19期WB008107.xlsx]Sheet2!$B$1</c:f>
              <c:strCache>
                <c:ptCount val="1"/>
                <c:pt idx="0">
                  <c:v>净值增长率</c:v>
                </c:pt>
              </c:strCache>
            </c:strRef>
          </c:tx>
          <c:spPr>
            <a:ln w="28575" cap="rnd">
              <a:solidFill>
                <a:schemeClr val="accent1"/>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[3年19期WB008107.xlsx]Sheet2!$B$2:$B$192</c:f>
              <c:numCache>
                <c:formatCode>General</c:formatCode>
                <c:ptCount val="191"/>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numCache>
            </c:numRef>
          </c:val>
          <c:smooth val="0"/>
        </c:ser>
        <c:ser>
          <c:idx val="1"/>
          <c:order val="1"/>
          <c:tx>
            <c:strRef>
              <c:f>[3年19期WB008107.xlsx]Sheet2!$C$1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[3年19期WB008107.xlsx]Sheet2!$C$2:$C$192</c:f>
              <c:numCache>
                <c:formatCode>General</c:formatCode>
                <c:ptCount val="191"/>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numCache>
            </c:numRef>
          </c:val>
          <c:smooth val="0"/>
        </c:ser>
        <c:ser>
          <c:idx val="2"/>
          <c:order val="2"/>
          <c:tx>
            <c:strRef>
              <c:f>[3年19期WB008107.xlsx]Sheet2!$D$1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[3年19期WB008107.xlsx]Sheet2!$D$2:$D$192</c:f>
              <c:numCache>
                <c:formatCode>General</c:formatCode>
                <c:ptCount val="19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numCache>
            </c:numRef>
          </c:val>
          <c:smooth val="0"/>
        </c:ser>
        <c:dLbls>
          <c:showLegendKey val="0"/>
          <c:showVal val="0"/>
          <c:showCatName val="0"/>
          <c:showSerName val="0"/>
          <c:showPercent val="0"/>
          <c:showBubbleSize val="0"/>
        </c:dLbls>
        <c:marker val="0"/>
        <c:smooth val="0"/>
        <c:axId val="1139694912"/>
        <c:axId val="1139688384"/>
      </c:lineChart>
      <c:dateAx>
        <c:axId val="113969491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9688384"/>
        <c:crosses val="autoZero"/>
        <c:auto val="1"/>
        <c:lblOffset val="100"/>
        <c:baseTimeUnit val="days"/>
      </c:dateAx>
      <c:valAx>
        <c:axId val="113968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9694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98580-6F12-40A3-92A2-9D2B444803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3335</Words>
  <Characters>4095</Characters>
  <Lines>33</Lines>
  <Paragraphs>9</Paragraphs>
  <TotalTime>0</TotalTime>
  <ScaleCrop>false</ScaleCrop>
  <LinksUpToDate>false</LinksUpToDate>
  <CharactersWithSpaces>4186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2022-08-08T14:51:56Z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10AA867A3143400DA0506DC42E3B0337</vt:lpwstr>
  </property>
</Properties>
</file>