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超值宝2年10期理财产品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w:t>
      </w:r>
      <w:r>
        <w:rPr>
          <w:rFonts w:hint="eastAsia" w:ascii="宋体" w:hAnsi="宋体"/>
          <w:b/>
          <w:color w:val="000000"/>
          <w:sz w:val="32"/>
          <w:szCs w:val="32"/>
          <w:shd w:val="clear" w:color="auto" w:fill="FFFFFF"/>
        </w:rPr>
        <w:t>农村</w:t>
      </w:r>
      <w:r>
        <w:rPr>
          <w:rFonts w:ascii="宋体" w:hAnsi="宋体"/>
          <w:b/>
          <w:color w:val="000000"/>
          <w:sz w:val="32"/>
          <w:szCs w:val="32"/>
          <w:shd w:val="clear" w:color="auto" w:fill="FFFFFF"/>
        </w:rPr>
        <w:t>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本报告期自2021年02月03日</w:t>
      </w:r>
      <w:bookmarkStart w:id="3" w:name="OLE_LINK6"/>
      <w:bookmarkEnd w:id="3"/>
      <w:bookmarkStart w:id="4" w:name="OLE_LINK5"/>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12,590,000.00份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13,272,042.09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2021年02月03日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w:t>
            </w:r>
            <w:r>
              <w:rPr>
                <w:rFonts w:ascii="宋体" w:hAnsi="宋体"/>
                <w:szCs w:val="21"/>
                <w:shd w:val="clear" w:color="auto" w:fill="FFFFFF"/>
              </w:rPr>
              <w:t>2</w:t>
            </w:r>
            <w:r>
              <w:rPr>
                <w:rFonts w:hint="eastAsia" w:ascii="宋体" w:hAnsi="宋体"/>
                <w:szCs w:val="21"/>
                <w:shd w:val="clear" w:color="auto" w:fill="FFFFFF"/>
              </w:rPr>
              <w:t>%-</w:t>
            </w:r>
            <w:r>
              <w:rPr>
                <w:rFonts w:ascii="宋体" w:hAnsi="宋体"/>
                <w:szCs w:val="21"/>
                <w:shd w:val="clear" w:color="auto" w:fill="FFFFFF"/>
              </w:rPr>
              <w:t>5.8</w:t>
            </w:r>
            <w:r>
              <w:rPr>
                <w:rFonts w:hint="eastAsia" w:ascii="宋体" w:hAnsi="宋体"/>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户名：贵阳农村商业银行股份有限公司-超值宝2年10期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851900159610519</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2021年02月03日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-60,822.84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682,042.09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13,272,042.09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1.0542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1.0542</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2021年02月03日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5.42</w:t>
            </w:r>
          </w:p>
        </w:tc>
        <w:tc>
          <w:tcPr>
            <w:tcW w:w="1843" w:type="dxa"/>
            <w:vAlign w:val="center"/>
          </w:tcPr>
          <w:p>
            <w:pPr>
              <w:jc w:val="right"/>
              <w:rPr>
                <w:rFonts w:ascii="宋体" w:hAnsi="宋体"/>
                <w:color w:val="FF0000"/>
              </w:rPr>
            </w:pPr>
            <w:r>
              <w:rPr>
                <w:rFonts w:ascii="宋体" w:hAnsi="宋体"/>
              </w:rPr>
              <w:t>4.73</w:t>
            </w:r>
          </w:p>
        </w:tc>
        <w:tc>
          <w:tcPr>
            <w:tcW w:w="1843" w:type="dxa"/>
            <w:vAlign w:val="center"/>
          </w:tcPr>
          <w:p>
            <w:pPr>
              <w:jc w:val="right"/>
              <w:rPr>
                <w:rFonts w:ascii="宋体" w:hAnsi="宋体"/>
                <w:color w:val="FF0000"/>
              </w:rPr>
            </w:pPr>
            <w:r>
              <w:rPr>
                <w:rFonts w:ascii="宋体" w:hAnsi="宋体"/>
              </w:rPr>
              <w:t>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5.42</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ascii="宋体" w:hAnsi="宋体"/>
              </w:rPr>
              <w:t>4.73</w:t>
            </w:r>
          </w:p>
        </w:tc>
        <w:tc>
          <w:tcPr>
            <w:tcW w:w="1843" w:type="dxa"/>
            <w:vAlign w:val="center"/>
          </w:tcPr>
          <w:p>
            <w:pPr>
              <w:jc w:val="right"/>
              <w:rPr>
                <w:rFonts w:ascii="宋体" w:hAnsi="宋体"/>
                <w:color w:val="FF0000"/>
              </w:rPr>
            </w:pPr>
            <w:r>
              <w:rPr>
                <w:rFonts w:ascii="宋体" w:hAnsi="宋体"/>
              </w:rPr>
              <w:t>5.28</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5.42%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13,332,864.93</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13,332,864.93</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122.73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13,332,864.93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13,332,987.66</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11,745,827.27</w:t>
            </w:r>
          </w:p>
        </w:tc>
        <w:tc>
          <w:tcPr>
            <w:tcW w:w="2127" w:type="dxa"/>
            <w:shd w:val="clear" w:color="auto" w:fill="auto"/>
            <w:vAlign w:val="center"/>
          </w:tcPr>
          <w:p>
            <w:pPr>
              <w:jc w:val="right"/>
              <w:rPr>
                <w:rFonts w:ascii="宋体" w:hAnsi="宋体"/>
              </w:rPr>
            </w:pPr>
            <w:r>
              <w:rPr>
                <w:rFonts w:hint="eastAsia" w:ascii="宋体" w:hAnsi="宋体"/>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11,678,754.30</w:t>
            </w:r>
          </w:p>
        </w:tc>
        <w:tc>
          <w:tcPr>
            <w:tcW w:w="2127" w:type="dxa"/>
            <w:shd w:val="clear" w:color="auto" w:fill="auto"/>
            <w:vAlign w:val="center"/>
          </w:tcPr>
          <w:p>
            <w:pPr>
              <w:jc w:val="right"/>
              <w:rPr>
                <w:rFonts w:ascii="宋体" w:hAnsi="宋体"/>
              </w:rPr>
            </w:pPr>
            <w:r>
              <w:rPr>
                <w:rFonts w:hint="eastAsia" w:ascii="宋体" w:hAnsi="宋体"/>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67,072.97</w:t>
            </w:r>
          </w:p>
        </w:tc>
        <w:tc>
          <w:tcPr>
            <w:tcW w:w="2127" w:type="dxa"/>
            <w:shd w:val="clear" w:color="auto" w:fill="auto"/>
            <w:vAlign w:val="center"/>
          </w:tcPr>
          <w:p>
            <w:pPr>
              <w:jc w:val="right"/>
              <w:rPr>
                <w:rFonts w:ascii="宋体" w:hAnsi="宋体"/>
              </w:rPr>
            </w:pPr>
            <w:r>
              <w:rPr>
                <w:rFonts w:hint="eastAsia" w:ascii="宋体" w:hAnsi="宋体"/>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734,338.23</w:t>
            </w:r>
          </w:p>
        </w:tc>
        <w:tc>
          <w:tcPr>
            <w:tcW w:w="2127" w:type="dxa"/>
            <w:shd w:val="clear" w:color="auto" w:fill="auto"/>
            <w:vAlign w:val="center"/>
          </w:tcPr>
          <w:p>
            <w:pPr>
              <w:jc w:val="right"/>
              <w:rPr>
                <w:rFonts w:ascii="宋体" w:hAnsi="宋体"/>
              </w:rPr>
            </w:pPr>
            <w:r>
              <w:rPr>
                <w:rFonts w:hint="eastAsia" w:ascii="宋体" w:hAnsi="宋体"/>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57,582.90</w:t>
            </w:r>
          </w:p>
        </w:tc>
        <w:tc>
          <w:tcPr>
            <w:tcW w:w="2127" w:type="dxa"/>
            <w:shd w:val="clear" w:color="auto" w:fill="auto"/>
            <w:vAlign w:val="center"/>
          </w:tcPr>
          <w:p>
            <w:pPr>
              <w:jc w:val="right"/>
              <w:rPr>
                <w:rFonts w:ascii="宋体" w:hAnsi="宋体"/>
              </w:rPr>
            </w:pPr>
            <w:r>
              <w:rPr>
                <w:rFonts w:hint="eastAsia" w:ascii="宋体" w:hAnsi="宋体"/>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809,439.98</w:t>
            </w:r>
          </w:p>
        </w:tc>
        <w:tc>
          <w:tcPr>
            <w:tcW w:w="2127" w:type="dxa"/>
            <w:shd w:val="clear" w:color="auto" w:fill="auto"/>
            <w:vAlign w:val="center"/>
          </w:tcPr>
          <w:p>
            <w:pPr>
              <w:jc w:val="right"/>
              <w:rPr>
                <w:rFonts w:ascii="宋体" w:hAnsi="宋体"/>
              </w:rPr>
            </w:pPr>
            <w:r>
              <w:rPr>
                <w:rFonts w:hint="eastAsia" w:ascii="宋体" w:hAnsi="宋体"/>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13,347,188.39</w:t>
            </w:r>
          </w:p>
        </w:tc>
        <w:tc>
          <w:tcPr>
            <w:tcW w:w="2127" w:type="dxa"/>
            <w:shd w:val="clear" w:color="auto" w:fill="auto"/>
          </w:tcPr>
          <w:p>
            <w:pPr>
              <w:jc w:val="right"/>
              <w:rPr>
                <w:rFonts w:ascii="宋体" w:hAnsi="宋体"/>
              </w:rPr>
            </w:pPr>
            <w:r>
              <w:rPr>
                <w:rFonts w:hint="eastAsia" w:ascii="宋体" w:hAnsi="宋体"/>
              </w:rPr>
              <w:t>100.11</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1,020,938.02</w:t>
            </w:r>
          </w:p>
        </w:tc>
        <w:tc>
          <w:tcPr>
            <w:tcW w:w="2113" w:type="dxa"/>
            <w:shd w:val="clear" w:color="auto" w:fill="auto"/>
          </w:tcPr>
          <w:p>
            <w:pPr>
              <w:jc w:val="right"/>
              <w:rPr>
                <w:rFonts w:ascii="宋体"/>
                <w:szCs w:val="21"/>
              </w:rPr>
            </w:pPr>
            <w: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562,436.66</w:t>
            </w:r>
          </w:p>
        </w:tc>
        <w:tc>
          <w:tcPr>
            <w:tcW w:w="2113" w:type="dxa"/>
            <w:shd w:val="clear" w:color="auto" w:fill="auto"/>
          </w:tcPr>
          <w:p>
            <w:pPr>
              <w:jc w:val="right"/>
              <w:rPr>
                <w:rFonts w:ascii="宋体"/>
                <w:szCs w:val="21"/>
              </w:rPr>
            </w:pPr>
            <w: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21安工01</w:t>
            </w:r>
          </w:p>
        </w:tc>
        <w:tc>
          <w:tcPr>
            <w:tcW w:w="2138" w:type="dxa"/>
            <w:shd w:val="clear" w:color="auto" w:fill="auto"/>
          </w:tcPr>
          <w:p>
            <w:pPr>
              <w:jc w:val="right"/>
              <w:rPr>
                <w:rFonts w:ascii="宋体"/>
                <w:szCs w:val="21"/>
              </w:rPr>
            </w:pPr>
            <w:r>
              <w:t>519,922.70</w:t>
            </w:r>
          </w:p>
        </w:tc>
        <w:tc>
          <w:tcPr>
            <w:tcW w:w="2113" w:type="dxa"/>
            <w:shd w:val="clear" w:color="auto" w:fill="auto"/>
          </w:tcPr>
          <w:p>
            <w:pPr>
              <w:jc w:val="right"/>
              <w:rPr>
                <w:rFonts w:ascii="宋体"/>
                <w:szCs w:val="21"/>
              </w:rPr>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465,333.44</w:t>
            </w:r>
          </w:p>
        </w:tc>
        <w:tc>
          <w:tcPr>
            <w:tcW w:w="2113" w:type="dxa"/>
            <w:shd w:val="clear" w:color="auto" w:fill="auto"/>
          </w:tcPr>
          <w:p>
            <w:pPr>
              <w:jc w:val="right"/>
              <w:rPr>
                <w:rFonts w:ascii="宋体"/>
                <w:szCs w:val="21"/>
              </w:rPr>
            </w:pPr>
            <w: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458,100.81</w:t>
            </w:r>
          </w:p>
        </w:tc>
        <w:tc>
          <w:tcPr>
            <w:tcW w:w="2113" w:type="dxa"/>
            <w:shd w:val="clear" w:color="auto" w:fill="auto"/>
          </w:tcPr>
          <w:p>
            <w:pPr>
              <w:jc w:val="right"/>
              <w:rPr>
                <w:rFonts w:ascii="宋体"/>
                <w:szCs w:val="21"/>
              </w:rPr>
            </w:pPr>
            <w: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448,839.42</w:t>
            </w:r>
          </w:p>
        </w:tc>
        <w:tc>
          <w:tcPr>
            <w:tcW w:w="2113" w:type="dxa"/>
            <w:shd w:val="clear" w:color="auto" w:fill="auto"/>
          </w:tcPr>
          <w:p>
            <w:pPr>
              <w:jc w:val="right"/>
              <w:rPr>
                <w:rFonts w:ascii="宋体"/>
                <w:szCs w:val="21"/>
              </w:rPr>
            </w:pPr>
            <w: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408,819.14</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R007</w:t>
            </w:r>
          </w:p>
        </w:tc>
        <w:tc>
          <w:tcPr>
            <w:tcW w:w="2138" w:type="dxa"/>
            <w:shd w:val="clear" w:color="auto" w:fill="auto"/>
          </w:tcPr>
          <w:p>
            <w:pPr>
              <w:jc w:val="right"/>
              <w:rPr>
                <w:rFonts w:ascii="宋体"/>
                <w:szCs w:val="21"/>
              </w:rPr>
            </w:pPr>
            <w:r>
              <w:t>394,897.28</w:t>
            </w:r>
          </w:p>
        </w:tc>
        <w:tc>
          <w:tcPr>
            <w:tcW w:w="2113" w:type="dxa"/>
            <w:shd w:val="clear" w:color="auto" w:fill="auto"/>
          </w:tcPr>
          <w:p>
            <w:pPr>
              <w:jc w:val="right"/>
              <w:rPr>
                <w:rFonts w:ascii="宋体"/>
                <w:szCs w:val="21"/>
              </w:rPr>
            </w:pPr>
            <w: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390,133.72</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389,681.72</w:t>
            </w:r>
          </w:p>
        </w:tc>
        <w:tc>
          <w:tcPr>
            <w:tcW w:w="2113" w:type="dxa"/>
            <w:shd w:val="clear" w:color="auto" w:fill="auto"/>
          </w:tcPr>
          <w:p>
            <w:pPr>
              <w:jc w:val="right"/>
              <w:rPr>
                <w:rFonts w:ascii="宋体"/>
                <w:szCs w:val="21"/>
              </w:rPr>
            </w:pPr>
            <w: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5,059,102.91</w:t>
            </w:r>
          </w:p>
        </w:tc>
        <w:tc>
          <w:tcPr>
            <w:tcW w:w="2113" w:type="dxa"/>
            <w:shd w:val="clear" w:color="auto" w:fill="auto"/>
          </w:tcPr>
          <w:p>
            <w:pPr>
              <w:jc w:val="right"/>
              <w:rPr>
                <w:rFonts w:ascii="宋体"/>
                <w:szCs w:val="21"/>
              </w:rPr>
            </w:pPr>
            <w:r>
              <w:t>37.94</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贵阳农商银行股份有限公司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zs7VUlu95EC0NjsK9Hgwwg9ZssA=" w:salt="EIhgeZ56SHX6fTEvVml+q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084D"/>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E6C56"/>
    <w:rsid w:val="008F796E"/>
    <w:rsid w:val="00900D24"/>
    <w:rsid w:val="00911343"/>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4A21"/>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D6717"/>
    <w:rsid w:val="00CE0966"/>
    <w:rsid w:val="00D14180"/>
    <w:rsid w:val="00D279D1"/>
    <w:rsid w:val="00D62435"/>
    <w:rsid w:val="00D65694"/>
    <w:rsid w:val="00D81A57"/>
    <w:rsid w:val="00D84094"/>
    <w:rsid w:val="00D946BC"/>
    <w:rsid w:val="00DA126F"/>
    <w:rsid w:val="00DA31CC"/>
    <w:rsid w:val="00DB5F61"/>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69B048E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CD1293-B93E-4401-8D01-24C258B1A8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3956</Characters>
  <Lines>32</Lines>
  <Paragraphs>9</Paragraphs>
  <TotalTime>268</TotalTime>
  <ScaleCrop>false</ScaleCrop>
  <LinksUpToDate>false</LinksUpToDate>
  <CharactersWithSpaces>4641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2022-04-20T08:09:22Z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